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158750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186690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4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940" w:type="dxa"/>
            <w:vAlign w:val="bottom"/>
          </w:tcPr>
          <w:p>
            <w:pPr>
              <w:spacing w:after="0"/>
              <w:rPr>
                <w:sz w:val="16"/>
                <w:szCs w:val="16"/>
                <w:color w:val="auto"/>
              </w:rPr>
            </w:pPr>
          </w:p>
        </w:tc>
        <w:tc>
          <w:tcPr>
            <w:tcW w:w="330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153670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annual meeting of stockholders held on April 25, 2019, the stockholders elected the Board of Directors of Texas Instruments Incorporated (“TI”) and voted upon two Board proposals contained within our Proxy Statement dated March 12,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4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Broker</w:t>
            </w:r>
          </w:p>
        </w:tc>
      </w:tr>
      <w:tr>
        <w:trPr>
          <w:trHeight w:val="24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1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6"/>
              </w:rPr>
              <w:t>For</w:t>
            </w:r>
          </w:p>
        </w:tc>
        <w:tc>
          <w:tcPr>
            <w:tcW w:w="15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Against</w:t>
            </w:r>
          </w:p>
        </w:tc>
        <w:tc>
          <w:tcPr>
            <w:tcW w:w="15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6"/>
              </w:rPr>
              <w:t>Abstentions</w:t>
            </w:r>
          </w:p>
        </w:tc>
        <w:tc>
          <w:tcPr>
            <w:tcW w:w="17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6"/>
              </w:rPr>
              <w:t>Non-Votes</w:t>
            </w:r>
          </w:p>
        </w:tc>
      </w:tr>
      <w:tr>
        <w:trPr>
          <w:trHeight w:val="404"/>
        </w:trPr>
        <w:tc>
          <w:tcPr>
            <w:tcW w:w="2700" w:type="dxa"/>
            <w:vAlign w:val="bottom"/>
          </w:tcPr>
          <w:p>
            <w:pPr>
              <w:spacing w:after="0"/>
              <w:rPr>
                <w:sz w:val="20"/>
                <w:szCs w:val="20"/>
                <w:color w:val="auto"/>
              </w:rPr>
            </w:pPr>
            <w:r>
              <w:rPr>
                <w:rFonts w:ascii="Arial" w:cs="Arial" w:eastAsia="Arial" w:hAnsi="Arial"/>
                <w:sz w:val="18"/>
                <w:szCs w:val="18"/>
                <w:color w:val="auto"/>
              </w:rPr>
              <w:t>Mark A. Blinn</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7"/>
              </w:rPr>
              <w:t>762,454,094</w:t>
            </w:r>
          </w:p>
        </w:tc>
        <w:tc>
          <w:tcPr>
            <w:tcW w:w="1580" w:type="dxa"/>
            <w:vAlign w:val="bottom"/>
          </w:tcPr>
          <w:p>
            <w:pPr>
              <w:jc w:val="center"/>
              <w:ind w:left="170"/>
              <w:spacing w:after="0"/>
              <w:rPr>
                <w:sz w:val="20"/>
                <w:szCs w:val="20"/>
                <w:color w:val="auto"/>
              </w:rPr>
            </w:pPr>
            <w:r>
              <w:rPr>
                <w:rFonts w:ascii="Arial" w:cs="Arial" w:eastAsia="Arial" w:hAnsi="Arial"/>
                <w:sz w:val="18"/>
                <w:szCs w:val="18"/>
                <w:color w:val="auto"/>
                <w:w w:val="89"/>
              </w:rPr>
              <w:t>6,846,044</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1,384,200</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0"/>
              </w:rPr>
              <w:t>86,163,798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Todd M. Bluedorn</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7"/>
              </w:rPr>
              <w:t>470,046,935</w:t>
            </w:r>
          </w:p>
        </w:tc>
        <w:tc>
          <w:tcPr>
            <w:tcW w:w="1580" w:type="dxa"/>
            <w:vAlign w:val="bottom"/>
          </w:tcPr>
          <w:p>
            <w:pPr>
              <w:jc w:val="center"/>
              <w:ind w:left="190"/>
              <w:spacing w:after="0"/>
              <w:rPr>
                <w:sz w:val="20"/>
                <w:szCs w:val="20"/>
                <w:color w:val="auto"/>
              </w:rPr>
            </w:pPr>
            <w:r>
              <w:rPr>
                <w:rFonts w:ascii="Arial" w:cs="Arial" w:eastAsia="Arial" w:hAnsi="Arial"/>
                <w:sz w:val="18"/>
                <w:szCs w:val="18"/>
                <w:color w:val="auto"/>
                <w:w w:val="89"/>
              </w:rPr>
              <w:t>299,249,938</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1,387,465</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0"/>
              </w:rPr>
              <w:t>86,163,798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Janet F. Clark</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7"/>
              </w:rPr>
              <w:t>763,965,508</w:t>
            </w:r>
          </w:p>
        </w:tc>
        <w:tc>
          <w:tcPr>
            <w:tcW w:w="1580" w:type="dxa"/>
            <w:vAlign w:val="bottom"/>
          </w:tcPr>
          <w:p>
            <w:pPr>
              <w:jc w:val="center"/>
              <w:ind w:left="170"/>
              <w:spacing w:after="0"/>
              <w:rPr>
                <w:sz w:val="20"/>
                <w:szCs w:val="20"/>
                <w:color w:val="auto"/>
              </w:rPr>
            </w:pPr>
            <w:r>
              <w:rPr>
                <w:rFonts w:ascii="Arial" w:cs="Arial" w:eastAsia="Arial" w:hAnsi="Arial"/>
                <w:sz w:val="18"/>
                <w:szCs w:val="18"/>
                <w:color w:val="auto"/>
                <w:w w:val="89"/>
              </w:rPr>
              <w:t>5,343,434</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1,375,396</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0"/>
              </w:rPr>
              <w:t>86,163,798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Carrie S. Cox</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7"/>
              </w:rPr>
              <w:t>471,839,206</w:t>
            </w:r>
          </w:p>
        </w:tc>
        <w:tc>
          <w:tcPr>
            <w:tcW w:w="1580" w:type="dxa"/>
            <w:vAlign w:val="bottom"/>
          </w:tcPr>
          <w:p>
            <w:pPr>
              <w:jc w:val="center"/>
              <w:ind w:left="190"/>
              <w:spacing w:after="0"/>
              <w:rPr>
                <w:sz w:val="20"/>
                <w:szCs w:val="20"/>
                <w:color w:val="auto"/>
              </w:rPr>
            </w:pPr>
            <w:r>
              <w:rPr>
                <w:rFonts w:ascii="Arial" w:cs="Arial" w:eastAsia="Arial" w:hAnsi="Arial"/>
                <w:sz w:val="18"/>
                <w:szCs w:val="18"/>
                <w:color w:val="auto"/>
                <w:w w:val="89"/>
              </w:rPr>
              <w:t>297,307,236</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1,537,896</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0"/>
              </w:rPr>
              <w:t>86,163,798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Martin S. Craighead</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7"/>
              </w:rPr>
              <w:t>766,889,702</w:t>
            </w:r>
          </w:p>
        </w:tc>
        <w:tc>
          <w:tcPr>
            <w:tcW w:w="1580" w:type="dxa"/>
            <w:vAlign w:val="bottom"/>
          </w:tcPr>
          <w:p>
            <w:pPr>
              <w:jc w:val="center"/>
              <w:ind w:left="170"/>
              <w:spacing w:after="0"/>
              <w:rPr>
                <w:sz w:val="20"/>
                <w:szCs w:val="20"/>
                <w:color w:val="auto"/>
              </w:rPr>
            </w:pPr>
            <w:r>
              <w:rPr>
                <w:rFonts w:ascii="Arial" w:cs="Arial" w:eastAsia="Arial" w:hAnsi="Arial"/>
                <w:sz w:val="18"/>
                <w:szCs w:val="18"/>
                <w:color w:val="auto"/>
                <w:w w:val="89"/>
              </w:rPr>
              <w:t>2,406,763</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1,387,873</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0"/>
              </w:rPr>
              <w:t>86,163,798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Jean M. Hobby</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7"/>
              </w:rPr>
              <w:t>764,075,759</w:t>
            </w:r>
          </w:p>
        </w:tc>
        <w:tc>
          <w:tcPr>
            <w:tcW w:w="1580" w:type="dxa"/>
            <w:vAlign w:val="bottom"/>
          </w:tcPr>
          <w:p>
            <w:pPr>
              <w:jc w:val="center"/>
              <w:ind w:left="170"/>
              <w:spacing w:after="0"/>
              <w:rPr>
                <w:sz w:val="20"/>
                <w:szCs w:val="20"/>
                <w:color w:val="auto"/>
              </w:rPr>
            </w:pPr>
            <w:r>
              <w:rPr>
                <w:rFonts w:ascii="Arial" w:cs="Arial" w:eastAsia="Arial" w:hAnsi="Arial"/>
                <w:sz w:val="18"/>
                <w:szCs w:val="18"/>
                <w:color w:val="auto"/>
                <w:w w:val="89"/>
              </w:rPr>
              <w:t>5,284,256</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1,324,323</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0"/>
              </w:rPr>
              <w:t>86,163,798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Ronald Kirk</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7"/>
              </w:rPr>
              <w:t>755,636,008</w:t>
            </w:r>
          </w:p>
        </w:tc>
        <w:tc>
          <w:tcPr>
            <w:tcW w:w="1580" w:type="dxa"/>
            <w:vAlign w:val="bottom"/>
          </w:tcPr>
          <w:p>
            <w:pPr>
              <w:jc w:val="center"/>
              <w:ind w:left="170"/>
              <w:spacing w:after="0"/>
              <w:rPr>
                <w:sz w:val="20"/>
                <w:szCs w:val="20"/>
                <w:color w:val="auto"/>
              </w:rPr>
            </w:pPr>
            <w:r>
              <w:rPr>
                <w:rFonts w:ascii="Arial" w:cs="Arial" w:eastAsia="Arial" w:hAnsi="Arial"/>
                <w:sz w:val="18"/>
                <w:szCs w:val="18"/>
                <w:color w:val="auto"/>
                <w:w w:val="89"/>
              </w:rPr>
              <w:t>9,222,074</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5,826,256</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0"/>
              </w:rPr>
              <w:t>86,163,798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Pamela H. Patsley</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7"/>
              </w:rPr>
              <w:t>741,962,321</w:t>
            </w:r>
          </w:p>
        </w:tc>
        <w:tc>
          <w:tcPr>
            <w:tcW w:w="1580" w:type="dxa"/>
            <w:vAlign w:val="bottom"/>
          </w:tcPr>
          <w:p>
            <w:pPr>
              <w:jc w:val="center"/>
              <w:ind w:left="190"/>
              <w:spacing w:after="0"/>
              <w:rPr>
                <w:sz w:val="20"/>
                <w:szCs w:val="20"/>
                <w:color w:val="auto"/>
              </w:rPr>
            </w:pPr>
            <w:r>
              <w:rPr>
                <w:rFonts w:ascii="Arial" w:cs="Arial" w:eastAsia="Arial" w:hAnsi="Arial"/>
                <w:sz w:val="18"/>
                <w:szCs w:val="18"/>
                <w:color w:val="auto"/>
                <w:w w:val="90"/>
              </w:rPr>
              <w:t>27,432,197</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1,289,820</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0"/>
              </w:rPr>
              <w:t>86,163,798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Robert E. Sanchez</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7"/>
              </w:rPr>
              <w:t>761,738,169</w:t>
            </w:r>
          </w:p>
        </w:tc>
        <w:tc>
          <w:tcPr>
            <w:tcW w:w="1580" w:type="dxa"/>
            <w:vAlign w:val="bottom"/>
          </w:tcPr>
          <w:p>
            <w:pPr>
              <w:jc w:val="center"/>
              <w:ind w:left="170"/>
              <w:spacing w:after="0"/>
              <w:rPr>
                <w:sz w:val="20"/>
                <w:szCs w:val="20"/>
                <w:color w:val="auto"/>
              </w:rPr>
            </w:pPr>
            <w:r>
              <w:rPr>
                <w:rFonts w:ascii="Arial" w:cs="Arial" w:eastAsia="Arial" w:hAnsi="Arial"/>
                <w:sz w:val="18"/>
                <w:szCs w:val="18"/>
                <w:color w:val="auto"/>
                <w:w w:val="89"/>
              </w:rPr>
              <w:t>7,584,260</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1,361,909</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0"/>
              </w:rPr>
              <w:t>86,163,798</w:t>
            </w:r>
          </w:p>
        </w:tc>
      </w:tr>
      <w:tr>
        <w:trPr>
          <w:trHeight w:val="244"/>
        </w:trPr>
        <w:tc>
          <w:tcPr>
            <w:tcW w:w="2700" w:type="dxa"/>
            <w:vAlign w:val="bottom"/>
          </w:tcPr>
          <w:p>
            <w:pPr>
              <w:spacing w:after="0"/>
              <w:rPr>
                <w:sz w:val="20"/>
                <w:szCs w:val="20"/>
                <w:color w:val="auto"/>
              </w:rPr>
            </w:pPr>
            <w:r>
              <w:rPr>
                <w:rFonts w:ascii="Arial" w:cs="Arial" w:eastAsia="Arial" w:hAnsi="Arial"/>
                <w:sz w:val="18"/>
                <w:szCs w:val="18"/>
                <w:color w:val="auto"/>
              </w:rPr>
              <w:t>Richard K. Templeton</w:t>
            </w:r>
          </w:p>
        </w:tc>
        <w:tc>
          <w:tcPr>
            <w:tcW w:w="1400" w:type="dxa"/>
            <w:vAlign w:val="bottom"/>
          </w:tcPr>
          <w:p>
            <w:pPr>
              <w:jc w:val="center"/>
              <w:ind w:left="70"/>
              <w:spacing w:after="0"/>
              <w:rPr>
                <w:sz w:val="20"/>
                <w:szCs w:val="20"/>
                <w:color w:val="auto"/>
              </w:rPr>
            </w:pPr>
            <w:r>
              <w:rPr>
                <w:rFonts w:ascii="Arial" w:cs="Arial" w:eastAsia="Arial" w:hAnsi="Arial"/>
                <w:sz w:val="18"/>
                <w:szCs w:val="18"/>
                <w:color w:val="auto"/>
                <w:w w:val="87"/>
              </w:rPr>
              <w:t>733,605,564</w:t>
            </w:r>
          </w:p>
        </w:tc>
        <w:tc>
          <w:tcPr>
            <w:tcW w:w="1580" w:type="dxa"/>
            <w:vAlign w:val="bottom"/>
          </w:tcPr>
          <w:p>
            <w:pPr>
              <w:jc w:val="center"/>
              <w:ind w:left="190"/>
              <w:spacing w:after="0"/>
              <w:rPr>
                <w:sz w:val="20"/>
                <w:szCs w:val="20"/>
                <w:color w:val="auto"/>
              </w:rPr>
            </w:pPr>
            <w:r>
              <w:rPr>
                <w:rFonts w:ascii="Arial" w:cs="Arial" w:eastAsia="Arial" w:hAnsi="Arial"/>
                <w:sz w:val="18"/>
                <w:szCs w:val="18"/>
                <w:color w:val="auto"/>
                <w:w w:val="90"/>
              </w:rPr>
              <w:t>31,910,405</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5,168,369</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0"/>
              </w:rPr>
              <w:t>86,163,798</w:t>
            </w:r>
          </w:p>
        </w:tc>
      </w:tr>
      <w:tr>
        <w:trPr>
          <w:trHeight w:val="432"/>
        </w:trPr>
        <w:tc>
          <w:tcPr>
            <w:tcW w:w="7200" w:type="dxa"/>
            <w:vAlign w:val="bottom"/>
            <w:gridSpan w:val="4"/>
          </w:tcPr>
          <w:p>
            <w:pPr>
              <w:spacing w:after="0"/>
              <w:rPr>
                <w:sz w:val="20"/>
                <w:szCs w:val="20"/>
                <w:color w:val="auto"/>
              </w:rPr>
            </w:pPr>
            <w:r>
              <w:rPr>
                <w:rFonts w:ascii="Arial" w:cs="Arial" w:eastAsia="Arial" w:hAnsi="Arial"/>
                <w:sz w:val="18"/>
                <w:szCs w:val="18"/>
                <w:color w:val="auto"/>
                <w:w w:val="99"/>
              </w:rPr>
              <w:t>The stockholders voted on the following proposals and cast their votes as described below:</w:t>
            </w:r>
          </w:p>
        </w:tc>
        <w:tc>
          <w:tcPr>
            <w:tcW w:w="1740" w:type="dxa"/>
            <w:vAlign w:val="bottom"/>
          </w:tcPr>
          <w:p>
            <w:pPr>
              <w:spacing w:after="0"/>
              <w:rPr>
                <w:sz w:val="24"/>
                <w:szCs w:val="24"/>
                <w:color w:val="auto"/>
              </w:rPr>
            </w:pPr>
          </w:p>
        </w:tc>
      </w:tr>
      <w:tr>
        <w:trPr>
          <w:trHeight w:val="414"/>
        </w:trPr>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jc w:val="center"/>
              <w:ind w:right="530"/>
              <w:spacing w:after="0"/>
              <w:rPr>
                <w:sz w:val="20"/>
                <w:szCs w:val="20"/>
                <w:color w:val="auto"/>
              </w:rPr>
            </w:pPr>
            <w:r>
              <w:rPr>
                <w:rFonts w:ascii="Arial" w:cs="Arial" w:eastAsia="Arial" w:hAnsi="Arial"/>
                <w:sz w:val="18"/>
                <w:szCs w:val="18"/>
                <w:b w:val="1"/>
                <w:bCs w:val="1"/>
                <w:color w:val="auto"/>
                <w:w w:val="96"/>
              </w:rPr>
              <w:t>Broker</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For</w:t>
            </w:r>
          </w:p>
        </w:tc>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Against</w:t>
            </w: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Abstentions</w:t>
            </w:r>
          </w:p>
        </w:tc>
        <w:tc>
          <w:tcPr>
            <w:tcW w:w="1740" w:type="dxa"/>
            <w:vAlign w:val="bottom"/>
          </w:tcPr>
          <w:p>
            <w:pPr>
              <w:jc w:val="center"/>
              <w:ind w:right="530"/>
              <w:spacing w:after="0"/>
              <w:rPr>
                <w:sz w:val="20"/>
                <w:szCs w:val="20"/>
                <w:color w:val="auto"/>
              </w:rPr>
            </w:pPr>
            <w:r>
              <w:rPr>
                <w:rFonts w:ascii="Arial" w:cs="Arial" w:eastAsia="Arial" w:hAnsi="Arial"/>
                <w:sz w:val="18"/>
                <w:szCs w:val="18"/>
                <w:b w:val="1"/>
                <w:bCs w:val="1"/>
                <w:color w:val="auto"/>
                <w:w w:val="88"/>
              </w:rPr>
              <w:t>Non-Votes</w:t>
            </w: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w w:val="97"/>
              </w:rPr>
              <w:t>Board proposal regarding advisory</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713,250,963</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55,193,597</w:t>
            </w: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2,239,778</w:t>
            </w:r>
          </w:p>
        </w:tc>
        <w:tc>
          <w:tcPr>
            <w:tcW w:w="1740" w:type="dxa"/>
            <w:vAlign w:val="bottom"/>
          </w:tcPr>
          <w:p>
            <w:pPr>
              <w:jc w:val="center"/>
              <w:ind w:right="530"/>
              <w:spacing w:after="0"/>
              <w:rPr>
                <w:sz w:val="20"/>
                <w:szCs w:val="20"/>
                <w:color w:val="auto"/>
              </w:rPr>
            </w:pPr>
            <w:r>
              <w:rPr>
                <w:rFonts w:ascii="Arial" w:cs="Arial" w:eastAsia="Arial" w:hAnsi="Arial"/>
                <w:sz w:val="18"/>
                <w:szCs w:val="18"/>
                <w:color w:val="auto"/>
                <w:w w:val="88"/>
              </w:rPr>
              <w:t>86,163,798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approval of the company’s</w:t>
            </w: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648"/>
        </w:trPr>
        <w:tc>
          <w:tcPr>
            <w:tcW w:w="270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1400" w:type="dxa"/>
            <w:vAlign w:val="bottom"/>
          </w:tcPr>
          <w:p>
            <w:pPr>
              <w:spacing w:after="0"/>
              <w:rPr>
                <w:sz w:val="24"/>
                <w:szCs w:val="24"/>
                <w:color w:val="auto"/>
              </w:rPr>
            </w:pPr>
          </w:p>
        </w:tc>
        <w:tc>
          <w:tcPr>
            <w:tcW w:w="1580" w:type="dxa"/>
            <w:vAlign w:val="bottom"/>
          </w:tcPr>
          <w:p>
            <w:pPr>
              <w:ind w:left="460"/>
              <w:spacing w:after="0"/>
              <w:rPr>
                <w:sz w:val="20"/>
                <w:szCs w:val="20"/>
                <w:color w:val="auto"/>
              </w:rPr>
            </w:pPr>
            <w:r>
              <w:rPr>
                <w:rFonts w:ascii="Arial" w:cs="Arial" w:eastAsia="Arial" w:hAnsi="Arial"/>
                <w:sz w:val="18"/>
                <w:szCs w:val="18"/>
                <w:b w:val="1"/>
                <w:bCs w:val="1"/>
                <w:color w:val="auto"/>
              </w:rPr>
              <w:t>For</w:t>
            </w:r>
          </w:p>
        </w:tc>
        <w:tc>
          <w:tcPr>
            <w:tcW w:w="152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Against</w:t>
            </w:r>
          </w:p>
        </w:tc>
        <w:tc>
          <w:tcPr>
            <w:tcW w:w="1740" w:type="dxa"/>
            <w:vAlign w:val="bottom"/>
          </w:tcPr>
          <w:p>
            <w:pPr>
              <w:jc w:val="center"/>
              <w:ind w:left="390"/>
              <w:spacing w:after="0"/>
              <w:rPr>
                <w:sz w:val="20"/>
                <w:szCs w:val="20"/>
                <w:color w:val="auto"/>
              </w:rPr>
            </w:pPr>
            <w:r>
              <w:rPr>
                <w:rFonts w:ascii="Arial" w:cs="Arial" w:eastAsia="Arial" w:hAnsi="Arial"/>
                <w:sz w:val="18"/>
                <w:szCs w:val="18"/>
                <w:b w:val="1"/>
                <w:bCs w:val="1"/>
                <w:color w:val="auto"/>
                <w:w w:val="86"/>
              </w:rPr>
              <w:t>Abstentions</w:t>
            </w:r>
          </w:p>
        </w:tc>
      </w:tr>
      <w:tr>
        <w:trPr>
          <w:trHeight w:val="432"/>
        </w:trPr>
        <w:tc>
          <w:tcPr>
            <w:tcW w:w="4100" w:type="dxa"/>
            <w:vAlign w:val="bottom"/>
            <w:gridSpan w:val="2"/>
          </w:tcPr>
          <w:p>
            <w:pPr>
              <w:spacing w:after="0"/>
              <w:rPr>
                <w:sz w:val="20"/>
                <w:szCs w:val="20"/>
                <w:color w:val="auto"/>
              </w:rPr>
            </w:pPr>
            <w:r>
              <w:rPr>
                <w:rFonts w:ascii="Arial" w:cs="Arial" w:eastAsia="Arial" w:hAnsi="Arial"/>
                <w:sz w:val="18"/>
                <w:szCs w:val="18"/>
                <w:color w:val="auto"/>
              </w:rPr>
              <w:t>Board proposal to ratify the appointment of Ernst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824,220,996</w:t>
            </w:r>
          </w:p>
        </w:tc>
        <w:tc>
          <w:tcPr>
            <w:tcW w:w="1520" w:type="dxa"/>
            <w:vAlign w:val="bottom"/>
          </w:tcPr>
          <w:p>
            <w:pPr>
              <w:jc w:val="center"/>
              <w:ind w:left="150"/>
              <w:spacing w:after="0"/>
              <w:rPr>
                <w:sz w:val="20"/>
                <w:szCs w:val="20"/>
                <w:color w:val="auto"/>
              </w:rPr>
            </w:pPr>
            <w:r>
              <w:rPr>
                <w:rFonts w:ascii="Arial" w:cs="Arial" w:eastAsia="Arial" w:hAnsi="Arial"/>
                <w:sz w:val="18"/>
                <w:szCs w:val="18"/>
                <w:color w:val="auto"/>
                <w:w w:val="88"/>
              </w:rPr>
              <w:t>31,350,640</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1,276,500</w:t>
            </w:r>
          </w:p>
        </w:tc>
      </w:tr>
    </w:tbl>
    <w:p>
      <w:pPr>
        <w:ind w:right="7980" w:firstLine="8"/>
        <w:spacing w:after="0" w:line="323" w:lineRule="auto"/>
        <w:tabs>
          <w:tab w:leader="none" w:pos="185" w:val="left"/>
        </w:tabs>
        <w:numPr>
          <w:ilvl w:val="0"/>
          <w:numId w:val="2"/>
        </w:numPr>
        <w:rPr>
          <w:rFonts w:ascii="Arial" w:cs="Arial" w:eastAsia="Arial" w:hAnsi="Arial"/>
          <w:sz w:val="16"/>
          <w:szCs w:val="16"/>
          <w:color w:val="auto"/>
        </w:rPr>
      </w:pPr>
      <w:r>
        <w:rPr>
          <w:rFonts w:ascii="Arial" w:cs="Arial" w:eastAsia="Arial" w:hAnsi="Arial"/>
          <w:sz w:val="16"/>
          <w:szCs w:val="16"/>
          <w:color w:val="auto"/>
        </w:rPr>
        <w:t>Young LLP as the company’s independent registered public accounting firm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06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29, 2019</w:t>
            </w:r>
          </w:p>
        </w:tc>
        <w:tc>
          <w:tcPr>
            <w:tcW w:w="2680" w:type="dxa"/>
            <w:vAlign w:val="bottom"/>
          </w:tcPr>
          <w:p>
            <w:pPr>
              <w:ind w:left="20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Hoff Trochu</w:t>
            </w:r>
          </w:p>
        </w:tc>
      </w:tr>
      <w:tr>
        <w:trPr>
          <w:trHeight w:val="195"/>
        </w:trPr>
        <w:tc>
          <w:tcPr>
            <w:tcW w:w="35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30"/>
        </w:trPr>
        <w:tc>
          <w:tcPr>
            <w:tcW w:w="3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Secretary and General Counsel</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2019-12-03T03:52:50Z</dcterms:created>
  <dcterms:modified xsi:type="dcterms:W3CDTF">2019-12-03T03:52:50Z</dcterms:modified>
</cp:coreProperties>
</file>