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1120140</wp:posOffset>
            </wp:positionH>
            <wp:positionV relativeFrom="paragraph">
              <wp:posOffset>18415</wp:posOffset>
            </wp:positionV>
            <wp:extent cx="50425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line="37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1120140</wp:posOffset>
            </wp:positionH>
            <wp:positionV relativeFrom="paragraph">
              <wp:posOffset>41275</wp:posOffset>
            </wp:positionV>
            <wp:extent cx="50425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54" w:lineRule="exact"/>
        <w:rPr>
          <w:sz w:val="24"/>
          <w:szCs w:val="24"/>
          <w:color w:val="auto"/>
        </w:rPr>
      </w:pPr>
    </w:p>
    <w:p>
      <w:pPr>
        <w:ind w:left="700" w:right="220" w:hanging="674"/>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1120140</wp:posOffset>
            </wp:positionH>
            <wp:positionV relativeFrom="paragraph">
              <wp:posOffset>34290</wp:posOffset>
            </wp:positionV>
            <wp:extent cx="5042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TEXAS INSTRUMENTS INCORPORATED</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1120140</wp:posOffset>
            </wp:positionH>
            <wp:positionV relativeFrom="paragraph">
              <wp:posOffset>68580</wp:posOffset>
            </wp:positionV>
            <wp:extent cx="5034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169" w:lineRule="exact"/>
        <w:rPr>
          <w:sz w:val="24"/>
          <w:szCs w:val="24"/>
          <w:color w:val="auto"/>
        </w:rPr>
      </w:pPr>
    </w:p>
    <w:tbl>
      <w:tblPr>
        <w:tblLayout w:type="fixed"/>
        <w:tblInd w:w="2160" w:type="dxa"/>
        <w:tblCellMar>
          <w:top w:w="0" w:type="dxa"/>
          <w:left w:w="0" w:type="dxa"/>
          <w:bottom w:w="0" w:type="dxa"/>
          <w:right w:w="0" w:type="dxa"/>
        </w:tblCellMar>
      </w:tblPr>
      <w:tr>
        <w:trPr>
          <w:trHeight w:val="210"/>
        </w:trPr>
        <w:tc>
          <w:tcPr>
            <w:tcW w:w="3620" w:type="dxa"/>
            <w:vAlign w:val="bottom"/>
          </w:tcPr>
          <w:p>
            <w:pPr>
              <w:jc w:val="center"/>
              <w:ind w:right="859"/>
              <w:spacing w:after="0"/>
              <w:rPr>
                <w:sz w:val="20"/>
                <w:szCs w:val="20"/>
                <w:color w:val="auto"/>
              </w:rPr>
            </w:pPr>
            <w:r>
              <w:rPr>
                <w:rFonts w:ascii="Arial" w:cs="Arial" w:eastAsia="Arial" w:hAnsi="Arial"/>
                <w:sz w:val="16"/>
                <w:szCs w:val="16"/>
                <w:b w:val="1"/>
                <w:bCs w:val="1"/>
                <w:color w:val="auto"/>
                <w:w w:val="91"/>
              </w:rPr>
              <w:t>Delaware</w:t>
            </w:r>
          </w:p>
        </w:tc>
        <w:tc>
          <w:tcPr>
            <w:tcW w:w="3440" w:type="dxa"/>
            <w:vAlign w:val="bottom"/>
          </w:tcPr>
          <w:p>
            <w:pPr>
              <w:jc w:val="right"/>
              <w:ind w:right="779"/>
              <w:spacing w:after="0"/>
              <w:rPr>
                <w:sz w:val="20"/>
                <w:szCs w:val="20"/>
                <w:color w:val="auto"/>
              </w:rPr>
            </w:pPr>
            <w:r>
              <w:rPr>
                <w:rFonts w:ascii="Arial" w:cs="Arial" w:eastAsia="Arial" w:hAnsi="Arial"/>
                <w:sz w:val="16"/>
                <w:szCs w:val="16"/>
                <w:b w:val="1"/>
                <w:bCs w:val="1"/>
                <w:color w:val="auto"/>
              </w:rPr>
              <w:t>75-0289970</w:t>
            </w:r>
          </w:p>
        </w:tc>
      </w:tr>
      <w:tr>
        <w:trPr>
          <w:trHeight w:val="257"/>
        </w:trPr>
        <w:tc>
          <w:tcPr>
            <w:tcW w:w="3620" w:type="dxa"/>
            <w:vAlign w:val="bottom"/>
          </w:tcPr>
          <w:p>
            <w:pPr>
              <w:jc w:val="center"/>
              <w:ind w:right="859"/>
              <w:spacing w:after="0"/>
              <w:rPr>
                <w:sz w:val="20"/>
                <w:szCs w:val="20"/>
                <w:color w:val="auto"/>
              </w:rPr>
            </w:pPr>
            <w:r>
              <w:rPr>
                <w:rFonts w:ascii="Arial" w:cs="Arial" w:eastAsia="Arial" w:hAnsi="Arial"/>
                <w:sz w:val="16"/>
                <w:szCs w:val="16"/>
                <w:b w:val="1"/>
                <w:bCs w:val="1"/>
                <w:color w:val="auto"/>
                <w:w w:val="92"/>
              </w:rPr>
              <w:t>(State of Incorporation)</w:t>
            </w:r>
          </w:p>
        </w:tc>
        <w:tc>
          <w:tcPr>
            <w:tcW w:w="3440" w:type="dxa"/>
            <w:vAlign w:val="bottom"/>
          </w:tcPr>
          <w:p>
            <w:pPr>
              <w:jc w:val="center"/>
              <w:ind w:left="87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540"/>
        </w:trPr>
        <w:tc>
          <w:tcPr>
            <w:tcW w:w="3620" w:type="dxa"/>
            <w:vAlign w:val="bottom"/>
          </w:tcPr>
          <w:p>
            <w:pPr>
              <w:jc w:val="center"/>
              <w:ind w:right="859"/>
              <w:spacing w:after="0"/>
              <w:rPr>
                <w:sz w:val="20"/>
                <w:szCs w:val="20"/>
                <w:color w:val="auto"/>
              </w:rPr>
            </w:pPr>
            <w:r>
              <w:rPr>
                <w:rFonts w:ascii="Arial" w:cs="Arial" w:eastAsia="Arial" w:hAnsi="Arial"/>
                <w:sz w:val="16"/>
                <w:szCs w:val="16"/>
                <w:b w:val="1"/>
                <w:bCs w:val="1"/>
                <w:color w:val="auto"/>
                <w:w w:val="92"/>
              </w:rPr>
              <w:t>12500 TI Boulevard, Dallas, Texas</w:t>
            </w:r>
          </w:p>
        </w:tc>
        <w:tc>
          <w:tcPr>
            <w:tcW w:w="3440" w:type="dxa"/>
            <w:vAlign w:val="bottom"/>
          </w:tcPr>
          <w:p>
            <w:pPr>
              <w:jc w:val="right"/>
              <w:ind w:right="959"/>
              <w:spacing w:after="0"/>
              <w:rPr>
                <w:sz w:val="20"/>
                <w:szCs w:val="20"/>
                <w:color w:val="auto"/>
              </w:rPr>
            </w:pPr>
            <w:r>
              <w:rPr>
                <w:rFonts w:ascii="Arial" w:cs="Arial" w:eastAsia="Arial" w:hAnsi="Arial"/>
                <w:sz w:val="16"/>
                <w:szCs w:val="16"/>
                <w:b w:val="1"/>
                <w:bCs w:val="1"/>
                <w:color w:val="auto"/>
              </w:rPr>
              <w:t>75243</w:t>
            </w:r>
          </w:p>
        </w:tc>
      </w:tr>
      <w:tr>
        <w:trPr>
          <w:trHeight w:val="270"/>
        </w:trPr>
        <w:tc>
          <w:tcPr>
            <w:tcW w:w="3620" w:type="dxa"/>
            <w:vAlign w:val="bottom"/>
          </w:tcPr>
          <w:p>
            <w:pPr>
              <w:jc w:val="center"/>
              <w:ind w:right="85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440" w:type="dxa"/>
            <w:vAlign w:val="bottom"/>
          </w:tcPr>
          <w:p>
            <w:pPr>
              <w:jc w:val="center"/>
              <w:ind w:left="879"/>
              <w:spacing w:after="0"/>
              <w:rPr>
                <w:sz w:val="20"/>
                <w:szCs w:val="20"/>
                <w:color w:val="auto"/>
              </w:rPr>
            </w:pPr>
            <w:r>
              <w:rPr>
                <w:rFonts w:ascii="Arial" w:cs="Arial" w:eastAsia="Arial" w:hAnsi="Arial"/>
                <w:sz w:val="16"/>
                <w:szCs w:val="16"/>
                <w:b w:val="1"/>
                <w:bCs w:val="1"/>
                <w:color w:val="auto"/>
                <w:w w:val="96"/>
              </w:rPr>
              <w:t>(Zip Code)</w:t>
            </w:r>
          </w:p>
        </w:tc>
      </w:tr>
    </w:tbl>
    <w:p>
      <w:pPr>
        <w:spacing w:after="0" w:line="316" w:lineRule="exact"/>
        <w:rPr>
          <w:sz w:val="24"/>
          <w:szCs w:val="24"/>
          <w:color w:val="auto"/>
        </w:rPr>
      </w:pPr>
    </w:p>
    <w:p>
      <w:pPr>
        <w:ind w:left="3480"/>
        <w:spacing w:after="0"/>
        <w:rPr>
          <w:sz w:val="20"/>
          <w:szCs w:val="20"/>
          <w:color w:val="auto"/>
        </w:rPr>
      </w:pPr>
      <w:r>
        <w:rPr>
          <w:rFonts w:ascii="Arial" w:cs="Arial" w:eastAsia="Arial" w:hAnsi="Arial"/>
          <w:sz w:val="16"/>
          <w:szCs w:val="16"/>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1120140</wp:posOffset>
            </wp:positionH>
            <wp:positionV relativeFrom="paragraph">
              <wp:posOffset>54610</wp:posOffset>
            </wp:positionV>
            <wp:extent cx="503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228"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5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3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$1.00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TXN</w:t>
            </w:r>
          </w:p>
        </w:tc>
        <w:tc>
          <w:tcPr>
            <w:tcW w:w="5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r>
        <w:trPr>
          <w:trHeight w:val="27"/>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bl>
    <w:p>
      <w:pPr>
        <w:spacing w:after="0" w:line="67"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11" w:lineRule="exact"/>
        <w:rPr>
          <w:sz w:val="24"/>
          <w:szCs w:val="24"/>
          <w:color w:val="auto"/>
        </w:rPr>
      </w:pPr>
    </w:p>
    <w:p>
      <w:pPr>
        <w:ind w:right="1780"/>
        <w:spacing w:after="0" w:line="26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4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260"/>
        <w:spacing w:after="0" w:line="29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60"/>
        <w:spacing w:after="0" w:line="26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841" w:right="219" w:bottom="1440" w:gutter="0" w:footer="0" w:header="0"/>
        </w:sectPr>
      </w:pP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140" w:type="dxa"/>
            <w:vAlign w:val="bottom"/>
          </w:tcPr>
          <w:p>
            <w:pPr>
              <w:ind w:left="2180"/>
              <w:spacing w:after="0"/>
              <w:rPr>
                <w:sz w:val="20"/>
                <w:szCs w:val="20"/>
                <w:color w:val="auto"/>
              </w:rPr>
            </w:pPr>
            <w:r>
              <w:rPr>
                <w:rFonts w:ascii="Arial" w:cs="Arial" w:eastAsia="Arial" w:hAnsi="Arial"/>
                <w:sz w:val="18"/>
                <w:szCs w:val="18"/>
                <w:color w:val="auto"/>
              </w:rPr>
              <w:t>Accelerated filer</w:t>
            </w: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140" w:type="dxa"/>
            <w:vAlign w:val="bottom"/>
          </w:tcPr>
          <w:p>
            <w:pPr>
              <w:ind w:left="2180"/>
              <w:spacing w:after="0"/>
              <w:rPr>
                <w:sz w:val="20"/>
                <w:szCs w:val="20"/>
                <w:color w:val="auto"/>
              </w:rPr>
            </w:pPr>
            <w:r>
              <w:rPr>
                <w:rFonts w:ascii="Arial" w:cs="Arial" w:eastAsia="Arial" w:hAnsi="Arial"/>
                <w:sz w:val="18"/>
                <w:szCs w:val="18"/>
                <w:color w:val="auto"/>
                <w:w w:val="90"/>
              </w:rPr>
              <w:t>Smaller reporting company</w:t>
            </w: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140" w:type="dxa"/>
            <w:vAlign w:val="bottom"/>
          </w:tcPr>
          <w:p>
            <w:pPr>
              <w:spacing w:after="0"/>
              <w:rPr>
                <w:sz w:val="23"/>
                <w:szCs w:val="23"/>
                <w:color w:val="auto"/>
              </w:rPr>
            </w:pPr>
          </w:p>
        </w:tc>
      </w:tr>
    </w:tbl>
    <w:p>
      <w:pPr>
        <w:spacing w:after="0" w:line="310" w:lineRule="exact"/>
        <w:rPr>
          <w:sz w:val="24"/>
          <w:szCs w:val="24"/>
          <w:color w:val="auto"/>
        </w:rPr>
      </w:pPr>
    </w:p>
    <w:p>
      <w:pPr>
        <w:ind w:lef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Act). Y</w:t>
      </w:r>
      <w:r>
        <w:rPr>
          <w:rFonts w:ascii="Arial" w:cs="Arial" w:eastAsia="Arial" w:hAnsi="Arial"/>
          <w:sz w:val="16"/>
          <w:szCs w:val="16"/>
          <w:color w:val="auto"/>
        </w:rPr>
        <w:t>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75" w:lineRule="exact"/>
        <w:rPr>
          <w:sz w:val="24"/>
          <w:szCs w:val="24"/>
          <w:color w:val="auto"/>
        </w:rPr>
      </w:pPr>
    </w:p>
    <w:p>
      <w:pPr>
        <w:ind w:left="2580" w:right="620" w:hanging="2563"/>
        <w:spacing w:after="0" w:line="331" w:lineRule="auto"/>
        <w:rPr>
          <w:sz w:val="20"/>
          <w:szCs w:val="20"/>
          <w:color w:val="auto"/>
        </w:rPr>
      </w:pPr>
      <w:r>
        <w:rPr>
          <w:rFonts w:ascii="Arial" w:cs="Arial" w:eastAsia="Arial" w:hAnsi="Arial"/>
          <w:sz w:val="17"/>
          <w:szCs w:val="17"/>
          <w:color w:val="auto"/>
        </w:rPr>
        <w:t>The aggregate market value of voting stock held by non-affiliates of the Registrant was approximately $107,187,939,993 as of June 30, 2019. 933,975,619 (Number of shares of common stock outstanding as of February 14, 2020)</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Part III hereof incorporates information by reference to the Registrant’s proxy statement for the 2020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820" w:space="340"/>
            <w:col w:w="280"/>
          </w:cols>
          <w:pgMar w:left="240" w:top="841" w:right="2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 Our two reportable segments are Analog and Embedded Processing, and we report the results of our remaining business activities in Other. In 2019, we generated $14.38 billion of revenue.</w:t>
      </w:r>
    </w:p>
    <w:p>
      <w:pPr>
        <w:spacing w:after="0" w:line="18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When we are successful in achieving these ambitions, our employees, customers, communities and shareholders all win.</w:t>
      </w:r>
    </w:p>
    <w:p>
      <w:pPr>
        <w:spacing w:after="0" w:line="14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Our business model is designed around four sustainable competitive advantages that we believe, in combination, put us in a unique class of companies. These advantages include (i) a strong foundation of manufacturing and technology, (ii) a broad portfolio of differentiated analog and embedded processing products,</w:t>
      </w:r>
    </w:p>
    <w:p>
      <w:pPr>
        <w:ind w:right="60" w:firstLine="8"/>
        <w:spacing w:after="0" w:line="292"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reach of market channels including our sales force and TI.com and (iv) diversity and longevity of our products, markets and customer positions. Our strategic focus, and where we invest the majority of our resources, is on Analog and Embedded Processing, with a particular emphasis on designing and selling those products into the industrial and automotive markets. We believe these markets represent the best growth opportunities over the next decade or longer, due to increasing semiconductor content. Additionally, analog and embedded processing products sold into industrial and automotive markets provide long product life cycles, intrinsic diversity and less capital-intensive manufacturing, which we believe offer stability, profitability and strong cash generation.</w:t>
      </w:r>
    </w:p>
    <w:p>
      <w:pPr>
        <w:spacing w:after="0" w:line="1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business model is the foundation of our capital management strategy, which is based on our belief that free cash flow growth, especially on a per-share basis, is important for maximizing shareholder value over the long term. We also believe that free cash flow (cash flow from operations less capital expenditures) will be valued only if it is productively invested in the business or returned to shareholders. TI’s business model puts us in a unique class of companies with the ability to grow, generate cash and return that cash to shareholders.</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combined effect of our ambitions, business model and sustainable competitive advantages is that we have continued to build a stronger company. Over time, we have gained market share in Analog and Embedded Processing and grown and returned all free cash flow to our owners.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information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Semiconductors are electronic components that serve as the building blocks inside modern electronic systems and equipment. Semiconductors, generally known as “chips,” combine multiple transistors to form a complete electronic circuit. We have tens of thousands of products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5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Analog</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Analog segment generated $10.22 billion of revenue in 2019.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products are used in many markets, particularly industrial, automotive and personal electronics.</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Sales of our Analog products generated about 71% of our revenue in 2019. According to external sources, the market for analog semiconductors was about $54 billion in 2019. Our Analog segment’s revenue in 2019 was about 19% of this fragmented market, which is the leading position. We believe we are well positioned to increase our market share over time.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Our Analog segment includes the following major product lines: Power, Signal Chain and High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Power includes products that help customers manage power in electronic systems. Our broad portfolio is designed to manage power requirements across different voltage levels using battery management solutions, portable components, power supply controls, point-of-load products, switches and interfaces, integrated protection devices, high-voltage products and mobile lighting and display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Signal Chain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Signal Chain includes products that sense, condition and measure real-world signals to allow information to be transferred or converted for further processing and control. Our Signal Chain products, which serve a variety of end markets, include amplifiers, data converters, interface products, motor drives, clocks and sensing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Volume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High Volume includes integrated analog and standard products that are primarily sold into markets such as personal electronics, industrial and automotive.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products support applications like displays and automotive safety systems.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Processing</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Embedded Processing segment generated $2.94 billion of revenue in 2019. Embedded Processing products are the “brains” of many types of electronic equipment. Embedded processors are designed to handle specific tasks and can be optimized for various combinations of performance, power and cost, depending on the application. Our devices vary from simple, low-cost microcontrollers used in applications such as electric toothbrushes to highly specialized, complex devices used in automotive applications such as infotainment systems and advanced driver assistance systems (ADAS). Our Embedded Processing products are used in many markets, particularly industrial and automotive.</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Sales of Embedded Processing products generated about 20% of our revenue in 2019. According to external sources, the market for embedded processors was about $18 billion in 2019. Our Embedded Processing segment’s revenue in 2019 was about 16% of this fragmented market, which is among the leaders. We believe we are well positioned to increase our market share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Connected Microcontrollers and Processors.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Connected Microcontrollers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Connected Microcontrollers includes microcontrollers, microcontrollers with integrated wireless capabilities and stand-alone wireless connectivity solutions. Microcontrollers are self-contained systems with a processor core, memory and peripherals that are designed to control a set of specific tasks for electronic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Processors includes digital signal processors (DSPs) and applications processors. DSPs perform mathematical computations almost instantaneously to process or improve digital data. Applications processors are designed for specific computing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We report the results of our remaining business activities in Other, which includes operating segments that do not meet the quantitative thresholds for individually reportable segments and cannot be aggregated with other operating segments. Other generated $1.22 billion of revenue in 2019 and includes revenue from DLP</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(primarily used in projectors to create high-definition images), calculators and certain custom semiconductors known as application-specific integrated circuits (ASICs).</w:t>
      </w:r>
    </w:p>
    <w:p>
      <w:pPr>
        <w:sectPr>
          <w:pgSz w:w="11900" w:h="16838" w:orient="portrait"/>
          <w:cols w:equalWidth="0" w:num="1">
            <w:col w:w="11400"/>
          </w:cols>
          <w:pgMar w:left="240" w:top="1111" w:right="2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type w:val="continuous"/>
        </w:sectPr>
      </w:pPr>
    </w:p>
    <w:bookmarkStart w:id="3" w:name="page4"/>
    <w:bookmarkEnd w:id="3"/>
    <w:p>
      <w:pPr>
        <w:ind w:right="60"/>
        <w:spacing w:after="0" w:line="264"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charges, restructuring charges, and certain corporate-level items, such as litigation expenses, environmental costs, insurance settlements and gains and losses from other activities, including asset dispositions.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lists the major markets for our products in 2019 and the estimated percentage of our 2019 revenue that the market represented. The chart also lists, in declining order of our revenue, the sectors within each market.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Market</w:t>
            </w:r>
          </w:p>
        </w:tc>
        <w:tc>
          <w:tcPr>
            <w:tcW w:w="100" w:type="dxa"/>
            <w:vAlign w:val="bottom"/>
          </w:tcPr>
          <w:p>
            <w:pPr>
              <w:spacing w:after="0"/>
              <w:rPr>
                <w:sz w:val="18"/>
                <w:szCs w:val="18"/>
                <w:color w:val="auto"/>
              </w:rPr>
            </w:pPr>
          </w:p>
        </w:tc>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Sector</w:t>
            </w:r>
          </w:p>
        </w:tc>
      </w:tr>
      <w:tr>
        <w:trPr>
          <w:trHeight w:val="33"/>
        </w:trPr>
        <w:tc>
          <w:tcPr>
            <w:tcW w:w="5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Industrial</w:t>
            </w:r>
          </w:p>
        </w:tc>
        <w:tc>
          <w:tcPr>
            <w:tcW w:w="100" w:type="dxa"/>
            <w:vAlign w:val="bottom"/>
            <w:shd w:val="clear" w:color="auto" w:fill="CCEEFF"/>
          </w:tcPr>
          <w:p>
            <w:pPr>
              <w:spacing w:after="0"/>
              <w:rPr>
                <w:sz w:val="18"/>
                <w:szCs w:val="18"/>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Factory automation &amp; control</w:t>
            </w: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(36% of TI revenue)</w:t>
            </w: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automation</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Grid infrastructure</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Aerospace &amp; defense</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Test &amp; measurement</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Appliances</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 audio, video &amp; signage</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 drives</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Power delivery</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automation &amp; payments</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 transport</w:t>
            </w:r>
          </w:p>
        </w:tc>
      </w:tr>
      <w:tr>
        <w:trPr>
          <w:trHeight w:val="270"/>
        </w:trPr>
        <w:tc>
          <w:tcPr>
            <w:tcW w:w="5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Lighting</w:t>
            </w:r>
          </w:p>
        </w:tc>
      </w:tr>
      <w:tr>
        <w:trPr>
          <w:trHeight w:val="224"/>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Automotive</w:t>
            </w:r>
          </w:p>
        </w:tc>
        <w:tc>
          <w:tcPr>
            <w:tcW w:w="10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Infotainment &amp; cluster</w:t>
            </w:r>
          </w:p>
        </w:tc>
      </w:tr>
      <w:tr>
        <w:trPr>
          <w:trHeight w:val="257"/>
        </w:trPr>
        <w:tc>
          <w:tcPr>
            <w:tcW w:w="5660" w:type="dxa"/>
            <w:vAlign w:val="bottom"/>
          </w:tcPr>
          <w:p>
            <w:pPr>
              <w:ind w:left="20"/>
              <w:spacing w:after="0"/>
              <w:rPr>
                <w:sz w:val="20"/>
                <w:szCs w:val="20"/>
                <w:color w:val="auto"/>
              </w:rPr>
            </w:pPr>
            <w:r>
              <w:rPr>
                <w:rFonts w:ascii="Arial" w:cs="Arial" w:eastAsia="Arial" w:hAnsi="Arial"/>
                <w:sz w:val="16"/>
                <w:szCs w:val="16"/>
                <w:color w:val="auto"/>
              </w:rPr>
              <w:t>(21% of TI revenue)</w:t>
            </w:r>
          </w:p>
        </w:tc>
        <w:tc>
          <w:tcPr>
            <w:tcW w:w="10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Advanced driver assistance systems (ADAS)</w:t>
            </w:r>
          </w:p>
        </w:tc>
      </w:tr>
      <w:tr>
        <w:trPr>
          <w:trHeight w:val="257"/>
        </w:trPr>
        <w:tc>
          <w:tcPr>
            <w:tcW w:w="5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Passive safety</w:t>
            </w:r>
          </w:p>
        </w:tc>
      </w:tr>
      <w:tr>
        <w:trPr>
          <w:trHeight w:val="257"/>
        </w:trPr>
        <w:tc>
          <w:tcPr>
            <w:tcW w:w="5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Hybrid, electric &amp; powertrain systems</w:t>
            </w:r>
          </w:p>
        </w:tc>
      </w:tr>
      <w:tr>
        <w:trPr>
          <w:trHeight w:val="257"/>
        </w:trPr>
        <w:tc>
          <w:tcPr>
            <w:tcW w:w="5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Body electronics &amp; lighting</w:t>
            </w:r>
          </w:p>
        </w:tc>
      </w:tr>
      <w:tr>
        <w:trPr>
          <w:trHeight w:val="33"/>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Personal electronics</w:t>
            </w:r>
          </w:p>
        </w:tc>
        <w:tc>
          <w:tcPr>
            <w:tcW w:w="100" w:type="dxa"/>
            <w:vAlign w:val="bottom"/>
            <w:shd w:val="clear" w:color="auto" w:fill="CCEEFF"/>
          </w:tcPr>
          <w:p>
            <w:pPr>
              <w:spacing w:after="0"/>
              <w:rPr>
                <w:sz w:val="19"/>
                <w:szCs w:val="19"/>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Mobile phones</w:t>
            </w: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(23% of TI revenue)</w:t>
            </w: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Portable electronics</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PC &amp; notebooks</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peripherals &amp; printers</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theatre &amp; entertainment</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TV</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Tablets</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Wearables (non-medical)</w:t>
            </w:r>
          </w:p>
        </w:tc>
      </w:tr>
      <w:tr>
        <w:trPr>
          <w:trHeight w:val="257"/>
        </w:trPr>
        <w:tc>
          <w:tcPr>
            <w:tcW w:w="5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Data storage</w:t>
            </w:r>
          </w:p>
        </w:tc>
      </w:tr>
      <w:tr>
        <w:trPr>
          <w:trHeight w:val="270"/>
        </w:trPr>
        <w:tc>
          <w:tcPr>
            <w:tcW w:w="5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Gaming</w:t>
            </w:r>
          </w:p>
        </w:tc>
      </w:tr>
      <w:tr>
        <w:trPr>
          <w:trHeight w:val="224"/>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Communications equipment</w:t>
            </w:r>
          </w:p>
        </w:tc>
        <w:tc>
          <w:tcPr>
            <w:tcW w:w="10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Wireless infrastructure</w:t>
            </w:r>
          </w:p>
        </w:tc>
      </w:tr>
      <w:tr>
        <w:trPr>
          <w:trHeight w:val="257"/>
        </w:trPr>
        <w:tc>
          <w:tcPr>
            <w:tcW w:w="5660" w:type="dxa"/>
            <w:vAlign w:val="bottom"/>
          </w:tcPr>
          <w:p>
            <w:pPr>
              <w:ind w:left="20"/>
              <w:spacing w:after="0"/>
              <w:rPr>
                <w:sz w:val="20"/>
                <w:szCs w:val="20"/>
                <w:color w:val="auto"/>
              </w:rPr>
            </w:pPr>
            <w:r>
              <w:rPr>
                <w:rFonts w:ascii="Arial" w:cs="Arial" w:eastAsia="Arial" w:hAnsi="Arial"/>
                <w:sz w:val="16"/>
                <w:szCs w:val="16"/>
                <w:color w:val="auto"/>
              </w:rPr>
              <w:t>(11% of TI revenue)</w:t>
            </w:r>
          </w:p>
        </w:tc>
        <w:tc>
          <w:tcPr>
            <w:tcW w:w="10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Wired networking</w:t>
            </w:r>
          </w:p>
        </w:tc>
      </w:tr>
      <w:tr>
        <w:trPr>
          <w:trHeight w:val="257"/>
        </w:trPr>
        <w:tc>
          <w:tcPr>
            <w:tcW w:w="5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Broadband fixed line access</w:t>
            </w:r>
          </w:p>
        </w:tc>
      </w:tr>
      <w:tr>
        <w:trPr>
          <w:trHeight w:val="257"/>
        </w:trPr>
        <w:tc>
          <w:tcPr>
            <w:tcW w:w="5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Datacom module</w:t>
            </w:r>
          </w:p>
        </w:tc>
      </w:tr>
      <w:tr>
        <w:trPr>
          <w:trHeight w:val="33"/>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Enterprise systems</w:t>
            </w:r>
          </w:p>
        </w:tc>
        <w:tc>
          <w:tcPr>
            <w:tcW w:w="100" w:type="dxa"/>
            <w:vAlign w:val="bottom"/>
            <w:shd w:val="clear" w:color="auto" w:fill="CCEEFF"/>
          </w:tcPr>
          <w:p>
            <w:pPr>
              <w:spacing w:after="0"/>
              <w:rPr>
                <w:sz w:val="19"/>
                <w:szCs w:val="19"/>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Data center &amp; enterprise computing</w:t>
            </w: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(6% of TI revenue)</w:t>
            </w:r>
          </w:p>
        </w:tc>
        <w:tc>
          <w:tcPr>
            <w:tcW w:w="100" w:type="dxa"/>
            <w:vAlign w:val="bottom"/>
            <w:shd w:val="clear" w:color="auto" w:fill="CCEEFF"/>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Enterprise projectors</w:t>
            </w:r>
          </w:p>
        </w:tc>
      </w:tr>
      <w:tr>
        <w:trPr>
          <w:trHeight w:val="270"/>
        </w:trPr>
        <w:tc>
          <w:tcPr>
            <w:tcW w:w="5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Enterprise machine</w:t>
            </w:r>
          </w:p>
        </w:tc>
      </w:tr>
      <w:tr>
        <w:trPr>
          <w:trHeight w:val="224"/>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Other (calculators and other)</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57"/>
        </w:trPr>
        <w:tc>
          <w:tcPr>
            <w:tcW w:w="5660" w:type="dxa"/>
            <w:vAlign w:val="bottom"/>
          </w:tcPr>
          <w:p>
            <w:pPr>
              <w:ind w:left="20"/>
              <w:spacing w:after="0"/>
              <w:rPr>
                <w:sz w:val="20"/>
                <w:szCs w:val="20"/>
                <w:color w:val="auto"/>
              </w:rPr>
            </w:pPr>
            <w:r>
              <w:rPr>
                <w:rFonts w:ascii="Arial" w:cs="Arial" w:eastAsia="Arial" w:hAnsi="Arial"/>
                <w:sz w:val="16"/>
                <w:szCs w:val="16"/>
                <w:color w:val="auto"/>
              </w:rPr>
              <w:t>(3% of TI revenue)</w:t>
            </w:r>
          </w:p>
        </w:tc>
        <w:tc>
          <w:tcPr>
            <w:tcW w:w="100" w:type="dxa"/>
            <w:vAlign w:val="bottom"/>
          </w:tcPr>
          <w:p>
            <w:pPr>
              <w:spacing w:after="0"/>
              <w:rPr>
                <w:sz w:val="22"/>
                <w:szCs w:val="22"/>
                <w:color w:val="auto"/>
              </w:rPr>
            </w:pPr>
          </w:p>
        </w:tc>
        <w:tc>
          <w:tcPr>
            <w:tcW w:w="5640" w:type="dxa"/>
            <w:vAlign w:val="bottom"/>
          </w:tcPr>
          <w:p>
            <w:pPr>
              <w:spacing w:after="0"/>
              <w:rPr>
                <w:sz w:val="22"/>
                <w:szCs w:val="22"/>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characteristics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Despite recent consolidation, the analog and embedded processing markets remain highly fragmented. As a result, we face significant global competition from dozens of large and small companies, including both broad-based suppliers and niche suppliers. Our competitors also include emerging companies, particularly in Asia, that sell products into the same markets in which we operate.</w:t>
      </w:r>
    </w:p>
    <w:p>
      <w:pPr>
        <w:sectPr>
          <w:pgSz w:w="11900" w:h="16838" w:orient="portrait"/>
          <w:cols w:equalWidth="0" w:num="1">
            <w:col w:w="11400"/>
          </w:cols>
          <w:pgMar w:left="240" w:top="1111" w:right="259" w:bottom="948"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948" w:gutter="0" w:footer="0" w:header="0"/>
          <w:type w:val="continuous"/>
        </w:sectPr>
      </w:pPr>
    </w:p>
    <w:bookmarkStart w:id="4" w:name="page5"/>
    <w:bookmarkEnd w:id="4"/>
    <w:p>
      <w:pPr>
        <w:ind w:right="80"/>
        <w:spacing w:after="0" w:line="257" w:lineRule="auto"/>
        <w:rPr>
          <w:sz w:val="20"/>
          <w:szCs w:val="20"/>
          <w:color w:val="auto"/>
        </w:rPr>
      </w:pPr>
      <w:r>
        <w:rPr>
          <w:rFonts w:ascii="Arial" w:cs="Arial" w:eastAsia="Arial" w:hAnsi="Arial"/>
          <w:sz w:val="18"/>
          <w:szCs w:val="18"/>
          <w:color w:val="auto"/>
        </w:rPr>
        <w:t>We believe that competitive performance in the semiconductor market generally depends on several factors, including the breadth of a company’s product line, the strength and depth of its channels to market, technological innovation, product development execution, technical support, customer service, quality, reliability, manufacturing capacity and capabilities and price. In addition, manufacturing process and package technologies that provide differentiated levels of performance and a structural cost advantage are competitive factors for our Analog products, and customers’ prior investments in software development is a competitive factor for our Embedded Processing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could be affected by the significant time and money required to build and maintain semiconductor manufacturing facilities.</w:t>
      </w:r>
    </w:p>
    <w:p>
      <w:pPr>
        <w:spacing w:after="0" w:line="18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We employ several strategies to dampen the effect of the semiconductor cycle on TI. We focus our resources on analog and embedded processing products and industrial and automotive markets. These products and markets serve a large and diverse customer base, which reduces our dependence on the performance of a single market or small group of customers. Industrial and automotive markets also benefit from long product life cycles, which help to smooth the impact of cyclicality. In addition, we plan manufacturing facility and equipment expansion ahead of demand, as well as utilize consignment inventory programs to give us improved insight into customer demand and more accurately manage factory loadings.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with the second and third quarters.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distribution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sell our products to about 100,000 customers. Our customer base is diverse, with more than one-third of our revenue derived from customers outside our largest 100.</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market and sell our products through direct sales channels, including our broad sales force and our website, and through distributors. In 2019, about 65% of our sales were fulfilled through our distributors, and they maintain inventory of our products.</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Over the past several years, we have been investing in new capabilities and evolving our distribution network to better align with our strategy to establish closer, more direct relationships with our customers. Closer direct customer relationships give us better insight into customer needs and allow us to provide better service and greater assurance of supply, among other benefits. As we expand these direct customer relationships over the next several years, we will have less business flowing through the distribution channel and therefore will require fewer distributors.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investments in new and improved capabilities to directly support our customers include website and e-commerce enhancements as well as inventory consignment programs and order fulfillment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with most products requiring about two to three months for completion.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5" w:name="page6"/>
    <w:bookmarkEnd w:id="5"/>
    <w:p>
      <w:pPr>
        <w:ind w:right="900"/>
        <w:spacing w:after="0" w:line="342" w:lineRule="auto"/>
        <w:rPr>
          <w:sz w:val="20"/>
          <w:szCs w:val="20"/>
          <w:color w:val="auto"/>
        </w:rPr>
      </w:pPr>
      <w:r>
        <w:rPr>
          <w:rFonts w:ascii="Arial" w:cs="Arial" w:eastAsia="Arial" w:hAnsi="Arial"/>
          <w:sz w:val="16"/>
          <w:szCs w:val="16"/>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w:t>
      </w:r>
    </w:p>
    <w:p>
      <w:pPr>
        <w:spacing w:after="0" w:line="124"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invest in manufacturing technologies and do most of our manufacturing in-house. This 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investing in our advanced analog 300-millimeter capacity, which has about a 40% cost advantage per unpackaged chip over 200-millimeter. To strengthen this advantage, we are moving forward with our plan to build our new 300-millimeter wafer fabrication facility in Richardson, Texas, as 300-millimeter wafers will continue to support the majority of our Analog growth.</w:t>
      </w:r>
    </w:p>
    <w:p>
      <w:pPr>
        <w:spacing w:after="0" w:line="15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expect to continue to maintain sufficient internal manufacturing capacity to meet the majority of our production needs and to obtain manufacturing equipment to support new technology developments and revenue growth. To supplement our manufacturing capacity and maximize our responsiveness to customer demand, we use the capacity of outside suppliers, commonly known as foundries, and subcontractors. In 2019, we sourced about 20% of our total wafers from external foundries, most of which support our Embedded Processing segment, and about 40% of our assembly/test services from subcontractors.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objectives for inventory are to maintain high levels of customer service and stable lead times, minimize inventory obsolescence and improve manufacturing asset utilization. To meet these objectives and to allow greater flexibility in periods of high demand, we build ahead of demand long-lived, low-volume products and maintain inventory of other products that have a broad customer base and low risk of obsolescence. Further, we have improved insight into demand and are better able to manage our factory loadings because over time we have increased consignment inventory programs and are building closer, more direct relationships with our customers. In 2019, about 65% of TI revenue was fulfilled from consignment programs. Our strategy and expected customer demand will cause our inventory levels to fluctuate over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define backlog as of a particular date as purchase orders with a customer-requested delivery date within a specified length of time. Our backlog at any particular date may not be indicative of revenue for any future period. As customer requirements and industry conditions change, orders may be subject to cancellation or modification of terms such as pricing, quantity or delivery date. Customer order placement practices continually evolve based on customers’ individual business needs and capabilities, as well as industry supply and capacity considerations. Further, our consignment programs do not result in backlog because the order occurs at the same time as delivery, i.e., when the customer pulls the product from consigned inventory. Our backlog of orders was $1.0 billion at December 31, 2019, and $1.5 billion at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sole-source suppliers. The materials, parts and supplies essential to our business are generally available at present, and we believe that such materials, parts and supplies will be available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own many patents, and have many patent applications pending, in the United States and other countries in fields relating to our business. We have developed a strong, broad-based patent portfolio and continually add patents to that portfolio. We also have license agreements, which vary in duration, involving rights to our portfolio or those of other companies. We do not consider our business materially dependent upon any one patent or patent license.</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often participate in industry initiatives to set technical standards. Our competitors may participate in the same initiatives. Participation in these initiatives may require us to license certain of our patents to other companies on reasonable and non-discriminatory terms.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11"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held by each person named: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Age</w:t>
            </w:r>
          </w:p>
        </w:tc>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33"/>
        </w:trPr>
        <w:tc>
          <w:tcPr>
            <w:tcW w:w="3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r>
      <w:tr>
        <w:trPr>
          <w:trHeight w:val="23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Niels Anderskouv</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w:t>
            </w:r>
          </w:p>
        </w:tc>
      </w:tr>
      <w:tr>
        <w:trPr>
          <w:trHeight w:val="224"/>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Ahmad S. Bahai</w:t>
            </w:r>
          </w:p>
        </w:tc>
        <w:tc>
          <w:tcPr>
            <w:tcW w:w="840" w:type="dxa"/>
            <w:vAlign w:val="bottom"/>
          </w:tcPr>
          <w:p>
            <w:pPr>
              <w:ind w:left="2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6"/>
                <w:szCs w:val="16"/>
                <w:color w:val="auto"/>
              </w:rPr>
              <w:t>Senior Vice President</w:t>
            </w: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37"/>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Ellen L. Barker</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 and Chief Information Officer</w:t>
            </w:r>
          </w:p>
        </w:tc>
      </w:tr>
      <w:tr>
        <w:trPr>
          <w:trHeight w:val="224"/>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Kyle M. Flessner</w:t>
            </w:r>
          </w:p>
        </w:tc>
        <w:tc>
          <w:tcPr>
            <w:tcW w:w="840" w:type="dxa"/>
            <w:vAlign w:val="bottom"/>
          </w:tcPr>
          <w:p>
            <w:pPr>
              <w:ind w:left="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6"/>
                <w:szCs w:val="16"/>
                <w:color w:val="auto"/>
              </w:rPr>
              <w:t>Senior Vice President</w:t>
            </w: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37"/>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Haviv Ilan</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w:t>
            </w:r>
          </w:p>
        </w:tc>
      </w:tr>
      <w:tr>
        <w:trPr>
          <w:trHeight w:val="224"/>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Hagop H. Kozanian</w:t>
            </w:r>
          </w:p>
        </w:tc>
        <w:tc>
          <w:tcPr>
            <w:tcW w:w="840" w:type="dxa"/>
            <w:vAlign w:val="bottom"/>
          </w:tcPr>
          <w:p>
            <w:pPr>
              <w:ind w:lef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6"/>
                <w:szCs w:val="16"/>
                <w:color w:val="auto"/>
              </w:rPr>
              <w:t>Senior Vice President</w:t>
            </w: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37"/>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Rafael R. Lizardi</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 Chief Financial Officer and Chief Accounting Officer</w:t>
            </w:r>
          </w:p>
        </w:tc>
      </w:tr>
      <w:tr>
        <w:trPr>
          <w:trHeight w:val="224"/>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Amichai Ron</w:t>
            </w:r>
          </w:p>
        </w:tc>
        <w:tc>
          <w:tcPr>
            <w:tcW w:w="840" w:type="dxa"/>
            <w:vAlign w:val="bottom"/>
          </w:tcPr>
          <w:p>
            <w:pPr>
              <w:ind w:lef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6"/>
                <w:szCs w:val="16"/>
                <w:color w:val="auto"/>
              </w:rPr>
              <w:t>Senior Vice President</w:t>
            </w: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37"/>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Richard K. Templeton</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 Chairman of the Board, President and Chief Executive Officer</w:t>
            </w:r>
          </w:p>
        </w:tc>
      </w:tr>
      <w:tr>
        <w:trPr>
          <w:trHeight w:val="224"/>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Cynthia Hoff Trochu</w:t>
            </w:r>
          </w:p>
        </w:tc>
        <w:tc>
          <w:tcPr>
            <w:tcW w:w="840" w:type="dxa"/>
            <w:vAlign w:val="bottom"/>
          </w:tcPr>
          <w:p>
            <w:pPr>
              <w:ind w:left="2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6"/>
                <w:szCs w:val="16"/>
                <w:color w:val="auto"/>
              </w:rPr>
              <w:t>Senior Vice President, Secretary and General Counsel</w:t>
            </w: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37"/>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Julie M. Van Haren</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w:t>
            </w:r>
          </w:p>
        </w:tc>
      </w:tr>
      <w:tr>
        <w:trPr>
          <w:trHeight w:val="224"/>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Darla H. Whitaker</w:t>
            </w:r>
          </w:p>
        </w:tc>
        <w:tc>
          <w:tcPr>
            <w:tcW w:w="840" w:type="dxa"/>
            <w:vAlign w:val="bottom"/>
          </w:tcPr>
          <w:p>
            <w:pPr>
              <w:ind w:left="2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6"/>
                <w:szCs w:val="16"/>
                <w:color w:val="auto"/>
              </w:rPr>
              <w:t>Senior Vice President</w:t>
            </w:r>
          </w:p>
        </w:tc>
      </w:tr>
      <w:tr>
        <w:trPr>
          <w:trHeight w:val="33"/>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24"/>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Bing Xie</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w:t>
            </w:r>
          </w:p>
        </w:tc>
      </w:tr>
      <w:tr>
        <w:trPr>
          <w:trHeight w:val="33"/>
        </w:trPr>
        <w:tc>
          <w:tcPr>
            <w:tcW w:w="3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term of office of these officers is from the date of their election until their successor shall have been elected and qualified. All have been employees of the company for more than five years. Messrs. Templeton and Xie and Ms. Whitaker have served as executive officers of the company for more than five years. Ms. Trochu became an executive officer of the company in 2015. Messrs. Anderskouv, Ilan and Lizardi and Mses. Barker and Van Haren became executive officers of the company in 2017. Messrs. Bahai, Flessner and Kozanian became executive officers of the company in 2018. Mr. Ron became an executive officer in 2019. Mr. Anderskouv was previously an executive officer of the company from 2012 to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had 29,768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internet address is www.ti.com. Information on our website is not part of this report. We make available free of charge through our Investor Relations website our reports on Forms 10-K, 10-Q and 8-K, and amendments to those reports, as soon as reasonably practicable after they are filed with the SEC. Also available through the TI Investor Relations website are reports filed by our directors and executive officers on Forms 3, 4 and 5, and amendments to those reports.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Available on our website at www.ti.com/corporategovernance: (i) our Corporate Governance Guidelines; (ii) charters for the Audit, Compensation, and Governance and Stockholder Relations Committees of our board of directors; (iii) our Code of Conduct; and (iv) our Code of Ethics for TI Chief Executive Officer and Senior Finance Officers. Stockholders may request copies of these documents free of charge by writing to Texas Instruments Incorporated, P.O. Box 660199, MS 8657, Dallas, Texas, 75266-0199, Attention: Investor Relations.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many companies, we are susceptible to a potential downturn associated with macroeconomic weakness, which may affect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dividends or share repurchases, and other factors, many of which are beyond our control.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Our global operations subject us to risks associated with domestic or international political, social, economic or other conditions.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facilities in more than 30 countries. About 85% of our revenue comes from shipments to locations outside the United States; shipments of products into China represent a large portion of our revenue. Certain countries where we operate have experienced, and other countries may experience, increasing protectionism that affects global trade and macroeconomic conditions through the enactment of tariffs, import or export restrictions, trade embargoes and sanctions, restrictions on cross-border investment and other trade barriers. This protectionism impacts our ability to deliver products and product support into China, could cause Chinese customers to seek alternate suppliers and could otherwise adversely affect our operations and financial results.</w:t>
      </w:r>
    </w:p>
    <w:p>
      <w:pPr>
        <w:spacing w:after="0" w:line="15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are exposed to political, social and economic conditions, security risks, terrorism or other hostile acts, health conditions, labor conditions, and possible disruptions in transportation, communications and information technology networks of the various countries in which we operate.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in conjunction with trade tensions, may restrict us from participating in the China market or may prevent us from competing effectively. Certain competitors possess sufficient financial, technical and management resources to develop and market products that may compete favorably against our products, and consolidation among our competitors may allow them to compete more effectively.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expected demand for our products could have a material adverse effect on our results of operations.</w:t>
      </w:r>
    </w:p>
    <w:p>
      <w:pPr>
        <w:spacing w:after="0" w:line="225"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Our customers include companies in a wide range of end markets and sectors within those markets. If demand in one or more sectors within our end markets declines or the rate of growth slows, our results of operations may be adversely affected. The cyclical nature of the semiconductor market occasionally leads to significant and rapid increases and decreases in product demand. Additionally, the loss or significant curtailment of purchases by one or more of our large customers, including curtailments due to a change in the design or manufacturing sourcing policies or practices of these customers, the timing of customer or distributor inventory adjustments, or trade restrictions, may adversely affect our results of operations and financial condition.</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results of operations also might suffer because of a general decline in customer demand resulting from, for example: uncertainty regarding the stability of global credit and financial markets; natural events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11" w:right="279" w:bottom="1440" w:gutter="0" w:footer="0" w:header="0"/>
        </w:sectPr>
      </w:pPr>
    </w:p>
    <w:bookmarkStart w:id="8" w:name="page9"/>
    <w:bookmarkEnd w:id="8"/>
    <w:p>
      <w:pPr>
        <w:ind w:right="600"/>
        <w:spacing w:after="0" w:line="277" w:lineRule="auto"/>
        <w:rPr>
          <w:sz w:val="20"/>
          <w:szCs w:val="20"/>
          <w:color w:val="auto"/>
        </w:rPr>
      </w:pPr>
      <w:r>
        <w:rPr>
          <w:rFonts w:ascii="Arial" w:cs="Arial" w:eastAsia="Arial" w:hAnsi="Arial"/>
          <w:sz w:val="18"/>
          <w:szCs w:val="18"/>
          <w:u w:val="single" w:color="auto"/>
          <w:color w:val="auto"/>
        </w:rPr>
        <w:t>Our operating results and our reputation could be adversely affected by breaches, disruptions or other incidents relating to our information technology systems.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Breaches, disruptions or other incidents relating to our information technology systems or the systems of our customers, vendors and other third parties could be caused by factors such as computer viruses, system failures, restricted network access, unauthorized access, terrorism, employee malfeasance, or human error. These events could, among other things, compromise our information technology networks; result in corrupt or lost data or the unauthorized release of our, our customers’ or our suppliers’ confidential or proprietary information; cause a disruption to our manufacturing and other operations; result in the release of personal data; or cause us to incur costs associated with increased protection, remediation, regulatory inquiries or penalties, or claims for damages, any of which could adversely affect our operating results and our reputation. Cybersecurity or other threats to our information technology systems or the systems of our customers, vendors and other third parties are frequent and constantly evolving, thereby increasing the difficulty of defending against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ability to successfully implement strategic, business and organizational changes could affect our business plans and results of operations.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we undertake strategic, business and organizational changes, including acquisitions, divestitures and restructuring actions, to support or carry out our objectives. Our failure to successfully implement these changes could adversely affect our business plans and operating results. We may not achieve or sustain the expected growth, cost savings or other benefits of strategic, business and organizational changes, and restructuring charges could differ materially in amount and timing from our expectations.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operate.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manufacturing, data and design facilities and other operations in locations subject to natural occurrences such as severe weather, geological events or health epidemics that could disrupt operations. A natural disaster that results in a prolonged disruption, particularly where we have principal manufacturing and design operations, as listed in Item 2. Properties, may adversely affect our results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Rapid technological change in markets we serve requires us to develop new technologies and products.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in a timely manner. We make significant investments in research and development to improve existing technology and products, develop new products to meet changing customer demands, and improve our production processes. In some cases, we might not realize a return or the expected return on our investments because they are generally made before commercial viability can be assured. Further, projects that are commercially viable may not contribute to our operating results until at least a few years after they are completed.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supply chain and manufacturing risks.</w:t>
      </w:r>
    </w:p>
    <w:p>
      <w:pPr>
        <w:spacing w:after="0" w:line="2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rely on third parties to supply us with goods and services in a cost-effective and timely manner. Our access to needed goods and services may be adversely affected by potential disputes with suppliers or disruptions in our suppliers’ operations as a result of, for example: quality excursions; uncertainty regarding the stability of global credit and financial markets; domestic or international political, social, economic and other conditions; natural events or health epidemics in the locations in which our suppliers operate; or limited or delayed access to key raw materials, natural resources and utilities. Additionally, a breach or other incident relating to our suppliers’ information technology systems could result in a release of confidential or proprietary information. If our suppliers are unable to access credit markets and other sources of needed liquidity, we may be unable to obtain needed supplies, collect accounts receivable or access needed technology.</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particular, our manufacturing processes and critical manufacturing equipment require that certain key raw materials, natural resources and utilities be available. Limited or delayed access to and high costs of these items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 that we change the sourcing of materials we cannot identify as conflict-free.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9" w:name="page10"/>
    <w:bookmarkEnd w:id="9"/>
    <w:p>
      <w:pPr>
        <w:ind w:right="260"/>
        <w:spacing w:after="0" w:line="273" w:lineRule="auto"/>
        <w:rPr>
          <w:sz w:val="20"/>
          <w:szCs w:val="20"/>
          <w:color w:val="auto"/>
        </w:rPr>
      </w:pPr>
      <w:r>
        <w:rPr>
          <w:rFonts w:ascii="Arial" w:cs="Arial" w:eastAsia="Arial" w:hAnsi="Arial"/>
          <w:sz w:val="17"/>
          <w:szCs w:val="17"/>
          <w:color w:val="auto"/>
        </w:rPr>
        <w:t>Our inability to timely implement new manufacturing technologies or install manufacturing equipment could adversely affect our results of operations. We subcontract a portion of our wafer fabrication and assembly and testing of our products, and we depend on third parties to provide advanced logic manufacturing process technology development.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in a timely, cost effective, and appropriate manner, the possibility of suppliers’ imposition of increased costs on us and the unauthorized disclosure or use of our intellectual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and our reputation could be affected by warranty claims, product liability claims, product recalls or legal proceedings.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Claims based on warranty, product liability, epidemic or delivery failures, or other grounds relating to our products, manufacturing, services, designs, communications or cybersecurity could lead to significant expenses as we defend the claims or pay damage awards or settlements. In the event of a claim, we would also incur costs if we decide to compensate the affected customer or end consumer. Any such claims may also cause us to write off the value of related inventory. We maintain product liability insurance, but there is no guarantee that such insurance will be available or adequate to protect against all such claims. In addition, it is possible for a customer to recall a product containing a TI part, for example, with respect to products used in automotive applications or handheld electronics, which may cause us to incur costs and expenses relating to the recall. Any of these events could adversely affect our results of operations, financial condition and reputation.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could be affected by the complex laws, rules and regulations to which our business is subject.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subject to complex laws, rules and regulations affecting our domestic and international operations relating to, for example, the environment, safety and health; trade; bribery and corruption; financial reporting; tax; data privacy and protection; labor and employment; competition; market access; intellectual property ownership and infringement; and the movement of currency. Compliance with these laws, rules and regulations may be onerous and expensive and could restrict our ability to manufacture or ship our products and operate our business. If we fail to comply or if we become subject to enforcement activity, we could be subject to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16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raw material or process might not be available, or might not be available at reasonable cost.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 rate to increase, including a change in the jurisdictions in which our profits are earned and taxed; a change in the mix of profits from those jurisdictions; changes in available tax credits or deductions, including for amounts relating to stock compensation; changes in applicable tax rates; changes in tariff regulations or surcharges; changes in accounting principles; or adverse resolution of audits by taxing authorities. We have deferred tax assets on our balance sheet. Changes in applicable tax laws and regulations or in our business performance could affect our ability to realize those deferred tax assets, which could also affect our results of operations.</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addition, we are subject to laws and regulations in various jurisdictions that determine how much profit has been earned and when it is subject to taxation in that jurisdiction. These laws and regulations can be complex and subject to interpretation. Changes in these laws and regulations, including those that align with the Organisation for Economic Cooperation and Development’s Base Erosion and Profit Shifting recommendations, could affect the locations where we are deemed to earn income, which could in turn affect our results of operations. Each quarter we forecast our tax expense based on our forecast of our performance for the year. If that performance forecast changes, our forecasted tax expense will change.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Our results of operations and financial condition could be adversely affected if a customer or a distributor suffers a loss with respect to our inventory.</w:t>
      </w:r>
    </w:p>
    <w:p>
      <w:pPr>
        <w:spacing w:after="0" w:line="2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consignment inventory programs in place for some of our largest customers and distributors. If a customer or distributor were to experience a loss with respect to TI-consigned inventory, our results of operations and financial condition would be adversely affected if we do not recover the full value of the lost inventory from the customer, distributor or insurer, or if our recovery is delayed.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results of operations could be adversely affected by our distributors’ promotion of competing product lines or our distributors’ financial performance.</w:t>
      </w:r>
    </w:p>
    <w:p>
      <w:pPr>
        <w:spacing w:after="0" w:line="23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2019, about 65% of our revenue was generated from sales of our products through distributors. Our distributors carry competing product lines, and our sales could be affected if our distributors promote competing products over our products. Moreover, our results of operations could be affected if our distributors suffer financial difficulties that result in their inability to pay amounts owed to us. Disputes with significant distributors could be disruptive or harmful to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margins vary.</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profit margins vary due to a number of factors, which may include customer demand and shipment volume; our manufacturing processes; product mix; inventory levels; tariffs; and new accounting pronouncements or changes in existing accounting practices or standards. In addition, we operate in a highly competitive market environment that might adversely affect pricing for our products. Because we own much of our manufacturing capacity, a significant portion of our operating costs is fixed. In general, these fixed costs do not decline with reductions in customer demand or factory loadings, and can adversely affect profit margins as a result.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maintain freedom of operation.</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Access to worldwide markets depends in part on the continued strength of our intellectual property portfolio in all jurisdictions where we conduct business. There can be no assurance that, as our business evolves, we will obtain the necessary intellectual property rights, or that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We, directly or indirectly, face infringement claims from third parties, including non-practicing entities that have acquired patents to pursue enforcement actions against other companies. We also face infringement claims where we or our customers make, use or sell products and where the intellectual property laws may be less established or less predictable. These assertions, whether or not of any merit,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18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actively enforce and protect our own intellectual property rights. However, our efforts cannot prevent all misappropriation or improper use of our protected technology and information, including, for example, third parties’ use of our patented or copyrighted technology, or our trade secrets in their products without the right to do so, or third parties’ sale of counterfeit products bearing our trademark. The risk of unfair copying or cloning may impede our ability to sell our products. The laws of countries where we operate may not protect our intellectual property rights to the same extent as U.S. laws.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our other risk factors, many of which are beyond our control. In addition, our obligation to make principal and interest payments could divert funds that otherwise would be invested in our operations or returned to shareholders, or could cause us to raise funds by, for example, issuing new debt or equity or selling assets.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11"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Our results of operations and liquidity could be affected by changes in the financial markets.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bank accounts, one or more multiyear revolving credit agreements, and a portfolio of investments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Increases in health care and pension benefit costs could affect our results of operations and financial condition.</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Federal and state health care reform programs could increase our costs with regard to medical coverage of our employees, which could reduce profitability and affect our results of operations and financial condition. In addition, obligations related to our pension and other postretirement plans reflect assumptions that affect the planned funding and costs of these plans, including the actual return on plan assets, discount rates, plan participant population demographics and changes in pension regulations. Changes in these assumptions may affect plan funding, cash flow and results of operations, and our costs and funding obligations could increase significantly if our plans’ actual experience differs from these assumptions.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continued success depends in part on our ability to retain and recruit a sufficient number of qualified employees in a competitive environment.</w:t>
      </w:r>
    </w:p>
    <w:p>
      <w:pPr>
        <w:spacing w:after="0" w:line="23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Our continued success depends in part on the retention and recruitment of skilled personnel, as well as the effective management of succession for key employees. Skilled and experienced personnel in our industry, including engineering, management, marketing, technical and staff personnel, are in high demand and competition for their talents is intense. There can be no assurance that we will be able to successfully retain and recruit the key engineering, management and technical personnel that we require to execute our business strategy. Our ability to recruit internationally or deploy employees to various locations may be limited by immigration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have a significant amount of goodwill and intangible assets on our consolidated balance sheet. Charges associated with impairments of goodwill or intangible assets could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Embedded</w:t>
            </w:r>
          </w:p>
        </w:tc>
      </w:tr>
      <w:tr>
        <w:trPr>
          <w:trHeight w:val="210"/>
        </w:trPr>
        <w:tc>
          <w:tcPr>
            <w:tcW w:w="89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Analog</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5"/>
              </w:rPr>
              <w:t>Processing</w:t>
            </w:r>
          </w:p>
        </w:tc>
      </w:tr>
      <w:tr>
        <w:trPr>
          <w:trHeight w:val="33"/>
        </w:trPr>
        <w:tc>
          <w:tcPr>
            <w:tcW w:w="89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North Texas (Dallas, Richardson and Sherman)</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24"/>
        </w:trPr>
        <w:tc>
          <w:tcPr>
            <w:tcW w:w="8900" w:type="dxa"/>
            <w:vAlign w:val="bottom"/>
          </w:tcPr>
          <w:p>
            <w:pPr>
              <w:ind w:left="20"/>
              <w:spacing w:after="0"/>
              <w:rPr>
                <w:sz w:val="20"/>
                <w:szCs w:val="20"/>
                <w:color w:val="auto"/>
              </w:rPr>
            </w:pPr>
            <w:r>
              <w:rPr>
                <w:rFonts w:ascii="Arial" w:cs="Arial" w:eastAsia="Arial" w:hAnsi="Arial"/>
                <w:sz w:val="16"/>
                <w:szCs w:val="16"/>
                <w:color w:val="auto"/>
              </w:rPr>
              <w:t>Houston, Texas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33"/>
        </w:trPr>
        <w:tc>
          <w:tcPr>
            <w:tcW w:w="8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Tucson, Arizona *</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8900" w:type="dxa"/>
            <w:vAlign w:val="bottom"/>
          </w:tcPr>
          <w:p>
            <w:pPr>
              <w:ind w:left="20"/>
              <w:spacing w:after="0"/>
              <w:rPr>
                <w:sz w:val="20"/>
                <w:szCs w:val="20"/>
                <w:color w:val="auto"/>
              </w:rPr>
            </w:pPr>
            <w:r>
              <w:rPr>
                <w:rFonts w:ascii="Arial" w:cs="Arial" w:eastAsia="Arial" w:hAnsi="Arial"/>
                <w:sz w:val="16"/>
                <w:szCs w:val="16"/>
                <w:color w:val="auto"/>
              </w:rPr>
              <w:t>Santa Clara, California</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Pr>
          <w:p>
            <w:pPr>
              <w:spacing w:after="0"/>
              <w:rPr>
                <w:sz w:val="19"/>
                <w:szCs w:val="19"/>
                <w:color w:val="auto"/>
              </w:rPr>
            </w:pPr>
          </w:p>
        </w:tc>
      </w:tr>
      <w:tr>
        <w:trPr>
          <w:trHeight w:val="33"/>
        </w:trPr>
        <w:tc>
          <w:tcPr>
            <w:tcW w:w="8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South Portland, Maine</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8900" w:type="dxa"/>
            <w:vAlign w:val="bottom"/>
          </w:tcPr>
          <w:p>
            <w:pPr>
              <w:ind w:left="20"/>
              <w:spacing w:after="0"/>
              <w:rPr>
                <w:sz w:val="20"/>
                <w:szCs w:val="20"/>
                <w:color w:val="auto"/>
              </w:rPr>
            </w:pPr>
            <w:r>
              <w:rPr>
                <w:rFonts w:ascii="Arial" w:cs="Arial" w:eastAsia="Arial" w:hAnsi="Arial"/>
                <w:sz w:val="16"/>
                <w:szCs w:val="16"/>
                <w:color w:val="auto"/>
              </w:rPr>
              <w:t>Chengdu, China †</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33"/>
        </w:trPr>
        <w:tc>
          <w:tcPr>
            <w:tcW w:w="8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Shanghai, China *</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24"/>
        </w:trPr>
        <w:tc>
          <w:tcPr>
            <w:tcW w:w="8900" w:type="dxa"/>
            <w:vAlign w:val="bottom"/>
          </w:tcPr>
          <w:p>
            <w:pPr>
              <w:ind w:left="20"/>
              <w:spacing w:after="0"/>
              <w:rPr>
                <w:sz w:val="20"/>
                <w:szCs w:val="20"/>
                <w:color w:val="auto"/>
              </w:rPr>
            </w:pPr>
            <w:r>
              <w:rPr>
                <w:rFonts w:ascii="Arial" w:cs="Arial" w:eastAsia="Arial" w:hAnsi="Arial"/>
                <w:sz w:val="16"/>
                <w:szCs w:val="16"/>
                <w:color w:val="auto"/>
              </w:rPr>
              <w:t>Freising, Germany</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33"/>
        </w:trPr>
        <w:tc>
          <w:tcPr>
            <w:tcW w:w="8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Bangalore, India †</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24"/>
        </w:trPr>
        <w:tc>
          <w:tcPr>
            <w:tcW w:w="8900" w:type="dxa"/>
            <w:vAlign w:val="bottom"/>
          </w:tcPr>
          <w:p>
            <w:pPr>
              <w:ind w:left="20"/>
              <w:spacing w:after="0"/>
              <w:rPr>
                <w:sz w:val="20"/>
                <w:szCs w:val="20"/>
                <w:color w:val="auto"/>
              </w:rPr>
            </w:pPr>
            <w:r>
              <w:rPr>
                <w:rFonts w:ascii="Arial" w:cs="Arial" w:eastAsia="Arial" w:hAnsi="Arial"/>
                <w:sz w:val="16"/>
                <w:szCs w:val="16"/>
                <w:color w:val="auto"/>
              </w:rPr>
              <w:t>Aizu, Japan</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33"/>
        </w:trPr>
        <w:tc>
          <w:tcPr>
            <w:tcW w:w="8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Miho, Japan</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24"/>
        </w:trPr>
        <w:tc>
          <w:tcPr>
            <w:tcW w:w="8900" w:type="dxa"/>
            <w:vAlign w:val="bottom"/>
          </w:tcPr>
          <w:p>
            <w:pPr>
              <w:ind w:left="20"/>
              <w:spacing w:after="0"/>
              <w:rPr>
                <w:sz w:val="20"/>
                <w:szCs w:val="20"/>
                <w:color w:val="auto"/>
              </w:rPr>
            </w:pPr>
            <w:r>
              <w:rPr>
                <w:rFonts w:ascii="Arial" w:cs="Arial" w:eastAsia="Arial" w:hAnsi="Arial"/>
                <w:sz w:val="16"/>
                <w:szCs w:val="16"/>
                <w:color w:val="auto"/>
              </w:rPr>
              <w:t>Kuala Lumpur, Malaysia †</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33"/>
        </w:trPr>
        <w:tc>
          <w:tcPr>
            <w:tcW w:w="8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Melaka, Malaysia †</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8900" w:type="dxa"/>
            <w:vAlign w:val="bottom"/>
          </w:tcPr>
          <w:p>
            <w:pPr>
              <w:ind w:left="20"/>
              <w:spacing w:after="0"/>
              <w:rPr>
                <w:sz w:val="20"/>
                <w:szCs w:val="20"/>
                <w:color w:val="auto"/>
              </w:rPr>
            </w:pPr>
            <w:r>
              <w:rPr>
                <w:rFonts w:ascii="Arial" w:cs="Arial" w:eastAsia="Arial" w:hAnsi="Arial"/>
                <w:sz w:val="16"/>
                <w:szCs w:val="16"/>
                <w:color w:val="auto"/>
              </w:rPr>
              <w:t>Aguascalientes, Mexico *</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Pr>
          <w:p>
            <w:pPr>
              <w:spacing w:after="0"/>
              <w:rPr>
                <w:sz w:val="19"/>
                <w:szCs w:val="19"/>
                <w:color w:val="auto"/>
              </w:rPr>
            </w:pPr>
          </w:p>
        </w:tc>
      </w:tr>
      <w:tr>
        <w:trPr>
          <w:trHeight w:val="33"/>
        </w:trPr>
        <w:tc>
          <w:tcPr>
            <w:tcW w:w="8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Baguio, Philippines †</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24"/>
        </w:trPr>
        <w:tc>
          <w:tcPr>
            <w:tcW w:w="8900" w:type="dxa"/>
            <w:vAlign w:val="bottom"/>
          </w:tcPr>
          <w:p>
            <w:pPr>
              <w:ind w:left="20"/>
              <w:spacing w:after="0"/>
              <w:rPr>
                <w:sz w:val="20"/>
                <w:szCs w:val="20"/>
                <w:color w:val="auto"/>
              </w:rPr>
            </w:pPr>
            <w:r>
              <w:rPr>
                <w:rFonts w:ascii="Arial" w:cs="Arial" w:eastAsia="Arial" w:hAnsi="Arial"/>
                <w:sz w:val="16"/>
                <w:szCs w:val="16"/>
                <w:color w:val="auto"/>
              </w:rPr>
              <w:t>Pampanga (Clark), Philippines †</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33"/>
        </w:trPr>
        <w:tc>
          <w:tcPr>
            <w:tcW w:w="8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4"/>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Taipei, Taiwan †</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33"/>
        </w:trPr>
        <w:tc>
          <w:tcPr>
            <w:tcW w:w="89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Leased.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Portions of the facilities are leased and owned. This may include land leases.</w:t>
      </w:r>
    </w:p>
    <w:p>
      <w:pPr>
        <w:spacing w:after="0" w:line="21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facilities in the United States contained approximately 12.9 million square feet at December 31, 2019, of which approximately 0.5 million square feet were leased. Our facilities outside the United States contained approximately 9.7 million square feet at December 31, 2019, of which approximately 1.4 million square feet were leased.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2019, we occupied substantially all of the space in our facilities.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five years. We believe our current properties are suitable and adequate for their intended purpose.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TI common stock is quoted on The Nasdaq Global Select Market under the ticker symbol TXN. At December 31, 2019, we had 13,098 stockholders of record.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fourth quarter of 2019.</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3"/>
              </w:rPr>
              <w:t>Approximate Dollar Value</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6"/>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1"/>
              </w:rPr>
              <w:t>Average Price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5"/>
                <w:szCs w:val="15"/>
                <w:color w:val="auto"/>
              </w:rPr>
            </w:pPr>
          </w:p>
        </w:tc>
        <w:tc>
          <w:tcPr>
            <w:tcW w:w="202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Purchased</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w w:val="90"/>
              </w:rPr>
              <w:t>Paid per Share</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Programs (a)</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92"/>
              </w:rPr>
              <w:t>or Programs (a)</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October 1, 2019 through October 31, 2019</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1,420,035</w:t>
            </w: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124.15</w:t>
            </w: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1,413,384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24"/>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November 1, 2019 through November 30, 2019</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2,013,945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118.57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2,013,945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13.26</w:t>
            </w:r>
          </w:p>
        </w:tc>
        <w:tc>
          <w:tcPr>
            <w:tcW w:w="1100" w:type="dxa"/>
            <w:vAlign w:val="bottom"/>
          </w:tcPr>
          <w:p>
            <w:pPr>
              <w:ind w:left="10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1, 2019 through December 31, 2019</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618,048</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120.37</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618,048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4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4,052,028</w:t>
            </w:r>
          </w:p>
        </w:tc>
        <w:tc>
          <w:tcPr>
            <w:tcW w:w="4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(b)</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120.80</w:t>
            </w: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(b)</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4,045,377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13.18</w:t>
            </w:r>
          </w:p>
        </w:tc>
        <w:tc>
          <w:tcPr>
            <w:tcW w:w="1100" w:type="dxa"/>
            <w:vAlign w:val="bottom"/>
          </w:tcPr>
          <w:p>
            <w:pPr>
              <w:ind w:left="100"/>
              <w:spacing w:after="0"/>
              <w:rPr>
                <w:sz w:val="20"/>
                <w:szCs w:val="20"/>
                <w:color w:val="auto"/>
              </w:rPr>
            </w:pPr>
            <w:r>
              <w:rPr>
                <w:rFonts w:ascii="Arial" w:cs="Arial" w:eastAsia="Arial" w:hAnsi="Arial"/>
                <w:sz w:val="16"/>
                <w:szCs w:val="16"/>
                <w:color w:val="auto"/>
              </w:rPr>
              <w:t>billion (c)</w:t>
            </w: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264" w:lineRule="auto"/>
        <w:tabs>
          <w:tab w:leader="none" w:pos="337"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$6.0 billion of additional shares of TI common stock announced September 21, 2017. On September 20, 2018, our board of directors authorized the purchase of an additional $12.0 billion of our common stock.</w:t>
      </w:r>
    </w:p>
    <w:p>
      <w:pPr>
        <w:spacing w:after="0" w:line="73" w:lineRule="exact"/>
        <w:rPr>
          <w:rFonts w:ascii="Arial" w:cs="Arial" w:eastAsia="Arial" w:hAnsi="Arial"/>
          <w:sz w:val="18"/>
          <w:szCs w:val="18"/>
          <w:color w:val="auto"/>
        </w:rPr>
      </w:pPr>
    </w:p>
    <w:p>
      <w:pPr>
        <w:ind w:left="340" w:right="60" w:hanging="332"/>
        <w:spacing w:after="0" w:line="277"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open-market purchases, 6,651 shares of common stock were surrendered by employees to satisfy tax withholding obligations in connection with the vesting of restricted stock units.</w:t>
      </w:r>
    </w:p>
    <w:p>
      <w:pPr>
        <w:spacing w:after="0" w:line="62" w:lineRule="exact"/>
        <w:rPr>
          <w:rFonts w:ascii="Arial" w:cs="Arial" w:eastAsia="Arial" w:hAnsi="Arial"/>
          <w:sz w:val="18"/>
          <w:szCs w:val="18"/>
          <w:color w:val="auto"/>
        </w:rPr>
      </w:pPr>
    </w:p>
    <w:p>
      <w:pPr>
        <w:ind w:left="340" w:right="700" w:hanging="332"/>
        <w:spacing w:after="0" w:line="277" w:lineRule="auto"/>
        <w:tabs>
          <w:tab w:leader="none" w:pos="337"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December 31, 2019, this amount consisted of the remaining portion of the $6.0 billion authorized in September 2017 and the $12.0 billion authorized in September 2018. No expiration date has been specified for these authorizations.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339"/>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33"/>
        </w:trPr>
        <w:tc>
          <w:tcPr>
            <w:tcW w:w="4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6,649</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7,189</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5,363</w:t>
            </w:r>
          </w:p>
        </w:tc>
        <w:tc>
          <w:tcPr>
            <w:tcW w:w="1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4,614</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4,397</w:t>
            </w: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847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551</w:t>
            </w: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color w:val="auto"/>
              </w:rPr>
              <w:t>Free cash flow (a)</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5,802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6,058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4,668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4,083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3,846</w:t>
            </w: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1,444</w:t>
            </w: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color w:val="auto"/>
              </w:rPr>
              <w:t>Stock repurchases</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2,960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2,556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2,741</w:t>
            </w: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4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segment: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4980" w:type="dxa"/>
            <w:vAlign w:val="bottom"/>
          </w:tcPr>
          <w:p>
            <w:pPr>
              <w:ind w:left="120"/>
              <w:spacing w:after="0"/>
              <w:rPr>
                <w:sz w:val="20"/>
                <w:szCs w:val="20"/>
                <w:color w:val="auto"/>
              </w:rPr>
            </w:pPr>
            <w:r>
              <w:rPr>
                <w:rFonts w:ascii="Arial" w:cs="Arial" w:eastAsia="Arial" w:hAnsi="Arial"/>
                <w:sz w:val="16"/>
                <w:szCs w:val="16"/>
                <w:color w:val="auto"/>
              </w:rPr>
              <w:t>Analog</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10,223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10,801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9,900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8,536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8,339</w:t>
            </w: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2,943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2,787</w:t>
            </w:r>
          </w:p>
        </w:tc>
      </w:tr>
      <w:tr>
        <w:trPr>
          <w:trHeight w:val="224"/>
        </w:trPr>
        <w:tc>
          <w:tcPr>
            <w:tcW w:w="4980" w:type="dxa"/>
            <w:vAlign w:val="bottom"/>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1,811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1,874</w:t>
            </w:r>
          </w:p>
        </w:tc>
      </w:tr>
      <w:tr>
        <w:trPr>
          <w:trHeight w:val="33"/>
        </w:trPr>
        <w:tc>
          <w:tcPr>
            <w:tcW w:w="4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14,383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14,961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13,000</w:t>
            </w:r>
          </w:p>
        </w:tc>
      </w:tr>
      <w:tr>
        <w:trPr>
          <w:trHeight w:val="257"/>
        </w:trPr>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9,164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9,614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7,575</w:t>
            </w: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color w:val="auto"/>
              </w:rPr>
              <w:t>Operating expenses (R&amp;D and SG&amp;A)</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3,189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3,243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3,202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3,098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2,995</w:t>
            </w: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charges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329</w:t>
            </w: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color w:val="auto"/>
              </w:rPr>
              <w:t>Restructuring charges/other</w:t>
            </w:r>
          </w:p>
        </w:tc>
        <w:tc>
          <w:tcPr>
            <w:tcW w:w="2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4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5,723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6,083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4,322</w:t>
            </w:r>
          </w:p>
        </w:tc>
      </w:tr>
      <w:tr>
        <w:trPr>
          <w:trHeight w:val="257"/>
        </w:trPr>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5,017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2,986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0" w:right="160"/>
        <w:spacing w:after="0" w:line="293" w:lineRule="auto"/>
        <w:rPr>
          <w:sz w:val="20"/>
          <w:szCs w:val="20"/>
          <w:color w:val="auto"/>
        </w:rPr>
      </w:pPr>
      <w:r>
        <w:rPr>
          <w:rFonts w:ascii="Arial" w:cs="Arial" w:eastAsia="Arial" w:hAnsi="Arial"/>
          <w:sz w:val="16"/>
          <w:szCs w:val="16"/>
          <w:color w:val="auto"/>
        </w:rPr>
        <w:t>A portion of net income is allocated to unvested restricted stock units (RSUs) on which we pay dividend equivalents. Diluted earnings per share (EPS) is calculated using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5,017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3,682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3,595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2,986</w:t>
            </w: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color w:val="auto"/>
              </w:rPr>
              <w:t>Income allocated to RSUs</w:t>
            </w:r>
          </w:p>
        </w:tc>
        <w:tc>
          <w:tcPr>
            <w:tcW w:w="4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4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2"/>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common shares for diluted EPS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4,986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5,538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3,551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2,944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diluted shares outstanding (millions)</w:t>
            </w: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952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1,043</w:t>
            </w: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5.24</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2.82</w:t>
            </w:r>
          </w:p>
        </w:tc>
      </w:tr>
      <w:tr>
        <w:trPr>
          <w:trHeight w:val="33"/>
        </w:trPr>
        <w:tc>
          <w:tcPr>
            <w:tcW w:w="4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1.40</w:t>
            </w:r>
          </w:p>
        </w:tc>
      </w:tr>
      <w:tr>
        <w:trPr>
          <w:trHeight w:val="33"/>
        </w:trPr>
        <w:tc>
          <w:tcPr>
            <w:tcW w:w="4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Free cash flow is a </w:t>
      </w:r>
      <w:r>
        <w:rPr>
          <w:rFonts w:ascii="Arial" w:cs="Arial" w:eastAsia="Arial" w:hAnsi="Arial"/>
          <w:sz w:val="18"/>
          <w:szCs w:val="18"/>
          <w:color w:val="auto"/>
        </w:rPr>
        <w:t>non-GAAP</w:t>
      </w:r>
      <w:r>
        <w:rPr>
          <w:rFonts w:ascii="Arial" w:cs="Arial" w:eastAsia="Arial" w:hAnsi="Arial"/>
          <w:sz w:val="16"/>
          <w:szCs w:val="16"/>
          <w:color w:val="auto"/>
        </w:rPr>
        <w:t xml:space="preserve"> measure derived by subtracting capital expenditures from cash flows from operating activities.</w:t>
      </w:r>
    </w:p>
    <w:p>
      <w:pPr>
        <w:spacing w:after="0" w:line="63" w:lineRule="exact"/>
        <w:rPr>
          <w:rFonts w:ascii="Arial" w:cs="Arial" w:eastAsia="Arial" w:hAnsi="Arial"/>
          <w:sz w:val="16"/>
          <w:szCs w:val="16"/>
          <w:color w:val="auto"/>
        </w:rPr>
      </w:pPr>
    </w:p>
    <w:p>
      <w:pPr>
        <w:ind w:left="7720"/>
        <w:spacing w:after="0"/>
        <w:rPr>
          <w:rFonts w:ascii="Arial" w:cs="Arial" w:eastAsia="Arial" w:hAnsi="Arial"/>
          <w:sz w:val="16"/>
          <w:szCs w:val="16"/>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37465</wp:posOffset>
            </wp:positionV>
            <wp:extent cx="40906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33"/>
        </w:trPr>
        <w:tc>
          <w:tcPr>
            <w:tcW w:w="4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color w:val="auto"/>
              </w:rPr>
              <w:t>Cash, cash equivalents and short-term investments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5,387</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4,233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4,469</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3,490</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3,218</w:t>
            </w: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18,018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16,230</w:t>
            </w: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1,000</w:t>
            </w:r>
          </w:p>
        </w:tc>
      </w:tr>
      <w:tr>
        <w:trPr>
          <w:trHeight w:val="3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3,120</w:t>
            </w:r>
          </w:p>
        </w:tc>
      </w:tr>
      <w:tr>
        <w:trPr>
          <w:trHeight w:val="33"/>
        </w:trPr>
        <w:tc>
          <w:tcPr>
            <w:tcW w:w="4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Management’s discussion and analysis of financial condition and results of operations and Financial statements and supplementary data.</w:t>
      </w:r>
    </w:p>
    <w:p>
      <w:pPr>
        <w:sectPr>
          <w:pgSz w:w="11900" w:h="16838" w:orient="portrait"/>
          <w:cols w:equalWidth="0" w:num="1">
            <w:col w:w="11420"/>
          </w:cols>
          <w:pgMar w:left="240" w:top="1107" w:right="2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design, make and sell semiconductors to electronics designers and manufacturers all over the world. 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When we are successful in achieving these ambitions, our employees, customers, communities and shareholders all win.</w:t>
      </w:r>
    </w:p>
    <w:p>
      <w:pPr>
        <w:spacing w:after="0" w:line="17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Our business model is designed around the following four sustainable competitive advantages that we believe, in combination, put us in a unique class of companies:</w:t>
      </w:r>
    </w:p>
    <w:p>
      <w:pPr>
        <w:spacing w:after="0" w:line="169" w:lineRule="exact"/>
        <w:rPr>
          <w:sz w:val="20"/>
          <w:szCs w:val="20"/>
          <w:color w:val="auto"/>
        </w:rPr>
      </w:pPr>
    </w:p>
    <w:p>
      <w:pPr>
        <w:ind w:left="660" w:hanging="328"/>
        <w:spacing w:after="0" w:line="273"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 strong foundation of manufacturing and technology. </w:t>
      </w:r>
      <w:r>
        <w:rPr>
          <w:rFonts w:ascii="Arial" w:cs="Arial" w:eastAsia="Arial" w:hAnsi="Arial"/>
          <w:sz w:val="17"/>
          <w:szCs w:val="17"/>
          <w:color w:val="auto"/>
        </w:rPr>
        <w:t>We invest in manufacturing technologies and do most of our manufacturing in-house. This</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investing in our advanced analog 300-millimeter capacity, which has about a 40% cost advantage per unpackaged chip over 200-millimeter. To strengthen this advantage, we are moving forward with our plan to build our new 300-millimeter wafer fabrication facility in Richardson, Texas, as 300-millimeter wafers will continue to support the majority of our Analog growth.</w:t>
      </w:r>
    </w:p>
    <w:p>
      <w:pPr>
        <w:spacing w:after="0" w:line="70" w:lineRule="exact"/>
        <w:rPr>
          <w:rFonts w:ascii="Arial" w:cs="Arial" w:eastAsia="Arial" w:hAnsi="Arial"/>
          <w:sz w:val="17"/>
          <w:szCs w:val="17"/>
          <w:color w:val="auto"/>
        </w:rPr>
      </w:pPr>
    </w:p>
    <w:p>
      <w:pPr>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Broad portfolio of differentiated analog and embedded processing products. </w:t>
      </w:r>
      <w:r>
        <w:rPr>
          <w:rFonts w:ascii="Arial" w:cs="Arial" w:eastAsia="Arial" w:hAnsi="Arial"/>
          <w:sz w:val="18"/>
          <w:szCs w:val="18"/>
          <w:color w:val="auto"/>
        </w:rPr>
        <w:t>Our customers need multiple chips for their systems. The breadth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means we can meet more of these needs than our competitors can,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8" w:lineRule="exact"/>
        <w:rPr>
          <w:rFonts w:ascii="Arial" w:cs="Arial" w:eastAsia="Arial" w:hAnsi="Arial"/>
          <w:sz w:val="18"/>
          <w:szCs w:val="18"/>
          <w:color w:val="auto"/>
        </w:rPr>
      </w:pPr>
    </w:p>
    <w:p>
      <w:pPr>
        <w:jc w:val="both"/>
        <w:ind w:left="660" w:right="20" w:hanging="328"/>
        <w:spacing w:after="0" w:line="31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Reach of market channels. </w:t>
      </w:r>
      <w:r>
        <w:rPr>
          <w:rFonts w:ascii="Arial" w:cs="Arial" w:eastAsia="Arial" w:hAnsi="Arial"/>
          <w:sz w:val="16"/>
          <w:szCs w:val="16"/>
          <w:color w:val="auto"/>
        </w:rPr>
        <w:t>Customers often begin their initial product selection process and design-in journey on our website, and the breadth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attracts more customers to our website than any of our competitors’ websites. Our web presence and global sales and applications team are advantages that give us unique access and insight to about 100,000 customers designing TI semiconductors into their end products.</w:t>
      </w:r>
    </w:p>
    <w:p>
      <w:pPr>
        <w:spacing w:after="0" w:line="38" w:lineRule="exact"/>
        <w:rPr>
          <w:rFonts w:ascii="Arial" w:cs="Arial" w:eastAsia="Arial" w:hAnsi="Arial"/>
          <w:sz w:val="16"/>
          <w:szCs w:val="16"/>
          <w:color w:val="auto"/>
        </w:rPr>
      </w:pPr>
    </w:p>
    <w:p>
      <w:pPr>
        <w:ind w:left="660" w:hanging="328"/>
        <w:spacing w:after="0" w:line="31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Diversity and longevity of our products, markets and customer positions. </w:t>
      </w:r>
      <w:r>
        <w:rPr>
          <w:rFonts w:ascii="Arial" w:cs="Arial" w:eastAsia="Arial" w:hAnsi="Arial"/>
          <w:sz w:val="16"/>
          <w:szCs w:val="16"/>
          <w:color w:val="auto"/>
        </w:rPr>
        <w:t>Together, the attributes above result in diverse and long-lived positions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high terminal value to our shareholders. Because of the breadth of our portfolio, we are not dependent on any single product, customer, technology or market. Some of our products generate revenue for decades, which strengthens the return on our investments.</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strategic focus, and where we invest the majority of our resources, is on Analog and Embedded Processing, with a particular emphasis on designing and selling those products into the industrial and automotive markets. We believe these markets represent the best growth opportunities over the next decade or longer, due to increasing semiconductor content. Additionally, analog and embedded processing products sold into industrial and automotive markets provide long product life cycles, intrinsic diversity and less capital-intensive manufacturing, which we believe offer stability, profitability and strong cash generation.</w:t>
      </w:r>
    </w:p>
    <w:p>
      <w:pPr>
        <w:spacing w:after="0" w:line="15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This business model is the foundation of our capital management strategy, which is based on our belief that free cash flow growth, especially on a per-share basis, is important for maximizing shareholder value over the long term. We also believe that free cash flow will be valued only if it is productively invested in the business or returned to shareholders.</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combined effect of our ambitions, business model and sustainable competitive advantages is that we have continued to build a stronger company. Over time, we have gained market share in Analog and Embedded Processing and grown and returned all free cash flow to our owners.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660" w:right="20" w:hanging="328"/>
        <w:spacing w:after="0" w:line="26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07" w:right="299" w:bottom="1440" w:gutter="0" w:footer="0" w:header="0"/>
        </w:sectPr>
      </w:pPr>
    </w:p>
    <w:bookmarkStart w:id="16" w:name="page17"/>
    <w:bookmarkEnd w:id="16"/>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320" w:hanging="320"/>
        <w:spacing w:after="0" w:line="277"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New products do not tend to have a significant impact on our revenue in any given period because we sell such a large number of products.</w:t>
      </w:r>
    </w:p>
    <w:p>
      <w:pPr>
        <w:spacing w:after="0" w:line="140" w:lineRule="exact"/>
        <w:rPr>
          <w:rFonts w:ascii="Arial" w:cs="Arial" w:eastAsia="Arial" w:hAnsi="Arial"/>
          <w:sz w:val="16"/>
          <w:szCs w:val="16"/>
          <w:color w:val="auto"/>
        </w:rPr>
      </w:pPr>
    </w:p>
    <w:p>
      <w:pPr>
        <w:ind w:left="1300" w:right="240" w:hanging="320"/>
        <w:spacing w:after="0" w:line="277"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300" w:hanging="320"/>
        <w:spacing w:after="0" w:line="279" w:lineRule="auto"/>
        <w:tabs>
          <w:tab w:leader="none" w:pos="1296" w:val="left"/>
        </w:tabs>
        <w:numPr>
          <w:ilvl w:val="1"/>
          <w:numId w:val="8"/>
        </w:numPr>
        <w:rPr>
          <w:rFonts w:ascii="Arial" w:cs="Arial" w:eastAsia="Arial" w:hAnsi="Arial"/>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3"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results of operations discussed below provides details of our financial results for 2019 and 2018 and year-to-year comparisons between 2019 and 2018. Discussion of 2017 items and year-to-year comparisons between 2018 and 2017 that are not included in this Form 10-K can be found in “Management’s discussion and analysis of financial condition and results of operations” in Part II, Item 7 of the Company’s Annual Report on Form 10-K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2019, we continued our focus on analog and embedded processing products and the industrial and automotive markets. Together, these products and markets represent highly diverse opportunities with thousands of applications and long-term growth potential. Gross margin of 63.7% reflected the quality of our product portfolio, as well as the efficiency of our manufacturing strategy, including the benefit of 300-millimeter Analog production.</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focus on Analog and Embedded Processing allows us to generate strong cash flow from operations. Our cash flow from operations of $6.65 billion underscored the strength of our business model. Free cash flow was $5.80 billion and represented 40.3% of revenue, up from 38.4% a year ago. During 2019, we returned $5.97 billion to shareholders through a combination of stock repurchases and dividends. Our strategy is to return all free cash flow to shareholders. Our dividends represented 52% of free cash flow, underscoring their sustainability. For an explanation of free cash flow, see the Non-GAAP financial information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2019 compared with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$14.38 billion decreased $1.40 billion, or 9%, primarily due to lower revenue from Embedded Processing and Analog.</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Gross profit of $9.16 billion was down $1.11 billion, or 11%, primarily due to lower revenue. As a percentage of revenue, gross profit decreased to 63.7% from 65.1%.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$3.19 billion compared with $3.24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$288 million were non-cash. See Note 7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was a credit of $36 million due to the sale of our manufacturing facility in Greenock, Scotland.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$5.72 billion, or 39.8% of revenue, compared with $6.71 billion, or 42.5%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 (OI&amp;E) was $175 million of income compared with $98 million of income. See Note 12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$170 million increased $45 million due to the issuance of additional long-term debt.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17" w:name="page18"/>
    <w:bookmarkEnd w:id="17"/>
    <w:p>
      <w:pPr>
        <w:ind w:right="20"/>
        <w:spacing w:after="0" w:line="286" w:lineRule="auto"/>
        <w:rPr>
          <w:sz w:val="20"/>
          <w:szCs w:val="20"/>
          <w:color w:val="auto"/>
        </w:rPr>
      </w:pPr>
      <w:r>
        <w:rPr>
          <w:rFonts w:ascii="Arial" w:cs="Arial" w:eastAsia="Arial" w:hAnsi="Arial"/>
          <w:sz w:val="17"/>
          <w:szCs w:val="17"/>
          <w:color w:val="auto"/>
        </w:rPr>
        <w:t>Our provision for income taxes was $711 million compared with $1.11 billion. The decrease was due to lower income before income taxes and a lower annual operating tax rate. Our annual operating tax rate, which does not include discrete tax items, was 16% compared with 20% in 2018. We use “annual operating tax rate” to describe the estimated annual effective tax rate, as explained further in the Non-GAAP financial information section.</w:t>
      </w:r>
    </w:p>
    <w:p>
      <w:pPr>
        <w:spacing w:after="0" w:line="16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Our effective tax rate, which includes discrete tax items, was 12% in 2019 compared with 17% in 2018. See Note 4 to the financial statements for a reconciliation of the U.S. statutory income tax rate to our effective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$5.02 billion compared with $5.58 billion. EPS was $5.24 compared with $5.59.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 – 2019 compared with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10,223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10,801</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24"/>
        </w:trPr>
        <w:tc>
          <w:tcPr>
            <w:tcW w:w="73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00" w:type="dxa"/>
            <w:vAlign w:val="bottom"/>
          </w:tcPr>
          <w:p>
            <w:pPr>
              <w:spacing w:after="0"/>
              <w:rPr>
                <w:sz w:val="19"/>
                <w:szCs w:val="19"/>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4,477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5,109</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(12) %</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3"/>
        </w:trPr>
        <w:tc>
          <w:tcPr>
            <w:tcW w:w="7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Analog revenue decreased due to Power, High Volume and, to a lesser extent, Signal Chain. Operating profit decreased primarily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2,943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3,554</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24"/>
        </w:trPr>
        <w:tc>
          <w:tcPr>
            <w:tcW w:w="73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00" w:type="dxa"/>
            <w:vAlign w:val="bottom"/>
          </w:tcPr>
          <w:p>
            <w:pPr>
              <w:spacing w:after="0"/>
              <w:rPr>
                <w:sz w:val="19"/>
                <w:szCs w:val="19"/>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907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1,205</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(25) %</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3"/>
        </w:trPr>
        <w:tc>
          <w:tcPr>
            <w:tcW w:w="7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Embedded Processing revenue decreased in both product lines, led by Processors. Operating profit decreased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products, calculators and custom ASIC products)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4"/>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1,217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24"/>
        </w:trPr>
        <w:tc>
          <w:tcPr>
            <w:tcW w:w="7380" w:type="dxa"/>
            <w:vAlign w:val="bottom"/>
          </w:tcPr>
          <w:p>
            <w:pPr>
              <w:ind w:left="20"/>
              <w:spacing w:after="0"/>
              <w:rPr>
                <w:sz w:val="20"/>
                <w:szCs w:val="20"/>
                <w:color w:val="auto"/>
              </w:rPr>
            </w:pPr>
            <w:r>
              <w:rPr>
                <w:rFonts w:ascii="Arial" w:cs="Arial" w:eastAsia="Arial" w:hAnsi="Arial"/>
                <w:sz w:val="16"/>
                <w:szCs w:val="16"/>
                <w:color w:val="auto"/>
              </w:rPr>
              <w:t>Operating profit *</w:t>
            </w:r>
          </w:p>
        </w:tc>
        <w:tc>
          <w:tcPr>
            <w:tcW w:w="300" w:type="dxa"/>
            <w:vAlign w:val="bottom"/>
          </w:tcPr>
          <w:p>
            <w:pPr>
              <w:spacing w:after="0"/>
              <w:rPr>
                <w:sz w:val="19"/>
                <w:szCs w:val="19"/>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399</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3"/>
        </w:trPr>
        <w:tc>
          <w:tcPr>
            <w:tcW w:w="7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Includes acquisition charges and restructuring charges/other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$212 million, and operating profit decreased $60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2019, total cash (cash and cash equivalents plus short-term investments) was $5.39 billion, an increase of $1.15 billion from the end of 2018.</w:t>
      </w:r>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Accounts receivable were $1.07 billion, a decrease of $133 million compared with the end of 2018. Days sales outstanding were 29 at the end of both 2019 and 2018.</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Inventory was $2.00 billion, a decrease of $216 million from the end of 2018. Days of inventory at the end of 2019 were 144 compared with 152 at the end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 rate, revolving credit facility. Cash flows from operating activities for 2019 were $6.65 billion, a decrease of $540 million primarily due to lower net income.</w:t>
      </w: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18" w:name="page19"/>
    <w:bookmarkEnd w:id="18"/>
    <w:p>
      <w:pPr>
        <w:ind w:right="28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2024. This credit facility also serves as support for the issuance of commercial paper. As of December 31, 2019, our credit facility was undrawn, and we had no commercial paper outstanding.</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Investing activities for 2019 used $1.92 billion compared with $78 million in 2018. Capital expenditures were $847 million compared with $1.13 billion in 2018 and were primarily for semiconductor manufacturing equipment in both periods. Short-term investments used cash of $1.14 billion in 2019 and provided cash proceeds of $1.07 billion in 2018.</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Financing activities for 2019 used $4.73 billion compared with $6.33 billion in 2018. In 2019, we received net proceeds of $1.49 billion from the issuance of fixed-rate, long-term debt and retired maturing debt of $750 million. In 2018, we received net proceeds of $1.50 billion from the issuance of fixed-rate, long-term debt and retired maturing debt of $500 million. Dividends paid in 2019 were $3.01 billion compared with $2.56 billion in 2018, reflecting an increase in the dividend rate, partially offset by fewer shares outstanding. We used $2.96 billion to repurchase 27.4 million shares of our common stock compared with $5.10 billion used in 2018 to repurchase 49.5 million shares. Employee exercises of stock options provided cash proceeds of $539 million compared with $373 million in 2018.</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had $2.44 billion of cash and cash equivalents and $2.95 billion of short-term investments as of December 31, 2019.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7"/>
              </w:rPr>
              <w:t>For Years Ended December 31,</w:t>
            </w:r>
          </w:p>
        </w:tc>
        <w:tc>
          <w:tcPr>
            <w:tcW w:w="160" w:type="dxa"/>
            <w:vAlign w:val="bottom"/>
          </w:tcPr>
          <w:p>
            <w:pPr>
              <w:spacing w:after="0"/>
              <w:rPr>
                <w:sz w:val="18"/>
                <w:szCs w:val="18"/>
                <w:color w:val="auto"/>
              </w:rPr>
            </w:pPr>
          </w:p>
        </w:tc>
      </w:tr>
      <w:tr>
        <w:trPr>
          <w:trHeight w:val="33"/>
        </w:trPr>
        <w:tc>
          <w:tcPr>
            <w:tcW w:w="8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(GAAP)</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6,649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7,189</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84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(847)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(1,131)</w:t>
            </w:r>
          </w:p>
        </w:tc>
        <w:tc>
          <w:tcPr>
            <w:tcW w:w="160" w:type="dxa"/>
            <w:vAlign w:val="bottom"/>
          </w:tcPr>
          <w:p>
            <w:pPr>
              <w:spacing w:after="0"/>
              <w:rPr>
                <w:sz w:val="19"/>
                <w:szCs w:val="19"/>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7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 (non-GAAP)</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5,802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6,058</w:t>
            </w:r>
          </w:p>
        </w:tc>
        <w:tc>
          <w:tcPr>
            <w:tcW w:w="160" w:type="dxa"/>
            <w:vAlign w:val="bottom"/>
            <w:tcBorders>
              <w:bottom w:val="single" w:sz="8" w:color="auto"/>
            </w:tcBorders>
            <w:shd w:val="clear" w:color="auto" w:fill="CCEEFF"/>
          </w:tcPr>
          <w:p>
            <w:pPr>
              <w:spacing w:after="0"/>
              <w:rPr>
                <w:sz w:val="23"/>
                <w:szCs w:val="23"/>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8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27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14,383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15,784</w:t>
            </w:r>
          </w:p>
        </w:tc>
        <w:tc>
          <w:tcPr>
            <w:tcW w:w="160" w:type="dxa"/>
            <w:vAlign w:val="bottom"/>
            <w:tcBorders>
              <w:bottom w:val="single" w:sz="8" w:color="auto"/>
            </w:tcBorders>
            <w:shd w:val="clear" w:color="auto" w:fill="CCEEFF"/>
          </w:tcPr>
          <w:p>
            <w:pPr>
              <w:spacing w:after="0"/>
              <w:rPr>
                <w:sz w:val="23"/>
                <w:szCs w:val="23"/>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8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as a percentage of revenue (GAAP)</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46.2 %</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8400" w:type="dxa"/>
            <w:vAlign w:val="bottom"/>
          </w:tcPr>
          <w:p>
            <w:pPr>
              <w:ind w:left="20"/>
              <w:spacing w:after="0"/>
              <w:rPr>
                <w:sz w:val="20"/>
                <w:szCs w:val="20"/>
                <w:color w:val="auto"/>
              </w:rPr>
            </w:pPr>
            <w:r>
              <w:rPr>
                <w:rFonts w:ascii="Arial" w:cs="Arial" w:eastAsia="Arial" w:hAnsi="Arial"/>
                <w:sz w:val="16"/>
                <w:szCs w:val="16"/>
                <w:color w:val="auto"/>
              </w:rPr>
              <w:t>Free cash flow as a percentage of revenue (non-GAAP)</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40.3 %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38.4</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bl>
    <w:p>
      <w:pPr>
        <w:spacing w:after="0" w:line="23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gridSpan w:val="6"/>
          </w:tcPr>
          <w:p>
            <w:pPr>
              <w:jc w:val="right"/>
              <w:spacing w:after="0"/>
              <w:rPr>
                <w:sz w:val="20"/>
                <w:szCs w:val="20"/>
                <w:color w:val="auto"/>
              </w:rPr>
            </w:pPr>
            <w:r>
              <w:rPr>
                <w:rFonts w:ascii="Arial" w:cs="Arial" w:eastAsia="Arial" w:hAnsi="Arial"/>
                <w:sz w:val="16"/>
                <w:szCs w:val="16"/>
                <w:b w:val="1"/>
                <w:bCs w:val="1"/>
                <w:color w:val="auto"/>
                <w:w w:val="90"/>
              </w:rPr>
              <w:t>Payments Due by Period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9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2021/2022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b w:val="1"/>
                <w:bCs w:val="1"/>
                <w:color w:val="auto"/>
              </w:rPr>
              <w:t>2023/2024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debt (a)</w:t>
            </w: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8,566</w:t>
            </w:r>
          </w:p>
        </w:tc>
      </w:tr>
      <w:tr>
        <w:trPr>
          <w:trHeight w:val="224"/>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Purchase commitments (b)</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1,065</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Transition tax on indefinitely reinvested earnings (c)</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506</w:t>
            </w:r>
          </w:p>
        </w:tc>
      </w:tr>
      <w:tr>
        <w:trPr>
          <w:trHeight w:val="224"/>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Operating leases (d)</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386</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Deferred compensation plans (e)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w:t>
            </w:r>
          </w:p>
        </w:tc>
      </w:tr>
      <w:tr>
        <w:trPr>
          <w:trHeight w:val="247"/>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Total (f)</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2,033</w:t>
            </w: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6,032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10,798</w:t>
            </w:r>
          </w:p>
        </w:tc>
      </w:tr>
      <w:tr>
        <w:trPr>
          <w:trHeight w:val="24"/>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Principal and related interest payments for our long-term debt obligations, including amounts classified as the current portion of long-term debt.</w:t>
      </w:r>
    </w:p>
    <w:p>
      <w:pPr>
        <w:spacing w:after="0" w:line="128" w:lineRule="exact"/>
        <w:rPr>
          <w:rFonts w:ascii="Arial" w:cs="Arial" w:eastAsia="Arial" w:hAnsi="Arial"/>
          <w:sz w:val="17"/>
          <w:szCs w:val="17"/>
          <w:color w:val="auto"/>
        </w:rPr>
      </w:pPr>
    </w:p>
    <w:p>
      <w:pPr>
        <w:ind w:left="340" w:right="240" w:hanging="332"/>
        <w:spacing w:after="0" w:line="342" w:lineRule="auto"/>
        <w:tabs>
          <w:tab w:leader="none" w:pos="33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payments for software licenses and contractual arrangements with suppliers when there is a fixed, non-cancellable payment schedule or when minimum payments are due with a reduced delivery schedule. Excludes cancellable arrangements. See Note 11 to the financial statements.</w:t>
      </w:r>
    </w:p>
    <w:p>
      <w:pPr>
        <w:spacing w:after="0" w:line="15" w:lineRule="exact"/>
        <w:rPr>
          <w:rFonts w:ascii="Arial" w:cs="Arial" w:eastAsia="Arial" w:hAnsi="Arial"/>
          <w:sz w:val="16"/>
          <w:szCs w:val="16"/>
          <w:color w:val="auto"/>
        </w:rPr>
      </w:pPr>
    </w:p>
    <w:p>
      <w:pPr>
        <w:ind w:left="340" w:right="20" w:hanging="332"/>
        <w:spacing w:after="0" w:line="277" w:lineRule="auto"/>
        <w:tabs>
          <w:tab w:leader="none" w:pos="33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payments for the one-time transition tax on our indefinitely reinvested earnings related to the 2017 enactment of the U.S. Tax Cuts and Jobs Act. See Note 4 to the financial statements.</w:t>
      </w:r>
    </w:p>
    <w:p>
      <w:pPr>
        <w:spacing w:after="0" w:line="62" w:lineRule="exact"/>
        <w:rPr>
          <w:rFonts w:ascii="Arial" w:cs="Arial" w:eastAsia="Arial" w:hAnsi="Arial"/>
          <w:sz w:val="18"/>
          <w:szCs w:val="18"/>
          <w:color w:val="auto"/>
        </w:rPr>
      </w:pPr>
    </w:p>
    <w:p>
      <w:pPr>
        <w:ind w:left="340" w:right="140" w:hanging="332"/>
        <w:spacing w:after="0" w:line="27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minimum payments for leased facilities and equipment and purchases of industrial gases under contracts accounted for as operating leases. See Note 10 to the financial statements.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Estimated payments for certain liabilities that existed as of December 31, 2019.</w:t>
      </w:r>
    </w:p>
    <w:p>
      <w:pPr>
        <w:spacing w:after="0" w:line="117" w:lineRule="exact"/>
        <w:rPr>
          <w:rFonts w:ascii="Arial" w:cs="Arial" w:eastAsia="Arial" w:hAnsi="Arial"/>
          <w:sz w:val="18"/>
          <w:szCs w:val="18"/>
          <w:color w:val="auto"/>
        </w:rPr>
      </w:pPr>
    </w:p>
    <w:p>
      <w:pPr>
        <w:ind w:left="340" w:right="220" w:hanging="332"/>
        <w:spacing w:after="0" w:line="276" w:lineRule="auto"/>
        <w:tabs>
          <w:tab w:leader="none" w:pos="331"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Excludes $303 million of uncertain tax liabilities under ASC 740, as well as any planned future funding contributions to retirement benefit plans. Amounts associated with uncertain tax liabilities have been excluded because of the difficulty in making reasonably reliable estimates of the timing of cash settlements with the respective taxing authorities. Regarding future funding of retirement benefit plans, we plan to contribute about $20 million in 2020, but funding projections beyond 2020 are not practical to estimate due to the rules affecting tax-deductible contributions and the impact from the plans’ asset performance, interest rates and potential U.S. and non-U.S. legislation.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accounting policies are more fully described in Note 2 of the consolidated financial statements. As disclosed in Note 2, the preparation of consolidated financial statements in conformity with U.S. GAAP requires management to make estimates and assumptions about future events that affect the amounts reported in the financial statements and accompanying notes. However, based on facts and circumstances inherent in developing estimates and assumptions, management believes it is unlikely that applying other estimates and assumptions would have a material impact on the financial statements. We consider the following accounting policies to be those that are most important to the portrayal of our financial condition and that require a higher degree of judgment.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Based on management’s assessment of the revenue recognition criteria, we generally recognize revenue from sales of our products to distributors upon shipment or delivery to the distributors. For our consignment arrangements with distributors, delivery occurs and revenue is recognized when the distributor pulls product from consignment inventory that we store at designated locations. Recognition is not contingent upon resale of the products to the distributors’ customers in either scenario.</w:t>
      </w:r>
    </w:p>
    <w:p>
      <w:pPr>
        <w:spacing w:after="0" w:line="18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Revenue is recognized net of allowances, which are management’s estimates of future credits to be granted to distributors under programs common in the semiconductor industry. These allowances are not material and generally include special pricing arrangements, product returns due to quality issues, and incentives designed to maximize growth opportunities.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Allowances are based on analysis of historical data and contractual terms and are recorded when revenue is recognized. We believe we can reasonably and reliably estimate allowances for credits to distributors in a timely manner.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ordinary course of global business, there may be many transactions and calculations where the ultimate tax outcome is uncertain. The calculation of tax liabilities involves dealing with uncertainties in the interpretation and application of complex tax laws, and significant judgment is necessary to (i) determine whether, based on the technical merits, a tax position is more likely than not to be sustained and (ii) measure the amount of tax benefit that qualifies for recognition. We recognize potential liabilities for anticipated tax audit issues in the United States and other tax jurisdictions based on an estimate of the ultimate resolution of whether, and the extent to which, additional taxes will be due. Although we believe the estimates are reasonable, no assurance can be given that the final outcome of these matters will not be different from what is reflected in the historical income tax provisions and accruals.</w:t>
      </w:r>
    </w:p>
    <w:p>
      <w:pPr>
        <w:spacing w:after="0" w:line="16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Our judgment regarding future recoverability of our deferred tax assets may change due to various factors, including changes in U.S. or international tax laws and changes in market conditions and their impact on our assessment of taxable income in future periods. These changes, if any, may require adjustments to the deferred tax assets and an accompanying reduction or increase in net income in the period when such determinations are made.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Inventory is valued net of allowances for unsalable or obsolete raw materials, work-in-process and finished goods. Statistical allowances are determined quarterly for raw materials and work-in-process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considered unlikely to be sold. A specific allowance for each material type will be carried if there is a significant event not captured by the statistical allowance, such as an end-of-life part or demand with imminent risk of cancellation. Allowances are also calculated quarterly for instances where inventoried costs for individual products are in excess of the net realizable value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information regarding the status of new accounting and reporting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no significant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financial statements for a discussion of our commitments and contingencies.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11"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U.S. dollar is our functional currency for financial reporting. Our non-U.S. entities own assets or liabilities denominated in U.S. dollars or other currencies. Exchange rate fluctuations impact taxable income in those jurisdictions and consequently impact our effective tax rate.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balance sheet also reflects amounts remeasured from non-U.S. dollar currencies. Because most of the aggregate non-U.S. dollar balance sheet exposure is hedged by forward currency exchange contracts, based on year-end 2019 balances and currency exchange rates, a hypothetical 10% plus or minus fluctuation in non-U.S. currency exchange rates relative to the U.S. dollar would result in a pretax currency exchange gain or loss of less than $1 million.</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use these forward currency exchange contracts to reduce the earnings impact that exchange rate fluctuations may have on our non-U.S. dollar net balance sheet exposures. As of December 31, 2019, we had forward currency exchange contracts outstanding with a notional value of $458 million to hedge net balance sheet exposures (including $136 million to sell Japanese yen, $106 million to sell Indian rupees and $74 million to sell British pounds). Similar hedging activities existed at year-end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have the following potential exposure to changes in interest rates: (i) the effect of changes in interest rates on the fair value of our investments in cash equivalents and short-term investments, which could produce a gain or a loss; and (ii) the effect of changes in interest rates on the fair value of our debt.</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2019, a hypothetical 100 basis point increase in interest rates would decrease the fair value of our investments in cash equivalents and short-term investments by about $8 million and decrease the fair value of our long-term debt by $532 million. Because interest rates on our long-term debt are fixed, changes in interest rates would not affect the cash flows associated with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2019 include the following:</w:t>
      </w:r>
    </w:p>
    <w:p>
      <w:pPr>
        <w:spacing w:after="0" w:line="225" w:lineRule="exact"/>
        <w:rPr>
          <w:sz w:val="20"/>
          <w:szCs w:val="20"/>
          <w:color w:val="auto"/>
        </w:rPr>
      </w:pPr>
    </w:p>
    <w:p>
      <w:pPr>
        <w:ind w:left="660" w:right="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mutual funds </w:t>
      </w:r>
      <w:r>
        <w:rPr>
          <w:rFonts w:ascii="Arial" w:cs="Arial" w:eastAsia="Arial" w:hAnsi="Arial"/>
          <w:sz w:val="18"/>
          <w:szCs w:val="18"/>
          <w:color w:val="auto"/>
        </w:rPr>
        <w:t>– includes mutual funds that were selected to generate returns that offset changes in certain liabilities related to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arrangements. The mutual funds hold a variety of debt and equity investments.</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venture capital funds </w:t>
      </w:r>
      <w:r>
        <w:rPr>
          <w:rFonts w:ascii="Arial" w:cs="Arial" w:eastAsia="Arial" w:hAnsi="Arial"/>
          <w:sz w:val="18"/>
          <w:szCs w:val="18"/>
          <w:color w:val="auto"/>
        </w:rPr>
        <w:t>– includes investments in limited partnerships (accounted for under either the equity method or at cost as non-marketable equity securities).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 includes non-marketable (non-publicly traded) equity securities.</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deferred compensation liabilities such that a 10% increase or decrease in the investments’ fair values would not materially affect operating results. Non-marketable equity securities and certain venture capital funds are stated at cost minus impairment, if any, plus or minus changes resulting from qualifying observable price changes. Investments in the remaining venture capital funds are stated using the equity method. See Note 6 to the financial statements for details of equity and other long-term investments.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0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for each of the three years in the period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each of the three years in the period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Balance sheets as of December 31,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each of the three years in the period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for each of the three years in the period ended December 31, 2019</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107" w:right="6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0"/>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260" w:type="dxa"/>
            <w:vAlign w:val="bottom"/>
          </w:tcPr>
          <w:p>
            <w:pPr>
              <w:spacing w:after="0"/>
              <w:rPr>
                <w:sz w:val="18"/>
                <w:szCs w:val="18"/>
                <w:color w:val="auto"/>
              </w:rPr>
            </w:pPr>
          </w:p>
        </w:tc>
        <w:tc>
          <w:tcPr>
            <w:tcW w:w="27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820" w:type="dxa"/>
            <w:vAlign w:val="bottom"/>
          </w:tcPr>
          <w:p>
            <w:pPr>
              <w:spacing w:after="0"/>
              <w:rPr>
                <w:sz w:val="18"/>
                <w:szCs w:val="18"/>
                <w:color w:val="auto"/>
              </w:rPr>
            </w:pPr>
          </w:p>
        </w:tc>
      </w:tr>
      <w:tr>
        <w:trPr>
          <w:trHeight w:val="33"/>
        </w:trPr>
        <w:tc>
          <w:tcPr>
            <w:tcW w:w="7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14,383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15,784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14,961</w:t>
            </w:r>
          </w:p>
        </w:tc>
      </w:tr>
      <w:tr>
        <w:trPr>
          <w:trHeight w:val="224"/>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Cost of revenue (COR)</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5,219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5,507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5,347</w:t>
            </w:r>
          </w:p>
        </w:tc>
      </w:tr>
      <w:tr>
        <w:trPr>
          <w:trHeight w:val="33"/>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9,164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9,614</w:t>
            </w:r>
          </w:p>
        </w:tc>
      </w:tr>
      <w:tr>
        <w:trPr>
          <w:trHeight w:val="224"/>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(R&amp;D)</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1,544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1,508</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(SG&amp;A)</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1,684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1,694</w:t>
            </w:r>
          </w:p>
        </w:tc>
      </w:tr>
      <w:tr>
        <w:trPr>
          <w:trHeight w:val="224"/>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Acquisition charges</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288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318</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Restructuring charges/other</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r>
      <w:tr>
        <w:trPr>
          <w:trHeight w:val="217"/>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Operating profit</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5,723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6,713</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6,083</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 (OI&amp;E)</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r>
      <w:tr>
        <w:trPr>
          <w:trHeight w:val="224"/>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Interest and debt expense</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78</w:t>
            </w:r>
          </w:p>
        </w:tc>
      </w:tr>
      <w:tr>
        <w:trPr>
          <w:trHeight w:val="33"/>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5,728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6,686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6,080</w:t>
            </w:r>
          </w:p>
        </w:tc>
      </w:tr>
      <w:tr>
        <w:trPr>
          <w:trHeight w:val="224"/>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2,398</w:t>
            </w:r>
          </w:p>
        </w:tc>
      </w:tr>
      <w:tr>
        <w:trPr>
          <w:trHeight w:val="33"/>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2"/>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3,682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7"/>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Earnings per common share (EPS):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54"/>
        </w:trPr>
        <w:tc>
          <w:tcPr>
            <w:tcW w:w="756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3.68</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6"/>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7"/>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shares outstanding (millions):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54"/>
        </w:trPr>
        <w:tc>
          <w:tcPr>
            <w:tcW w:w="756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936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991</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6"/>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1,012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3,682</w:t>
            </w: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Income allocated to RSUs</w:t>
            </w:r>
          </w:p>
        </w:tc>
        <w:tc>
          <w:tcPr>
            <w:tcW w:w="4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7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common stock for diluted EPS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4,986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3,649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4725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actuarial losses of defined benefit plans: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Adjustments, net of tax effect of ($37), $35 and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Recognized within net income, net of tax effect of ($13), ($15) and ($27)</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Prior service credit of defined benefit plans:</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Arial" w:cs="Arial" w:eastAsia="Arial" w:hAnsi="Arial"/>
          <w:sz w:val="16"/>
          <w:szCs w:val="16"/>
          <w:b w:val="1"/>
          <w:bCs w:val="1"/>
          <w:color w:val="auto"/>
        </w:rPr>
        <w:t>For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24523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5,017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3,682</w:t>
            </w:r>
          </w:p>
        </w:tc>
      </w:tr>
      <w:tr>
        <w:trPr>
          <w:trHeight w:val="770"/>
        </w:trPr>
        <w:tc>
          <w:tcPr>
            <w:tcW w:w="26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88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92</w:t>
            </w:r>
          </w:p>
        </w:tc>
      </w:tr>
      <w:tr>
        <w:trPr>
          <w:trHeight w:val="257"/>
        </w:trPr>
        <w:tc>
          <w:tcPr>
            <w:tcW w:w="26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56</w:t>
            </w:r>
          </w:p>
        </w:tc>
      </w:tr>
    </w:tbl>
    <w:p>
      <w:pPr>
        <w:spacing w:after="0" w:line="289" w:lineRule="exact"/>
        <w:rPr>
          <w:sz w:val="20"/>
          <w:szCs w:val="20"/>
          <w:color w:val="auto"/>
        </w:rPr>
      </w:pPr>
    </w:p>
    <w:p>
      <w:pPr>
        <w:sectPr>
          <w:pgSz w:w="11900" w:h="16838" w:orient="portrait"/>
          <w:cols w:equalWidth="0" w:num="2">
            <w:col w:w="6840" w:space="720"/>
            <w:col w:w="3860"/>
          </w:cols>
          <w:pgMar w:left="240" w:top="949" w:right="239" w:bottom="1440" w:gutter="0" w:footer="0" w:header="0"/>
        </w:sectPr>
      </w:pPr>
    </w:p>
    <w:tbl>
      <w:tblPr>
        <w:tblLayout w:type="fixed"/>
        <w:tblInd w:w="0" w:type="dxa"/>
        <w:tblCellMar>
          <w:top w:w="0" w:type="dxa"/>
          <w:left w:w="0" w:type="dxa"/>
          <w:bottom w:w="0" w:type="dxa"/>
          <w:right w:w="0" w:type="dxa"/>
        </w:tblCellMar>
      </w:tblPr>
      <w:tr>
        <w:trPr>
          <w:trHeight w:val="257"/>
        </w:trPr>
        <w:tc>
          <w:tcPr>
            <w:tcW w:w="7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net of tax effect of $0, $1 and $1</w:t>
            </w:r>
          </w:p>
        </w:tc>
        <w:tc>
          <w:tcPr>
            <w:tcW w:w="4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54"/>
        </w:trPr>
        <w:tc>
          <w:tcPr>
            <w:tcW w:w="7560" w:type="dxa"/>
            <w:vAlign w:val="bottom"/>
          </w:tcPr>
          <w:p>
            <w:pPr>
              <w:ind w:left="220"/>
              <w:spacing w:after="0"/>
              <w:rPr>
                <w:sz w:val="20"/>
                <w:szCs w:val="20"/>
                <w:color w:val="auto"/>
              </w:rPr>
            </w:pPr>
            <w:r>
              <w:rPr>
                <w:rFonts w:ascii="Arial" w:cs="Arial" w:eastAsia="Arial" w:hAnsi="Arial"/>
                <w:sz w:val="16"/>
                <w:szCs w:val="16"/>
                <w:color w:val="auto"/>
              </w:rPr>
              <w:t>Recognized within net income, net of tax effect of $0, $1 and $1</w:t>
            </w:r>
          </w:p>
        </w:tc>
        <w:tc>
          <w:tcPr>
            <w:tcW w:w="40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40"/>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Derivative instruments:</w:t>
            </w: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54"/>
        </w:trPr>
        <w:tc>
          <w:tcPr>
            <w:tcW w:w="7560" w:type="dxa"/>
            <w:vAlign w:val="bottom"/>
          </w:tcPr>
          <w:p>
            <w:pPr>
              <w:ind w:left="220"/>
              <w:spacing w:after="0"/>
              <w:rPr>
                <w:sz w:val="20"/>
                <w:szCs w:val="20"/>
                <w:color w:val="auto"/>
              </w:rPr>
            </w:pPr>
            <w:r>
              <w:rPr>
                <w:rFonts w:ascii="Arial" w:cs="Arial" w:eastAsia="Arial" w:hAnsi="Arial"/>
                <w:sz w:val="16"/>
                <w:szCs w:val="16"/>
                <w:color w:val="auto"/>
              </w:rPr>
              <w:t>Change in fair value, net of tax effect of $0, $1 and $0</w:t>
            </w:r>
          </w:p>
        </w:tc>
        <w:tc>
          <w:tcPr>
            <w:tcW w:w="40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7"/>
        </w:trPr>
        <w:tc>
          <w:tcPr>
            <w:tcW w:w="7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within net income, net of tax effect of $0, $0 and $0</w:t>
            </w:r>
          </w:p>
        </w:tc>
        <w:tc>
          <w:tcPr>
            <w:tcW w:w="4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20"/>
        </w:trPr>
        <w:tc>
          <w:tcPr>
            <w:tcW w:w="7560" w:type="dxa"/>
            <w:vAlign w:val="bottom"/>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126</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142</w:t>
            </w:r>
          </w:p>
        </w:tc>
      </w:tr>
      <w:tr>
        <w:trPr>
          <w:trHeight w:val="33"/>
        </w:trPr>
        <w:tc>
          <w:tcPr>
            <w:tcW w:w="7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5,143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3,824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10"/>
        </w:trPr>
        <w:tc>
          <w:tcPr>
            <w:tcW w:w="888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Balance Sheets</w:t>
            </w: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spacing w:after="0"/>
              <w:rPr>
                <w:sz w:val="18"/>
                <w:szCs w:val="18"/>
                <w:color w:val="auto"/>
              </w:rPr>
            </w:pPr>
          </w:p>
        </w:tc>
      </w:tr>
      <w:tr>
        <w:trPr>
          <w:trHeight w:val="33"/>
        </w:trPr>
        <w:tc>
          <w:tcPr>
            <w:tcW w:w="8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88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 except share amounts)</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224"/>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2,437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2,438</w:t>
            </w:r>
          </w:p>
        </w:tc>
      </w:tr>
      <w:tr>
        <w:trPr>
          <w:trHeight w:val="224"/>
        </w:trPr>
        <w:tc>
          <w:tcPr>
            <w:tcW w:w="88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2,950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1,795</w:t>
            </w: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8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net of allowances of ($8) and ($19)</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1,074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1,207</w:t>
            </w:r>
          </w:p>
        </w:tc>
      </w:tr>
      <w:tr>
        <w:trPr>
          <w:trHeight w:val="224"/>
        </w:trPr>
        <w:tc>
          <w:tcPr>
            <w:tcW w:w="8880" w:type="dxa"/>
            <w:vAlign w:val="bottom"/>
            <w:gridSpan w:val="2"/>
          </w:tcPr>
          <w:p>
            <w:pPr>
              <w:ind w:left="220"/>
              <w:spacing w:after="0"/>
              <w:rPr>
                <w:sz w:val="20"/>
                <w:szCs w:val="20"/>
                <w:color w:val="auto"/>
              </w:rPr>
            </w:pPr>
            <w:r>
              <w:rPr>
                <w:rFonts w:ascii="Arial" w:cs="Arial" w:eastAsia="Arial" w:hAnsi="Arial"/>
                <w:sz w:val="16"/>
                <w:szCs w:val="16"/>
                <w:color w:val="auto"/>
              </w:rPr>
              <w:t>Raw materials</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181</w:t>
            </w: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Work in process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916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1,070</w:t>
            </w:r>
          </w:p>
        </w:tc>
      </w:tr>
      <w:tr>
        <w:trPr>
          <w:trHeight w:val="224"/>
        </w:trPr>
        <w:tc>
          <w:tcPr>
            <w:tcW w:w="8880" w:type="dxa"/>
            <w:vAlign w:val="bottom"/>
            <w:gridSpan w:val="2"/>
          </w:tcPr>
          <w:p>
            <w:pPr>
              <w:ind w:left="220"/>
              <w:spacing w:after="0"/>
              <w:rPr>
                <w:sz w:val="20"/>
                <w:szCs w:val="20"/>
                <w:color w:val="auto"/>
              </w:rPr>
            </w:pPr>
            <w:r>
              <w:rPr>
                <w:rFonts w:ascii="Arial" w:cs="Arial" w:eastAsia="Arial" w:hAnsi="Arial"/>
                <w:sz w:val="16"/>
                <w:szCs w:val="16"/>
                <w:color w:val="auto"/>
              </w:rPr>
              <w:t>Finished goods</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909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966</w:t>
            </w:r>
          </w:p>
        </w:tc>
      </w:tr>
      <w:tr>
        <w:trPr>
          <w:trHeight w:val="33"/>
        </w:trPr>
        <w:tc>
          <w:tcPr>
            <w:tcW w:w="8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2,217</w:t>
            </w:r>
          </w:p>
        </w:tc>
      </w:tr>
      <w:tr>
        <w:trPr>
          <w:trHeight w:val="217"/>
        </w:trPr>
        <w:tc>
          <w:tcPr>
            <w:tcW w:w="8880" w:type="dxa"/>
            <w:vAlign w:val="bottom"/>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440</w:t>
            </w:r>
          </w:p>
        </w:tc>
      </w:tr>
      <w:tr>
        <w:trPr>
          <w:trHeight w:val="33"/>
        </w:trPr>
        <w:tc>
          <w:tcPr>
            <w:tcW w:w="8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8,761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8,097</w:t>
            </w:r>
          </w:p>
        </w:tc>
      </w:tr>
      <w:tr>
        <w:trPr>
          <w:trHeight w:val="217"/>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at cost</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5,740</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5,425</w:t>
            </w: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8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w:t>
            </w:r>
          </w:p>
        </w:tc>
      </w:tr>
      <w:tr>
        <w:trPr>
          <w:trHeight w:val="217"/>
        </w:trPr>
        <w:tc>
          <w:tcPr>
            <w:tcW w:w="8880" w:type="dxa"/>
            <w:vAlign w:val="bottom"/>
            <w:gridSpan w:val="2"/>
          </w:tcPr>
          <w:p>
            <w:pPr>
              <w:ind w:left="120"/>
              <w:spacing w:after="0"/>
              <w:rPr>
                <w:sz w:val="20"/>
                <w:szCs w:val="20"/>
                <w:color w:val="auto"/>
              </w:rPr>
            </w:pPr>
            <w:r>
              <w:rPr>
                <w:rFonts w:ascii="Arial" w:cs="Arial" w:eastAsia="Arial" w:hAnsi="Arial"/>
                <w:sz w:val="16"/>
                <w:szCs w:val="16"/>
                <w:color w:val="auto"/>
              </w:rPr>
              <w:t>Property, plant and equipment</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3,303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3,183</w:t>
            </w:r>
          </w:p>
        </w:tc>
      </w:tr>
      <w:tr>
        <w:trPr>
          <w:trHeight w:val="33"/>
        </w:trPr>
        <w:tc>
          <w:tcPr>
            <w:tcW w:w="8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251</w:t>
            </w:r>
          </w:p>
        </w:tc>
      </w:tr>
      <w:tr>
        <w:trPr>
          <w:trHeight w:val="224"/>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4,362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4,362</w:t>
            </w: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intangibles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628</w:t>
            </w:r>
          </w:p>
        </w:tc>
      </w:tr>
      <w:tr>
        <w:trPr>
          <w:trHeight w:val="224"/>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295</w:t>
            </w: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Capitalized software licenses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w:t>
            </w:r>
          </w:p>
        </w:tc>
      </w:tr>
      <w:tr>
        <w:trPr>
          <w:trHeight w:val="224"/>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Overfunded retirement plans</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92</w:t>
            </w: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468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w:t>
            </w:r>
          </w:p>
        </w:tc>
      </w:tr>
      <w:tr>
        <w:trPr>
          <w:trHeight w:val="247"/>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18,018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17,137</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6"/>
        </w:trPr>
        <w:tc>
          <w:tcPr>
            <w:tcW w:w="8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4"/>
        </w:trPr>
        <w:tc>
          <w:tcPr>
            <w:tcW w:w="88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88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749</w:t>
            </w: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478</w:t>
            </w:r>
          </w:p>
        </w:tc>
      </w:tr>
      <w:tr>
        <w:trPr>
          <w:trHeight w:val="224"/>
        </w:trPr>
        <w:tc>
          <w:tcPr>
            <w:tcW w:w="88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724</w:t>
            </w: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r>
      <w:tr>
        <w:trPr>
          <w:trHeight w:val="224"/>
        </w:trPr>
        <w:tc>
          <w:tcPr>
            <w:tcW w:w="8880" w:type="dxa"/>
            <w:vAlign w:val="bottom"/>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420</w:t>
            </w:r>
          </w:p>
        </w:tc>
      </w:tr>
      <w:tr>
        <w:trPr>
          <w:trHeight w:val="33"/>
        </w:trPr>
        <w:tc>
          <w:tcPr>
            <w:tcW w:w="8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2,474</w:t>
            </w:r>
          </w:p>
        </w:tc>
      </w:tr>
      <w:tr>
        <w:trPr>
          <w:trHeight w:val="217"/>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5,303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4,319</w:t>
            </w: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Underfunded retirement plans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r>
      <w:tr>
        <w:trPr>
          <w:trHeight w:val="224"/>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42</w:t>
            </w: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1,190</w:t>
            </w:r>
          </w:p>
        </w:tc>
      </w:tr>
      <w:tr>
        <w:trPr>
          <w:trHeight w:val="217"/>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9,111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8,143</w:t>
            </w:r>
          </w:p>
        </w:tc>
      </w:tr>
      <w:tr>
        <w:trPr>
          <w:trHeight w:val="33"/>
        </w:trPr>
        <w:tc>
          <w:tcPr>
            <w:tcW w:w="8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213"/>
        </w:trPr>
        <w:tc>
          <w:tcPr>
            <w:tcW w:w="8880" w:type="dxa"/>
            <w:vAlign w:val="bottom"/>
            <w:gridSpan w:val="2"/>
          </w:tcPr>
          <w:p>
            <w:pPr>
              <w:ind w:left="140"/>
              <w:spacing w:after="0"/>
              <w:rPr>
                <w:sz w:val="20"/>
                <w:szCs w:val="20"/>
                <w:color w:val="auto"/>
              </w:rPr>
            </w:pPr>
            <w:r>
              <w:rPr>
                <w:rFonts w:ascii="Arial" w:cs="Arial" w:eastAsia="Arial" w:hAnsi="Arial"/>
                <w:sz w:val="16"/>
                <w:szCs w:val="16"/>
                <w:color w:val="auto"/>
              </w:rPr>
              <w:t>Preferred stock, $25 par value. Authorized – 10,000,000 shares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0"/>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Participating cumulative preferred – None issued</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r>
      <w:tr>
        <w:trPr>
          <w:trHeight w:val="213"/>
        </w:trPr>
        <w:tc>
          <w:tcPr>
            <w:tcW w:w="8880" w:type="dxa"/>
            <w:vAlign w:val="bottom"/>
            <w:gridSpan w:val="2"/>
          </w:tcPr>
          <w:p>
            <w:pPr>
              <w:ind w:left="140"/>
              <w:spacing w:after="0"/>
              <w:rPr>
                <w:sz w:val="20"/>
                <w:szCs w:val="20"/>
                <w:color w:val="auto"/>
              </w:rPr>
            </w:pPr>
            <w:r>
              <w:rPr>
                <w:rFonts w:ascii="Arial" w:cs="Arial" w:eastAsia="Arial" w:hAnsi="Arial"/>
                <w:sz w:val="16"/>
                <w:szCs w:val="16"/>
                <w:color w:val="auto"/>
              </w:rPr>
              <w:t>Common stock, $1 par value. Authorized – 2,400,000,000 shares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0"/>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issued – 1,740,815,939</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1,741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r>
      <w:tr>
        <w:trPr>
          <w:trHeight w:val="224"/>
        </w:trPr>
        <w:tc>
          <w:tcPr>
            <w:tcW w:w="88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2,110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1,950</w:t>
            </w: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39,898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37,906</w:t>
            </w:r>
          </w:p>
        </w:tc>
      </w:tr>
      <w:tr>
        <w:trPr>
          <w:trHeight w:val="224"/>
        </w:trPr>
        <w:tc>
          <w:tcPr>
            <w:tcW w:w="88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3"/>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2019 – 808,784,381; 2018 – 795,665,646</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(34,495)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(32,130)</w:t>
            </w:r>
          </w:p>
        </w:tc>
      </w:tr>
      <w:tr>
        <w:trPr>
          <w:trHeight w:val="224"/>
        </w:trPr>
        <w:tc>
          <w:tcPr>
            <w:tcW w:w="88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(347)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(473)</w:t>
            </w:r>
          </w:p>
        </w:tc>
      </w:tr>
      <w:tr>
        <w:trPr>
          <w:trHeight w:val="33"/>
        </w:trPr>
        <w:tc>
          <w:tcPr>
            <w:tcW w:w="8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8,907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8,994</w:t>
            </w:r>
          </w:p>
        </w:tc>
      </w:tr>
      <w:tr>
        <w:trPr>
          <w:trHeight w:val="247"/>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18,018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17,137</w:t>
            </w:r>
          </w:p>
        </w:tc>
      </w:tr>
      <w:tr>
        <w:trPr>
          <w:trHeight w:val="24"/>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420"/>
          </w:cols>
          <w:pgMar w:left="240" w:top="7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60" w:type="dxa"/>
            <w:vAlign w:val="bottom"/>
          </w:tcPr>
          <w:p>
            <w:pPr>
              <w:spacing w:after="0"/>
              <w:rPr>
                <w:sz w:val="18"/>
                <w:szCs w:val="18"/>
                <w:color w:val="auto"/>
              </w:rPr>
            </w:pPr>
          </w:p>
        </w:tc>
        <w:tc>
          <w:tcPr>
            <w:tcW w:w="27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820" w:type="dxa"/>
            <w:vAlign w:val="bottom"/>
          </w:tcPr>
          <w:p>
            <w:pPr>
              <w:spacing w:after="0"/>
              <w:rPr>
                <w:sz w:val="18"/>
                <w:szCs w:val="18"/>
                <w:color w:val="auto"/>
              </w:rPr>
            </w:pPr>
          </w:p>
        </w:tc>
      </w:tr>
      <w:tr>
        <w:trPr>
          <w:trHeight w:val="33"/>
        </w:trPr>
        <w:tc>
          <w:tcPr>
            <w:tcW w:w="7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24"/>
        </w:trPr>
        <w:tc>
          <w:tcPr>
            <w:tcW w:w="756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5,017</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3,682</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24"/>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708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539</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acquisition-related intangibles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w:t>
            </w:r>
          </w:p>
        </w:tc>
      </w:tr>
      <w:tr>
        <w:trPr>
          <w:trHeight w:val="224"/>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Amortization of capitalized software</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47</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w:t>
            </w:r>
          </w:p>
        </w:tc>
      </w:tr>
      <w:tr>
        <w:trPr>
          <w:trHeight w:val="224"/>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Gains on sales of assets</w:t>
            </w:r>
          </w:p>
        </w:tc>
        <w:tc>
          <w:tcPr>
            <w:tcW w:w="2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w:t>
            </w:r>
          </w:p>
        </w:tc>
      </w:tr>
      <w:tr>
        <w:trPr>
          <w:trHeight w:val="224"/>
        </w:trPr>
        <w:tc>
          <w:tcPr>
            <w:tcW w:w="7560" w:type="dxa"/>
            <w:vAlign w:val="bottom"/>
            <w:gridSpan w:val="2"/>
          </w:tcPr>
          <w:p>
            <w:pPr>
              <w:ind w:left="120"/>
              <w:spacing w:after="0"/>
              <w:rPr>
                <w:sz w:val="20"/>
                <w:szCs w:val="20"/>
                <w:color w:val="auto"/>
              </w:rPr>
            </w:pPr>
            <w:r>
              <w:rPr>
                <w:rFonts w:ascii="Arial" w:cs="Arial" w:eastAsia="Arial" w:hAnsi="Arial"/>
                <w:sz w:val="16"/>
                <w:szCs w:val="16"/>
                <w:color w:val="auto"/>
              </w:rPr>
              <w:t>Increase (decrease) from changes in: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24"/>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216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w:t>
            </w:r>
          </w:p>
        </w:tc>
      </w:tr>
      <w:tr>
        <w:trPr>
          <w:trHeight w:val="224"/>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51</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24"/>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468</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r>
      <w:tr>
        <w:trPr>
          <w:trHeight w:val="224"/>
        </w:trPr>
        <w:tc>
          <w:tcPr>
            <w:tcW w:w="756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5,363</w:t>
            </w:r>
          </w:p>
        </w:tc>
      </w:tr>
      <w:tr>
        <w:trPr>
          <w:trHeight w:val="237"/>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37"/>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24"/>
        </w:trPr>
        <w:tc>
          <w:tcPr>
            <w:tcW w:w="756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(847)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(695)</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r>
      <w:tr>
        <w:trPr>
          <w:trHeight w:val="224"/>
        </w:trPr>
        <w:tc>
          <w:tcPr>
            <w:tcW w:w="7560" w:type="dxa"/>
            <w:vAlign w:val="bottom"/>
            <w:gridSpan w:val="2"/>
          </w:tcPr>
          <w:p>
            <w:pPr>
              <w:ind w:left="120"/>
              <w:spacing w:after="0"/>
              <w:rPr>
                <w:sz w:val="20"/>
                <w:szCs w:val="20"/>
                <w:color w:val="auto"/>
              </w:rPr>
            </w:pPr>
            <w:r>
              <w:rPr>
                <w:rFonts w:ascii="Arial" w:cs="Arial" w:eastAsia="Arial" w:hAnsi="Arial"/>
                <w:sz w:val="16"/>
                <w:szCs w:val="16"/>
                <w:color w:val="auto"/>
              </w:rPr>
              <w:t>Purchases of short-term investments</w:t>
            </w:r>
          </w:p>
        </w:tc>
        <w:tc>
          <w:tcPr>
            <w:tcW w:w="2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(3,444)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(5,641)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(4,555)</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6,708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4,095</w:t>
            </w:r>
          </w:p>
        </w:tc>
      </w:tr>
      <w:tr>
        <w:trPr>
          <w:trHeight w:val="224"/>
        </w:trPr>
        <w:tc>
          <w:tcPr>
            <w:tcW w:w="756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(1,127)</w:t>
            </w:r>
          </w:p>
        </w:tc>
      </w:tr>
      <w:tr>
        <w:trPr>
          <w:trHeight w:val="237"/>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37"/>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24"/>
        </w:trPr>
        <w:tc>
          <w:tcPr>
            <w:tcW w:w="756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1,491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1,099</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w:t>
            </w:r>
          </w:p>
        </w:tc>
      </w:tr>
      <w:tr>
        <w:trPr>
          <w:trHeight w:val="224"/>
        </w:trPr>
        <w:tc>
          <w:tcPr>
            <w:tcW w:w="7560" w:type="dxa"/>
            <w:vAlign w:val="bottom"/>
            <w:gridSpan w:val="2"/>
          </w:tcPr>
          <w:p>
            <w:pPr>
              <w:ind w:left="1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(3,008)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(2,104)</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(2,556)</w:t>
            </w:r>
          </w:p>
        </w:tc>
      </w:tr>
      <w:tr>
        <w:trPr>
          <w:trHeight w:val="224"/>
        </w:trPr>
        <w:tc>
          <w:tcPr>
            <w:tcW w:w="7560" w:type="dxa"/>
            <w:vAlign w:val="bottom"/>
            <w:gridSpan w:val="2"/>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539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483</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17"/>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(4,730)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(6,329)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(3,734)</w:t>
            </w:r>
          </w:p>
        </w:tc>
      </w:tr>
      <w:tr>
        <w:trPr>
          <w:trHeight w:val="33"/>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4"/>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502</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1,154</w:t>
            </w:r>
          </w:p>
        </w:tc>
      </w:tr>
      <w:tr>
        <w:trPr>
          <w:trHeight w:val="247"/>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2,437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1,656</w:t>
            </w:r>
          </w:p>
        </w:tc>
      </w:tr>
      <w:tr>
        <w:trPr>
          <w:trHeight w:val="24"/>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Treasury</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Stockholders’ Equity</w:t>
            </w: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Capital</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Stock</w:t>
            </w:r>
          </w:p>
        </w:tc>
        <w:tc>
          <w:tcPr>
            <w:tcW w:w="26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33"/>
        </w:trPr>
        <w:tc>
          <w:tcPr>
            <w:tcW w:w="4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 except per-share amounts)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December 31, 2016</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1,674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33,107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(25,523)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40"/>
        </w:trPr>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2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Dividends declared and paid ($2.12 per share)</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920" w:type="dxa"/>
            <w:vAlign w:val="bottom"/>
            <w:gridSpan w:val="2"/>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920" w:type="dxa"/>
            <w:vAlign w:val="bottom"/>
            <w:gridSpan w:val="2"/>
          </w:tcPr>
          <w:p>
            <w:pPr>
              <w:ind w:left="120"/>
              <w:spacing w:after="0"/>
              <w:rPr>
                <w:sz w:val="20"/>
                <w:szCs w:val="20"/>
                <w:color w:val="auto"/>
              </w:rPr>
            </w:pPr>
            <w:r>
              <w:rPr>
                <w:rFonts w:ascii="Arial" w:cs="Arial" w:eastAsia="Arial" w:hAnsi="Arial"/>
                <w:sz w:val="16"/>
                <w:szCs w:val="16"/>
                <w:color w:val="auto"/>
              </w:rPr>
              <w:t>Stock compensation</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24"/>
        </w:trPr>
        <w:tc>
          <w:tcPr>
            <w:tcW w:w="4920" w:type="dxa"/>
            <w:vAlign w:val="bottom"/>
            <w:gridSpan w:val="2"/>
          </w:tcPr>
          <w:p>
            <w:pPr>
              <w:ind w:left="120"/>
              <w:spacing w:after="0"/>
              <w:rPr>
                <w:sz w:val="20"/>
                <w:szCs w:val="20"/>
                <w:color w:val="auto"/>
              </w:rPr>
            </w:pPr>
            <w:r>
              <w:rPr>
                <w:rFonts w:ascii="Arial" w:cs="Arial" w:eastAsia="Arial" w:hAnsi="Arial"/>
                <w:sz w:val="16"/>
                <w:szCs w:val="16"/>
                <w:color w:val="auto"/>
              </w:rPr>
              <w:t>Dividend equivalents on RSUs</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 December 31, 2017</w:t>
            </w: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1,776</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34,662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(27,458)</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40"/>
        </w:trPr>
        <w:tc>
          <w:tcPr>
            <w:tcW w:w="4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Dividends declared and paid ($2.63 per share)</w:t>
            </w:r>
          </w:p>
        </w:tc>
        <w:tc>
          <w:tcPr>
            <w:tcW w:w="2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920" w:type="dxa"/>
            <w:vAlign w:val="bottom"/>
            <w:gridSpan w:val="2"/>
          </w:tcPr>
          <w:p>
            <w:pPr>
              <w:ind w:left="120"/>
              <w:spacing w:after="0"/>
              <w:rPr>
                <w:sz w:val="20"/>
                <w:szCs w:val="20"/>
                <w:color w:val="auto"/>
              </w:rPr>
            </w:pPr>
            <w:r>
              <w:rPr>
                <w:rFonts w:ascii="Arial" w:cs="Arial" w:eastAsia="Arial" w:hAnsi="Arial"/>
                <w:sz w:val="16"/>
                <w:szCs w:val="16"/>
                <w:color w:val="auto"/>
              </w:rPr>
              <w:t>Stock repurchases</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Stock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920" w:type="dxa"/>
            <w:vAlign w:val="bottom"/>
            <w:gridSpan w:val="2"/>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Dividend equivalents on RSUs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920" w:type="dxa"/>
            <w:vAlign w:val="bottom"/>
            <w:gridSpan w:val="2"/>
          </w:tcPr>
          <w:p>
            <w:pPr>
              <w:ind w:left="120"/>
              <w:spacing w:after="0"/>
              <w:rPr>
                <w:sz w:val="20"/>
                <w:szCs w:val="20"/>
                <w:color w:val="auto"/>
              </w:rPr>
            </w:pPr>
            <w:r>
              <w:rPr>
                <w:rFonts w:ascii="Arial" w:cs="Arial" w:eastAsia="Arial" w:hAnsi="Arial"/>
                <w:sz w:val="16"/>
                <w:szCs w:val="16"/>
                <w:color w:val="auto"/>
              </w:rPr>
              <w:t>Cumulative effect of accounting changes</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 December 31, 2018</w:t>
            </w: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1,950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37,906</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(32,130)</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40"/>
        </w:trPr>
        <w:tc>
          <w:tcPr>
            <w:tcW w:w="4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4"/>
        </w:trPr>
        <w:tc>
          <w:tcPr>
            <w:tcW w:w="4920" w:type="dxa"/>
            <w:vAlign w:val="bottom"/>
            <w:gridSpan w:val="2"/>
          </w:tcPr>
          <w:p>
            <w:pPr>
              <w:ind w:left="140"/>
              <w:spacing w:after="0"/>
              <w:rPr>
                <w:sz w:val="20"/>
                <w:szCs w:val="20"/>
                <w:color w:val="auto"/>
              </w:rPr>
            </w:pPr>
            <w:r>
              <w:rPr>
                <w:rFonts w:ascii="Arial" w:cs="Arial" w:eastAsia="Arial" w:hAnsi="Arial"/>
                <w:sz w:val="16"/>
                <w:szCs w:val="16"/>
                <w:b w:val="1"/>
                <w:bCs w:val="1"/>
                <w:color w:val="auto"/>
              </w:rPr>
              <w:t>Dividends declared and paid ($3.21 per share)</w:t>
            </w:r>
          </w:p>
        </w:tc>
        <w:tc>
          <w:tcPr>
            <w:tcW w:w="2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(3,008)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Common stock issued for stock-based awards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4"/>
        </w:trPr>
        <w:tc>
          <w:tcPr>
            <w:tcW w:w="4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Stock repurchases</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(2,960)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Stock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4"/>
        </w:trPr>
        <w:tc>
          <w:tcPr>
            <w:tcW w:w="49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 comprehensive income (loss), net of taxes</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Dividend equivalents on RSUs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4"/>
        </w:trPr>
        <w:tc>
          <w:tcPr>
            <w:tcW w:w="49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39,898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(34,495)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See accompanying notes.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9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480"/>
        <w:spacing w:after="0" w:line="244"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calculators and custom ASIC products.</w:t>
      </w:r>
    </w:p>
    <w:p>
      <w:pPr>
        <w:spacing w:after="0" w:line="198" w:lineRule="exact"/>
        <w:rPr>
          <w:sz w:val="20"/>
          <w:szCs w:val="20"/>
          <w:color w:val="auto"/>
        </w:rPr>
      </w:pPr>
    </w:p>
    <w:p>
      <w:pPr>
        <w:jc w:val="both"/>
        <w:ind w:right="440"/>
        <w:spacing w:after="0" w:line="302" w:lineRule="auto"/>
        <w:rPr>
          <w:sz w:val="20"/>
          <w:szCs w:val="20"/>
          <w:color w:val="auto"/>
        </w:rPr>
      </w:pPr>
      <w:r>
        <w:rPr>
          <w:rFonts w:ascii="Arial" w:cs="Arial" w:eastAsia="Arial" w:hAnsi="Arial"/>
          <w:sz w:val="16"/>
          <w:szCs w:val="16"/>
          <w:color w:val="auto"/>
        </w:rPr>
        <w:t>In Other, we also include items that are not used in evaluating the results of or in allocating resources to our segments. Examples of these items include acquisition charges (see Note 7); restructuring charges (see Note 12);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5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We have no material intersegment revenue. The accounting policies of the segments are consistent with those described below in the summary of significant accounting policies and practices.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820" w:type="dxa"/>
            <w:vAlign w:val="bottom"/>
          </w:tcPr>
          <w:p>
            <w:pPr>
              <w:spacing w:after="0"/>
              <w:rPr>
                <w:sz w:val="18"/>
                <w:szCs w:val="18"/>
                <w:color w:val="auto"/>
              </w:rPr>
            </w:pPr>
          </w:p>
        </w:tc>
      </w:tr>
      <w:tr>
        <w:trPr>
          <w:trHeight w:val="33"/>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7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24"/>
        </w:trPr>
        <w:tc>
          <w:tcPr>
            <w:tcW w:w="7560" w:type="dxa"/>
            <w:vAlign w:val="bottom"/>
          </w:tcPr>
          <w:p>
            <w:pPr>
              <w:ind w:left="120"/>
              <w:spacing w:after="0"/>
              <w:rPr>
                <w:sz w:val="20"/>
                <w:szCs w:val="20"/>
                <w:color w:val="auto"/>
              </w:rPr>
            </w:pPr>
            <w:r>
              <w:rPr>
                <w:rFonts w:ascii="Arial" w:cs="Arial" w:eastAsia="Arial" w:hAnsi="Arial"/>
                <w:sz w:val="16"/>
                <w:szCs w:val="16"/>
                <w:color w:val="auto"/>
              </w:rPr>
              <w:t>Analog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10,223</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10,801</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9,900</w:t>
            </w:r>
          </w:p>
        </w:tc>
      </w:tr>
      <w:tr>
        <w:trPr>
          <w:trHeight w:val="33"/>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3,498</w:t>
            </w:r>
          </w:p>
        </w:tc>
      </w:tr>
      <w:tr>
        <w:trPr>
          <w:trHeight w:val="224"/>
        </w:trPr>
        <w:tc>
          <w:tcPr>
            <w:tcW w:w="7560" w:type="dxa"/>
            <w:vAlign w:val="bottom"/>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1,563</w:t>
            </w:r>
          </w:p>
        </w:tc>
      </w:tr>
      <w:tr>
        <w:trPr>
          <w:trHeight w:val="33"/>
        </w:trPr>
        <w:tc>
          <w:tcPr>
            <w:tcW w:w="7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14,383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15,784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14,961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24"/>
        </w:trPr>
        <w:tc>
          <w:tcPr>
            <w:tcW w:w="7560" w:type="dxa"/>
            <w:vAlign w:val="bottom"/>
          </w:tcPr>
          <w:p>
            <w:pPr>
              <w:ind w:left="120"/>
              <w:spacing w:after="0"/>
              <w:rPr>
                <w:sz w:val="20"/>
                <w:szCs w:val="20"/>
                <w:color w:val="auto"/>
              </w:rPr>
            </w:pPr>
            <w:r>
              <w:rPr>
                <w:rFonts w:ascii="Arial" w:cs="Arial" w:eastAsia="Arial" w:hAnsi="Arial"/>
                <w:sz w:val="16"/>
                <w:szCs w:val="16"/>
                <w:color w:val="auto"/>
              </w:rPr>
              <w:t>Analog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4,477</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4,468</w:t>
            </w:r>
          </w:p>
        </w:tc>
      </w:tr>
      <w:tr>
        <w:trPr>
          <w:trHeight w:val="33"/>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1,143</w:t>
            </w:r>
          </w:p>
        </w:tc>
      </w:tr>
      <w:tr>
        <w:trPr>
          <w:trHeight w:val="224"/>
        </w:trPr>
        <w:tc>
          <w:tcPr>
            <w:tcW w:w="7560" w:type="dxa"/>
            <w:vAlign w:val="bottom"/>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339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472</w:t>
            </w:r>
          </w:p>
        </w:tc>
      </w:tr>
      <w:tr>
        <w:trPr>
          <w:trHeight w:val="33"/>
        </w:trPr>
        <w:tc>
          <w:tcPr>
            <w:tcW w:w="7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profit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5,723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6,713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6,083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geographic area information includes revenue, based on product shipment destination, and property, plant and equipment, based on physical location. The geographic revenue information does not necessarily reflect end demand by geography because our products tend to be shipped to the locations where our customers manufacture their products.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820" w:type="dxa"/>
            <w:vAlign w:val="bottom"/>
          </w:tcPr>
          <w:p>
            <w:pPr>
              <w:spacing w:after="0"/>
              <w:rPr>
                <w:sz w:val="18"/>
                <w:szCs w:val="18"/>
                <w:color w:val="auto"/>
              </w:rPr>
            </w:pPr>
          </w:p>
        </w:tc>
      </w:tr>
      <w:tr>
        <w:trPr>
          <w:trHeight w:val="33"/>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7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24"/>
        </w:trPr>
        <w:tc>
          <w:tcPr>
            <w:tcW w:w="756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1,827</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1,901</w:t>
            </w:r>
          </w:p>
        </w:tc>
      </w:tr>
      <w:tr>
        <w:trPr>
          <w:trHeight w:val="33"/>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Asia (a)</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8,650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8,824</w:t>
            </w:r>
          </w:p>
        </w:tc>
      </w:tr>
      <w:tr>
        <w:trPr>
          <w:trHeight w:val="224"/>
        </w:trPr>
        <w:tc>
          <w:tcPr>
            <w:tcW w:w="7560" w:type="dxa"/>
            <w:vAlign w:val="bottom"/>
          </w:tcPr>
          <w:p>
            <w:pPr>
              <w:ind w:left="120"/>
              <w:spacing w:after="0"/>
              <w:rPr>
                <w:sz w:val="20"/>
                <w:szCs w:val="20"/>
                <w:color w:val="auto"/>
              </w:rPr>
            </w:pPr>
            <w:r>
              <w:rPr>
                <w:rFonts w:ascii="Arial" w:cs="Arial" w:eastAsia="Arial" w:hAnsi="Arial"/>
                <w:sz w:val="16"/>
                <w:szCs w:val="16"/>
                <w:color w:val="auto"/>
              </w:rPr>
              <w:t>Europe, Middle East and Africa</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2,707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3,047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2,907</w:t>
            </w:r>
          </w:p>
        </w:tc>
      </w:tr>
      <w:tr>
        <w:trPr>
          <w:trHeight w:val="33"/>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1,049</w:t>
            </w:r>
          </w:p>
        </w:tc>
      </w:tr>
      <w:tr>
        <w:trPr>
          <w:trHeight w:val="224"/>
        </w:trPr>
        <w:tc>
          <w:tcPr>
            <w:tcW w:w="7560" w:type="dxa"/>
            <w:vAlign w:val="bottom"/>
          </w:tcPr>
          <w:p>
            <w:pPr>
              <w:ind w:left="120"/>
              <w:spacing w:after="0"/>
              <w:rPr>
                <w:sz w:val="20"/>
                <w:szCs w:val="20"/>
                <w:color w:val="auto"/>
              </w:rPr>
            </w:pPr>
            <w:r>
              <w:rPr>
                <w:rFonts w:ascii="Arial" w:cs="Arial" w:eastAsia="Arial" w:hAnsi="Arial"/>
                <w:sz w:val="16"/>
                <w:szCs w:val="16"/>
                <w:color w:val="auto"/>
              </w:rPr>
              <w:t>Rest of world</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403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280</w:t>
            </w:r>
          </w:p>
        </w:tc>
      </w:tr>
      <w:tr>
        <w:trPr>
          <w:trHeight w:val="33"/>
        </w:trPr>
        <w:tc>
          <w:tcPr>
            <w:tcW w:w="7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14,383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15,784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14,961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40" w:hanging="332"/>
        <w:spacing w:after="0" w:line="264" w:lineRule="auto"/>
        <w:tabs>
          <w:tab w:leader="none" w:pos="3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from products shipped into China was $7.2 billion, $7.0 billion and $6.6 billion in 2019, 2018 and 2017, respectively, which includes shipments to customers that manufacture in China and then export end products to their customers around the world, as well as distributors that transship inventory through China to service other countries.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spacing w:after="0"/>
              <w:rPr>
                <w:sz w:val="18"/>
                <w:szCs w:val="18"/>
                <w:color w:val="auto"/>
              </w:rPr>
            </w:pPr>
          </w:p>
        </w:tc>
      </w:tr>
      <w:tr>
        <w:trPr>
          <w:trHeight w:val="33"/>
        </w:trPr>
        <w:tc>
          <w:tcPr>
            <w:tcW w:w="8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243"/>
        </w:trPr>
        <w:tc>
          <w:tcPr>
            <w:tcW w:w="888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b w:val="1"/>
                <w:bCs w:val="1"/>
                <w:color w:val="auto"/>
              </w:rPr>
              <w:t>1,998</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1,812</w:t>
            </w:r>
          </w:p>
        </w:tc>
      </w:tr>
      <w:tr>
        <w:trPr>
          <w:trHeight w:val="27"/>
        </w:trPr>
        <w:tc>
          <w:tcPr>
            <w:tcW w:w="8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Asia (a)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1,116</w:t>
            </w:r>
          </w:p>
        </w:tc>
      </w:tr>
      <w:tr>
        <w:trPr>
          <w:trHeight w:val="243"/>
        </w:trPr>
        <w:tc>
          <w:tcPr>
            <w:tcW w:w="8880" w:type="dxa"/>
            <w:vAlign w:val="bottom"/>
          </w:tcPr>
          <w:p>
            <w:pPr>
              <w:ind w:left="120"/>
              <w:spacing w:after="0"/>
              <w:rPr>
                <w:sz w:val="20"/>
                <w:szCs w:val="20"/>
                <w:color w:val="auto"/>
              </w:rPr>
            </w:pPr>
            <w:r>
              <w:rPr>
                <w:rFonts w:ascii="Arial" w:cs="Arial" w:eastAsia="Arial" w:hAnsi="Arial"/>
                <w:sz w:val="16"/>
                <w:szCs w:val="16"/>
                <w:color w:val="auto"/>
              </w:rPr>
              <w:t>Europe, Middle East and Africa</w:t>
            </w: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84</w:t>
            </w:r>
          </w:p>
        </w:tc>
      </w:tr>
      <w:tr>
        <w:trPr>
          <w:trHeight w:val="27"/>
        </w:trPr>
        <w:tc>
          <w:tcPr>
            <w:tcW w:w="8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r>
      <w:tr>
        <w:trPr>
          <w:trHeight w:val="243"/>
        </w:trPr>
        <w:tc>
          <w:tcPr>
            <w:tcW w:w="8880" w:type="dxa"/>
            <w:vAlign w:val="bottom"/>
          </w:tcPr>
          <w:p>
            <w:pPr>
              <w:ind w:left="120"/>
              <w:spacing w:after="0"/>
              <w:rPr>
                <w:sz w:val="20"/>
                <w:szCs w:val="20"/>
                <w:color w:val="auto"/>
              </w:rPr>
            </w:pPr>
            <w:r>
              <w:rPr>
                <w:rFonts w:ascii="Arial" w:cs="Arial" w:eastAsia="Arial" w:hAnsi="Arial"/>
                <w:sz w:val="16"/>
                <w:szCs w:val="16"/>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w:t>
            </w:r>
          </w:p>
        </w:tc>
      </w:tr>
      <w:tr>
        <w:trPr>
          <w:trHeight w:val="27"/>
        </w:trPr>
        <w:tc>
          <w:tcPr>
            <w:tcW w:w="8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2"/>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6"/>
                <w:szCs w:val="16"/>
                <w:b w:val="1"/>
                <w:bCs w:val="1"/>
                <w:color w:val="auto"/>
              </w:rPr>
              <w:t>3,303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3,183</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360" w:hanging="332"/>
        <w:spacing w:after="0" w:line="342" w:lineRule="auto"/>
        <w:tabs>
          <w:tab w:leader="none" w:pos="337"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Property, plant and equipment at our two sites in the Philippines was $394 million and $437 million as of December 31, 2019 and 2018, respectively. Property, plant and equipment at our sites in China was $304 million and $313 million as of December 31, 2019 and 2018, respectively.</w:t>
      </w:r>
    </w:p>
    <w:p>
      <w:pPr>
        <w:spacing w:after="0" w:line="124"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The basis of these financial statements is comparable for all periods presented herein, except for the effects of adopting a new accounting standard in 2019 related to leases.</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2019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generate revenue primarily from the sale of semiconductor products, either directly to a customer or to a distributor, or at the conclusion of a consignment process. We have a variety of types of contracts with our customers and distributors. In determining whether a contract exists, we evaluate the terms of the arrangement, the relationship with the customer or distributor and their ability to pay.</w:t>
      </w:r>
    </w:p>
    <w:p>
      <w:pPr>
        <w:spacing w:after="0" w:line="190"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We recognize revenue from sales of our products, including sales to our distributors, when control is transferred. Control is considered transferred when title and risk of loss pass, when the customer becomes obligated to pay and, where required, when the customer has accepted the products. This transfer generally occurs at a point in time upon shipment or delivery to the customer or distributor, depending upon the terms of the sales order. Payment for sales to customers and distributors is generally due on our standard commercial terms. For sales to distributors, payment is not contingent upon resale of the products.</w:t>
      </w:r>
    </w:p>
    <w:p>
      <w:pPr>
        <w:spacing w:after="0" w:line="15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Revenue from sales of our products that are subject to inventory consignment agreements is recognized at a point in time, when the customer or distributor pulls product from consignment inventory that we store at designated locations. Delivery and transfer of control occur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revenue recognized is adjusted based on allowances, which are prepared on a portfolio basis using a most likely amount methodology based on analysis of historical data and contractual terms. These allowances, which are not material, generally include adjustments for pricing arrangements, product returns and incentives. The length of time between invoicing and payment is not significant under any of our payment terms. In instances where the timing of revenue recognition differs from the timing of invoicing, we have determined our contracts generally do not include a significant financing component.</w:t>
      </w:r>
    </w:p>
    <w:p>
      <w:pPr>
        <w:spacing w:after="0" w:line="15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we record allowances for accounts receivable that we estimate may not be collected. We monitor collectability of accounts receivable primarily through review of accounts receivable aging. When collection is at risk, we assess the impact on amounts recorded for bad debts and, if necessary, record a charge in the period such determination is made.</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recognize shipping fees, if any, received from customers in revenue. We include the related shipping and handling costs in cost of revenue. The majority of our customers pay these fees directly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2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expense advertising and other promotional costs as incurred. This expense was $30 million, $34 million and $39 million in 2019, 2018 and 2017,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or all of the deferred tax assets will not be realized.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assessed taxes</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Consolidated Statements of Income on a net (excluded from revenue)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determine if an arrangement is a lease at inception. Leases are included in other long-term assets, accrued expenses and other liabilities, and other long-term liabilities on our Consolidated Balance Sheets.</w:t>
      </w:r>
    </w:p>
    <w:p>
      <w:pPr>
        <w:spacing w:after="0" w:line="18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Lease assets represent our right to use underlying assets for the lease term, and lease liabilities represent our obligations to make lease payments over the lease term. On the commencement date, leases are evaluated for classification, and assets and liabilities are recognized based on the present value of lease payments over the lease term. We use our incremental borrowing rate based on the information available at commencement in determining the present value of lease payments. Operating lease expense is generally recognized on a straight-line basis over the lease term. Our lease values include options to extend or not to terminate the lease when it is reasonably certain that we will exercise such options.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1" w:name="page32"/>
    <w:bookmarkEnd w:id="31"/>
    <w:p>
      <w:pPr>
        <w:ind w:right="520"/>
        <w:spacing w:after="0" w:line="342" w:lineRule="auto"/>
        <w:rPr>
          <w:sz w:val="20"/>
          <w:szCs w:val="20"/>
          <w:color w:val="auto"/>
        </w:rPr>
      </w:pPr>
      <w:r>
        <w:rPr>
          <w:rFonts w:ascii="Arial" w:cs="Arial" w:eastAsia="Arial" w:hAnsi="Arial"/>
          <w:sz w:val="16"/>
          <w:szCs w:val="16"/>
          <w:color w:val="auto"/>
        </w:rPr>
        <w:t>We have agreements with lease and non-lease components, which are accounted for as a single lease component. Leases with an initial lease term of 12 months or less are not recorded on the balance sheet; we recognize lease expense for these leases on a straight-line basis over the lease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 as shown in the table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w w:val="91"/>
              </w:rPr>
              <w:t>For Years Ended December 31,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6"/>
                <w:szCs w:val="16"/>
                <w:b w:val="1"/>
                <w:bCs w:val="1"/>
                <w:color w:val="auto"/>
              </w:rPr>
              <w:t>EPS</w:t>
            </w:r>
          </w:p>
        </w:tc>
        <w:tc>
          <w:tcPr>
            <w:tcW w:w="98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EPS</w:t>
            </w:r>
          </w:p>
        </w:tc>
        <w:tc>
          <w:tcPr>
            <w:tcW w:w="98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5,017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3,682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700" w:type="dxa"/>
            <w:vAlign w:val="bottom"/>
          </w:tcPr>
          <w:p>
            <w:pPr>
              <w:ind w:left="120"/>
              <w:spacing w:after="0"/>
              <w:rPr>
                <w:sz w:val="20"/>
                <w:szCs w:val="20"/>
                <w:color w:val="auto"/>
              </w:rPr>
            </w:pPr>
            <w:r>
              <w:rPr>
                <w:rFonts w:ascii="Arial" w:cs="Arial" w:eastAsia="Arial" w:hAnsi="Arial"/>
                <w:sz w:val="16"/>
                <w:szCs w:val="16"/>
                <w:color w:val="auto"/>
              </w:rPr>
              <w:t>Income allocated to common stock</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4,985</w:t>
            </w:r>
          </w:p>
        </w:tc>
        <w:tc>
          <w:tcPr>
            <w:tcW w:w="10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936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5.33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5,537</w:t>
            </w:r>
          </w:p>
        </w:tc>
        <w:tc>
          <w:tcPr>
            <w:tcW w:w="10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970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3,648</w:t>
            </w:r>
          </w:p>
        </w:tc>
        <w:tc>
          <w:tcPr>
            <w:tcW w:w="10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991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Dilutive effect of stock compensation</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plans</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5,017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3,682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700" w:type="dxa"/>
            <w:vAlign w:val="bottom"/>
          </w:tcPr>
          <w:p>
            <w:pPr>
              <w:ind w:left="120"/>
              <w:spacing w:after="0"/>
              <w:rPr>
                <w:sz w:val="20"/>
                <w:szCs w:val="20"/>
                <w:color w:val="auto"/>
              </w:rPr>
            </w:pPr>
            <w:r>
              <w:rPr>
                <w:rFonts w:ascii="Arial" w:cs="Arial" w:eastAsia="Arial" w:hAnsi="Arial"/>
                <w:sz w:val="16"/>
                <w:szCs w:val="16"/>
                <w:color w:val="auto"/>
              </w:rPr>
              <w:t>Income allocated to common stock</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4,986</w:t>
            </w:r>
          </w:p>
        </w:tc>
        <w:tc>
          <w:tcPr>
            <w:tcW w:w="10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952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5.24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5,538</w:t>
            </w:r>
          </w:p>
        </w:tc>
        <w:tc>
          <w:tcPr>
            <w:tcW w:w="10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990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3,649</w:t>
            </w:r>
          </w:p>
        </w:tc>
        <w:tc>
          <w:tcPr>
            <w:tcW w:w="10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1,012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Potentially dilutive securities representing 6 million, 4 million and 6 million shares of common stock that were outstanding in 2019, 2018 and 2017 respectively, were excluded from the computation of diluted earnings per common share during these periods because their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present investments on our Consolidated Balance Sheets as cash equivalents, short-term investments or long-term investments, which are detailed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additional information.</w:t>
      </w:r>
    </w:p>
    <w:p>
      <w:pPr>
        <w:spacing w:after="0" w:line="211" w:lineRule="exact"/>
        <w:rPr>
          <w:sz w:val="20"/>
          <w:szCs w:val="20"/>
          <w:color w:val="auto"/>
        </w:rPr>
      </w:pPr>
    </w:p>
    <w:p>
      <w:pPr>
        <w:jc w:val="both"/>
        <w:ind w:left="660" w:right="60" w:hanging="328"/>
        <w:spacing w:after="0" w:line="30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Cash equivalents and short-term investments </w:t>
      </w:r>
      <w:r>
        <w:rPr>
          <w:rFonts w:ascii="Arial" w:cs="Arial" w:eastAsia="Arial" w:hAnsi="Arial"/>
          <w:sz w:val="16"/>
          <w:szCs w:val="16"/>
          <w:color w:val="auto"/>
        </w:rPr>
        <w:t>– We consider investments in available-for-sale debt securities with maturities of 90 days or less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our investment to be cash equivalents. We consider investments in available-for-sale debt securities with maturities beyond 90 days from the date of our investment as being available for use in current operations and include them in short-term investments. The primary objectives of our cash equivalent and short-term investment activities are to preserve capital and maintain liquidity while generating appropriate returns.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 Long-term investments consist of mutual funds, venture capital funds and non-marketable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w:t>
      </w:r>
    </w:p>
    <w:p>
      <w:pPr>
        <w:spacing w:after="0" w:line="1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Property, plant and equipment; acquisition-related intangibles; and other capitalized costs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Impairments of long-lived assets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Goodwill is reviewed for impairment annually or more frequently if certain impairment indicators arise. We perform our annual goodwill impairment test as of October 1 for our reporting units, which compares the fair value for each reporting unit to its associated carrying value, including goodwill. See Note 7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functional currency for our non-U.S. subsidiaries is the U.S. dollar. Accounts recorded in currencies other than the U.S. dollar are remeasured into the functional currency. Current assets (except inventories), deferred taxes, other assets,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remeasured at the appropriate daily rate of exchange. Currency exchange gains and losses from remeasurement are credited or charged to OI&amp;E.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Update (ASU) No. 2016-02, Leases (Topic 842)</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effective January 1, 2019, using the modified retrospective transition method applied to leases existing at, or entered into after, the adoption date. The reported results for 2019 reflect the application of the new accounting guidance, while the reported results for prior periods are not adjusted and continue to be reported in accordance with our historical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addition, we elected the package of practical expedients permitted under the transition guidance that allowed us to apply prior conclusions related to lease definition, classification and initial direct costs.</w:t>
      </w:r>
    </w:p>
    <w:p>
      <w:pPr>
        <w:spacing w:after="0" w:line="19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adoption of the new standard resulted in the recognition of $229 million of lease liabilities with corresponding lease assets as of January 1, 2019. The standard did not materially impact our results of operations and had no impact on cash flows.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standards were also adopted: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gridSpan w:val="2"/>
          </w:tcPr>
          <w:p>
            <w:pPr>
              <w:ind w:left="740"/>
              <w:spacing w:after="0"/>
              <w:rPr>
                <w:sz w:val="20"/>
                <w:szCs w:val="20"/>
                <w:color w:val="auto"/>
              </w:rPr>
            </w:pPr>
            <w:r>
              <w:rPr>
                <w:rFonts w:ascii="Arial" w:cs="Arial" w:eastAsia="Arial" w:hAnsi="Arial"/>
                <w:sz w:val="16"/>
                <w:szCs w:val="16"/>
                <w:b w:val="1"/>
                <w:bCs w:val="1"/>
                <w:color w:val="auto"/>
              </w:rPr>
              <w:t>ASU</w:t>
            </w:r>
          </w:p>
        </w:tc>
        <w:tc>
          <w:tcPr>
            <w:tcW w:w="7760" w:type="dxa"/>
            <w:vAlign w:val="bottom"/>
            <w:gridSpan w:val="2"/>
          </w:tcPr>
          <w:p>
            <w:pPr>
              <w:ind w:left="3420"/>
              <w:spacing w:after="0"/>
              <w:rPr>
                <w:sz w:val="20"/>
                <w:szCs w:val="20"/>
                <w:color w:val="auto"/>
              </w:rPr>
            </w:pPr>
            <w:r>
              <w:rPr>
                <w:rFonts w:ascii="Arial" w:cs="Arial" w:eastAsia="Arial" w:hAnsi="Arial"/>
                <w:sz w:val="16"/>
                <w:szCs w:val="16"/>
                <w:b w:val="1"/>
                <w:bCs w:val="1"/>
                <w:color w:val="auto"/>
              </w:rPr>
              <w:t>Description</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2"/>
              </w:rPr>
              <w:t>Adopted Date</w:t>
            </w:r>
          </w:p>
        </w:tc>
      </w:tr>
      <w:tr>
        <w:trPr>
          <w:trHeight w:val="33"/>
        </w:trPr>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ASU No. 2017-12</w:t>
            </w: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and Hedging (Topic 815): Targeted Improvements to Accounting for Hedging Activities</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January 1, 2019</w:t>
            </w:r>
          </w:p>
        </w:tc>
      </w:tr>
      <w:tr>
        <w:trPr>
          <w:trHeight w:val="220"/>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ASU No. 2018-14</w:t>
            </w:r>
          </w:p>
        </w:tc>
        <w:tc>
          <w:tcPr>
            <w:tcW w:w="7760" w:type="dxa"/>
            <w:vAlign w:val="bottom"/>
            <w:gridSpan w:val="2"/>
          </w:tcPr>
          <w:p>
            <w:pPr>
              <w:ind w:left="20"/>
              <w:spacing w:after="0"/>
              <w:rPr>
                <w:sz w:val="20"/>
                <w:szCs w:val="20"/>
                <w:color w:val="auto"/>
              </w:rPr>
            </w:pPr>
            <w:r>
              <w:rPr>
                <w:rFonts w:ascii="Arial" w:cs="Arial" w:eastAsia="Arial" w:hAnsi="Arial"/>
                <w:sz w:val="16"/>
                <w:szCs w:val="16"/>
                <w:i w:val="1"/>
                <w:iCs w:val="1"/>
                <w:color w:val="auto"/>
                <w:w w:val="94"/>
              </w:rPr>
              <w:t>Compensation – Retirement Benefits – Defined Benefit Plans – General (Subtopic 715-20): Disclosure Framework –</w:t>
            </w: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January 1, 2019</w:t>
            </w:r>
          </w:p>
        </w:tc>
      </w:tr>
      <w:tr>
        <w:trPr>
          <w:trHeight w:val="206"/>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gridSpan w:val="2"/>
          </w:tcPr>
          <w:p>
            <w:pPr>
              <w:ind w:left="20"/>
              <w:spacing w:after="0"/>
              <w:rPr>
                <w:sz w:val="20"/>
                <w:szCs w:val="20"/>
                <w:color w:val="auto"/>
              </w:rPr>
            </w:pPr>
            <w:r>
              <w:rPr>
                <w:rFonts w:ascii="Arial" w:cs="Arial" w:eastAsia="Arial" w:hAnsi="Arial"/>
                <w:sz w:val="16"/>
                <w:szCs w:val="16"/>
                <w:i w:val="1"/>
                <w:iCs w:val="1"/>
                <w:color w:val="auto"/>
              </w:rPr>
              <w:t>Changes to the Disclosure Requirements for Defined Benefit Plans</w:t>
            </w:r>
          </w:p>
        </w:tc>
        <w:tc>
          <w:tcPr>
            <w:tcW w:w="1780" w:type="dxa"/>
            <w:vAlign w:val="bottom"/>
          </w:tcPr>
          <w:p>
            <w:pPr>
              <w:spacing w:after="0"/>
              <w:rPr>
                <w:sz w:val="17"/>
                <w:szCs w:val="17"/>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2016-13, Financial Instruments – Credit Losses (Topic 326): Measurement of Credit Losses on Financial Instruments</w:t>
      </w:r>
    </w:p>
    <w:p>
      <w:pPr>
        <w:spacing w:after="0" w:line="2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being incurred. Credit losses relating to available-for-sale debt securities will be recorded through an allowance for credit losses rather than as a reduction to the amortized cost basis of the securities. We are adopting this standard effective January 1, 2020, applying the guidance on a modified retrospective basis. In preparation for adoption of the standard, we have updated certain policies and related processes, but this standard will not have a material impact on our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We are evaluating the impact of the following standards, but we do not expect them to have a material impact on our financial position or results of operations. We are adopting these standards as of their effective dates.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gridSpan w:val="2"/>
          </w:tcPr>
          <w:p>
            <w:pPr>
              <w:ind w:left="740"/>
              <w:spacing w:after="0"/>
              <w:rPr>
                <w:sz w:val="20"/>
                <w:szCs w:val="20"/>
                <w:color w:val="auto"/>
              </w:rPr>
            </w:pPr>
            <w:r>
              <w:rPr>
                <w:rFonts w:ascii="Arial" w:cs="Arial" w:eastAsia="Arial" w:hAnsi="Arial"/>
                <w:sz w:val="16"/>
                <w:szCs w:val="16"/>
                <w:b w:val="1"/>
                <w:bCs w:val="1"/>
                <w:color w:val="auto"/>
              </w:rPr>
              <w:t>ASU</w:t>
            </w:r>
          </w:p>
        </w:tc>
        <w:tc>
          <w:tcPr>
            <w:tcW w:w="7760" w:type="dxa"/>
            <w:vAlign w:val="bottom"/>
            <w:gridSpan w:val="2"/>
          </w:tcPr>
          <w:p>
            <w:pPr>
              <w:ind w:left="3420"/>
              <w:spacing w:after="0"/>
              <w:rPr>
                <w:sz w:val="20"/>
                <w:szCs w:val="20"/>
                <w:color w:val="auto"/>
              </w:rPr>
            </w:pPr>
            <w:r>
              <w:rPr>
                <w:rFonts w:ascii="Arial" w:cs="Arial" w:eastAsia="Arial" w:hAnsi="Arial"/>
                <w:sz w:val="16"/>
                <w:szCs w:val="16"/>
                <w:b w:val="1"/>
                <w:bCs w:val="1"/>
                <w:color w:val="auto"/>
              </w:rPr>
              <w:t>Description</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2"/>
              </w:rPr>
              <w:t>Effective Date</w:t>
            </w:r>
          </w:p>
        </w:tc>
      </w:tr>
      <w:tr>
        <w:trPr>
          <w:trHeight w:val="33"/>
        </w:trPr>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3"/>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ASU No. 2018-13</w:t>
            </w: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w w:val="97"/>
              </w:rPr>
              <w:t>Fair Value Measurement (Topic 820): Disclosure Framework – Changes to the Disclosure Requirements for Fair</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1, 2020</w:t>
            </w:r>
          </w:p>
        </w:tc>
      </w:tr>
      <w:tr>
        <w:trPr>
          <w:trHeight w:val="219"/>
        </w:trPr>
        <w:tc>
          <w:tcPr>
            <w:tcW w:w="1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Value Measurement</w:t>
            </w:r>
          </w:p>
        </w:tc>
        <w:tc>
          <w:tcPr>
            <w:tcW w:w="1780" w:type="dxa"/>
            <w:vAlign w:val="bottom"/>
            <w:tcBorders>
              <w:bottom w:val="single" w:sz="8" w:color="CCEEFF"/>
            </w:tcBorders>
            <w:shd w:val="clear" w:color="auto" w:fill="CCEEFF"/>
          </w:tcPr>
          <w:p>
            <w:pPr>
              <w:spacing w:after="0"/>
              <w:rPr>
                <w:sz w:val="19"/>
                <w:szCs w:val="19"/>
                <w:color w:val="auto"/>
              </w:rPr>
            </w:pPr>
          </w:p>
        </w:tc>
      </w:tr>
      <w:tr>
        <w:trPr>
          <w:trHeight w:val="220"/>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ASU No. 2018-15</w:t>
            </w:r>
          </w:p>
        </w:tc>
        <w:tc>
          <w:tcPr>
            <w:tcW w:w="7760" w:type="dxa"/>
            <w:vAlign w:val="bottom"/>
            <w:gridSpan w:val="2"/>
          </w:tcPr>
          <w:p>
            <w:pPr>
              <w:ind w:left="20"/>
              <w:spacing w:after="0"/>
              <w:rPr>
                <w:sz w:val="20"/>
                <w:szCs w:val="20"/>
                <w:color w:val="auto"/>
              </w:rPr>
            </w:pPr>
            <w:r>
              <w:rPr>
                <w:rFonts w:ascii="Arial" w:cs="Arial" w:eastAsia="Arial" w:hAnsi="Arial"/>
                <w:sz w:val="16"/>
                <w:szCs w:val="16"/>
                <w:i w:val="1"/>
                <w:iCs w:val="1"/>
                <w:color w:val="auto"/>
              </w:rPr>
              <w:t>Intangibles – Goodwill and Other – Internal-Use Software (Subtopic 350-40): Customer’s Accounting for</w:t>
            </w: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January 1, 2020</w:t>
            </w:r>
          </w:p>
        </w:tc>
      </w:tr>
      <w:tr>
        <w:trPr>
          <w:trHeight w:val="206"/>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gridSpan w:val="2"/>
          </w:tcPr>
          <w:p>
            <w:pPr>
              <w:ind w:left="20"/>
              <w:spacing w:after="0"/>
              <w:rPr>
                <w:sz w:val="20"/>
                <w:szCs w:val="20"/>
                <w:color w:val="auto"/>
              </w:rPr>
            </w:pPr>
            <w:r>
              <w:rPr>
                <w:rFonts w:ascii="Arial" w:cs="Arial" w:eastAsia="Arial" w:hAnsi="Arial"/>
                <w:sz w:val="16"/>
                <w:szCs w:val="16"/>
                <w:i w:val="1"/>
                <w:iCs w:val="1"/>
                <w:color w:val="auto"/>
              </w:rPr>
              <w:t>Implementation Costs Incurred in a Cloud Computing Arrangement That Is a Service Contract</w:t>
            </w:r>
          </w:p>
        </w:tc>
        <w:tc>
          <w:tcPr>
            <w:tcW w:w="1780" w:type="dxa"/>
            <w:vAlign w:val="bottom"/>
          </w:tcPr>
          <w:p>
            <w:pPr>
              <w:spacing w:after="0"/>
              <w:rPr>
                <w:sz w:val="17"/>
                <w:szCs w:val="17"/>
                <w:color w:val="auto"/>
              </w:rPr>
            </w:pPr>
          </w:p>
        </w:tc>
      </w:tr>
    </w:tbl>
    <w:p>
      <w:pPr>
        <w:spacing w:after="0" w:line="262"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Stock compensation</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stock options outstanding to participants under long-term incentive plans. The option price per share may not be less than the fair market value of our common stock on the date of the grant. The options have a 10-year term, generally vest ratably over four years, and continue to vest after the option recipient retires.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also have RSUs outstanding to participants under long-term incentive plans. Each RSU represents the right to receive one share of TI common stock, issued on the vesting date, which is generally four years after the date of grant. RSUs continue to vest after the recipient retires. Holders of RSUs receive an annual cash payment equivalent to the dividends paid on our common stock.</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director deferred compensation accounts.</w:t>
      </w:r>
    </w:p>
    <w:p>
      <w:pPr>
        <w:spacing w:after="0" w:line="18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also have an employee stock purchase plan (ESPP) under which options are offered to all eligible employees in amounts based on a percentage of the employee’s compensation, subject to a cap. Under the plan, the option price per share is 85% of the fair market value on the exercise date.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Total stock compensation expense recognized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4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For Years Ended December 31,</w:t>
            </w:r>
          </w:p>
        </w:tc>
        <w:tc>
          <w:tcPr>
            <w:tcW w:w="820" w:type="dxa"/>
            <w:vAlign w:val="bottom"/>
          </w:tcPr>
          <w:p>
            <w:pPr>
              <w:spacing w:after="0"/>
              <w:rPr>
                <w:sz w:val="18"/>
                <w:szCs w:val="18"/>
                <w:color w:val="auto"/>
              </w:rPr>
            </w:pPr>
          </w:p>
        </w:tc>
      </w:tr>
      <w:tr>
        <w:trPr>
          <w:trHeight w:val="33"/>
        </w:trPr>
        <w:tc>
          <w:tcPr>
            <w:tcW w:w="7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7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R&amp;D</w:t>
            </w:r>
          </w:p>
        </w:tc>
        <w:tc>
          <w:tcPr>
            <w:tcW w:w="800" w:type="dxa"/>
            <w:vAlign w:val="bottom"/>
          </w:tcPr>
          <w:p>
            <w:pPr>
              <w:spacing w:after="0"/>
              <w:rPr>
                <w:sz w:val="19"/>
                <w:szCs w:val="19"/>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b w:val="1"/>
                <w:bCs w:val="1"/>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59</w:t>
            </w:r>
          </w:p>
        </w:tc>
      </w:tr>
      <w:tr>
        <w:trPr>
          <w:trHeight w:val="33"/>
        </w:trPr>
        <w:tc>
          <w:tcPr>
            <w:tcW w:w="7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8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w:t>
            </w:r>
          </w:p>
        </w:tc>
      </w:tr>
      <w:tr>
        <w:trPr>
          <w:trHeight w:val="247"/>
        </w:trPr>
        <w:tc>
          <w:tcPr>
            <w:tcW w:w="7560" w:type="dxa"/>
            <w:vAlign w:val="bottom"/>
          </w:tcPr>
          <w:p>
            <w:pPr>
              <w:ind w:left="20"/>
              <w:spacing w:after="0"/>
              <w:rPr>
                <w:sz w:val="20"/>
                <w:szCs w:val="20"/>
                <w:color w:val="auto"/>
              </w:rPr>
            </w:pPr>
            <w:r>
              <w:rPr>
                <w:rFonts w:ascii="Arial" w:cs="Arial" w:eastAsia="Arial" w:hAnsi="Arial"/>
                <w:sz w:val="16"/>
                <w:szCs w:val="16"/>
                <w:color w:val="auto"/>
              </w:rPr>
              <w:t>Total</w:t>
            </w: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217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242</w:t>
            </w:r>
          </w:p>
        </w:tc>
      </w:tr>
      <w:tr>
        <w:trPr>
          <w:trHeight w:val="24"/>
        </w:trPr>
        <w:tc>
          <w:tcPr>
            <w:tcW w:w="7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These amounts include expenses related to non-qualified stock options, RSUs and stock options offered under our ESPP and are net of estimated forfeitures.</w:t>
      </w:r>
    </w:p>
    <w:p>
      <w:pPr>
        <w:spacing w:after="0" w:line="24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recognize compensation expense for non-qualified stock options and RSUs on a straight-line basis over the minimum service period required for vesting of the award, adjusting for estimated forfeitures based on historical activity. Awards issued to employees who are retirement eligible or nearing retirement eligibility are expensed on an accelerated basis. Options issued under our ESPP are expensed over a three-month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methods and assumptions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account for all awards granted under our various stock compensation plans at fair value. We estimate the fair values for non-qualified stock options using the Black-Scholes-Merton option-pricing model with the following weighted average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7"/>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7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r>
      <w:tr>
        <w:trPr>
          <w:trHeight w:val="33"/>
        </w:trPr>
        <w:tc>
          <w:tcPr>
            <w:tcW w:w="73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 average grant date fair value, per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22.08</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16.49</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7360" w:type="dxa"/>
            <w:vAlign w:val="bottom"/>
          </w:tcPr>
          <w:p>
            <w:pPr>
              <w:ind w:left="20"/>
              <w:spacing w:after="0"/>
              <w:rPr>
                <w:sz w:val="20"/>
                <w:szCs w:val="20"/>
                <w:color w:val="auto"/>
              </w:rPr>
            </w:pPr>
            <w:r>
              <w:rPr>
                <w:rFonts w:ascii="Arial" w:cs="Arial" w:eastAsia="Arial" w:hAnsi="Arial"/>
                <w:sz w:val="16"/>
                <w:szCs w:val="16"/>
                <w:color w:val="auto"/>
              </w:rPr>
              <w:t>Weighted average assumptions used: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7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7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Expected volatility</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7360" w:type="dxa"/>
            <w:vAlign w:val="bottom"/>
          </w:tcPr>
          <w:p>
            <w:pPr>
              <w:ind w:left="120"/>
              <w:spacing w:after="0"/>
              <w:rPr>
                <w:sz w:val="20"/>
                <w:szCs w:val="20"/>
                <w:color w:val="auto"/>
              </w:rPr>
            </w:pPr>
            <w:r>
              <w:rPr>
                <w:rFonts w:ascii="Arial" w:cs="Arial" w:eastAsia="Arial" w:hAnsi="Arial"/>
                <w:sz w:val="16"/>
                <w:szCs w:val="16"/>
                <w:color w:val="auto"/>
              </w:rPr>
              <w:t>Expected lives (in years)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7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7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Risk-free interest rates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7360" w:type="dxa"/>
            <w:vAlign w:val="bottom"/>
          </w:tcPr>
          <w:p>
            <w:pPr>
              <w:ind w:left="120"/>
              <w:spacing w:after="0"/>
              <w:rPr>
                <w:sz w:val="20"/>
                <w:szCs w:val="20"/>
                <w:color w:val="auto"/>
              </w:rPr>
            </w:pPr>
            <w:r>
              <w:rPr>
                <w:rFonts w:ascii="Arial" w:cs="Arial" w:eastAsia="Arial" w:hAnsi="Arial"/>
                <w:sz w:val="16"/>
                <w:szCs w:val="16"/>
                <w:color w:val="auto"/>
              </w:rPr>
              <w:t>Expected dividend yields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2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determine expected volatility on all options granted using available implied volatility rates. We believe that market-based measures of implied volatility are currently the best available indicators of the expected volatility used in these estimates.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determine expected lives of options based on the historical option exercise experience of our optionees using a rolling 10-year average. We believe the historical experience method is the best estimate of future exercise patterns currently available.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Expected dividend yields are based on the annualized approved quarterly dividend rate and the current market price of our common stock at the time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assumption for a future dividend rate change is included unless there is an approved plan to change the dividend in the near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per share of RSUs is determined based on the closing price of our common stock on the date of grant.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ESPP is a discount-purchase plan and consequently the Black-Scholes-Merton option-pricing model is not used to determine the fair value per share of these awards. The fair value per share under this plan equals the amount of the discount.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Long-term incentive and director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860" w:type="dxa"/>
            <w:vAlign w:val="bottom"/>
            <w:gridSpan w:val="3"/>
          </w:tcPr>
          <w:p>
            <w:pPr>
              <w:ind w:left="880"/>
              <w:spacing w:after="0"/>
              <w:rPr>
                <w:sz w:val="20"/>
                <w:szCs w:val="20"/>
                <w:color w:val="auto"/>
              </w:rPr>
            </w:pPr>
            <w:r>
              <w:rPr>
                <w:rFonts w:ascii="Arial" w:cs="Arial" w:eastAsia="Arial" w:hAnsi="Arial"/>
                <w:sz w:val="16"/>
                <w:szCs w:val="16"/>
                <w:b w:val="1"/>
                <w:bCs w:val="1"/>
                <w:color w:val="auto"/>
                <w:w w:val="88"/>
              </w:rPr>
              <w:t>Stock Options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RSUs</w:t>
            </w:r>
          </w:p>
        </w:tc>
      </w:tr>
      <w:tr>
        <w:trPr>
          <w:trHeight w:val="33"/>
        </w:trPr>
        <w:tc>
          <w:tcPr>
            <w:tcW w:w="58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Weighted Average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5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Exercise Price per</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Grant Date Fair</w:t>
            </w:r>
          </w:p>
        </w:tc>
      </w:tr>
      <w:tr>
        <w:trPr>
          <w:trHeight w:val="210"/>
        </w:trPr>
        <w:tc>
          <w:tcPr>
            <w:tcW w:w="5820" w:type="dxa"/>
            <w:vAlign w:val="bottom"/>
          </w:tcPr>
          <w:p>
            <w:pPr>
              <w:spacing w:after="0"/>
              <w:rPr>
                <w:sz w:val="18"/>
                <w:szCs w:val="18"/>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w:t>
            </w:r>
          </w:p>
        </w:tc>
        <w:tc>
          <w:tcPr>
            <w:tcW w:w="1320" w:type="dxa"/>
            <w:vAlign w:val="bottom"/>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Value per Share</w:t>
            </w:r>
          </w:p>
        </w:tc>
      </w:tr>
      <w:tr>
        <w:trPr>
          <w:trHeight w:val="33"/>
        </w:trPr>
        <w:tc>
          <w:tcPr>
            <w:tcW w:w="58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grants, December 31, 2018</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39,905,454</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56.10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7,305,543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66.72</w:t>
            </w:r>
          </w:p>
        </w:tc>
      </w:tr>
      <w:tr>
        <w:trPr>
          <w:trHeight w:val="224"/>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Granted</w:t>
            </w: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4,559,093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104.51</w:t>
            </w:r>
          </w:p>
        </w:tc>
        <w:tc>
          <w:tcPr>
            <w:tcW w:w="10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1,142,974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106.58</w:t>
            </w:r>
          </w:p>
        </w:tc>
      </w:tr>
      <w:tr>
        <w:trPr>
          <w:trHeight w:val="33"/>
        </w:trPr>
        <w:tc>
          <w:tcPr>
            <w:tcW w:w="5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 options exercised/RSUs vested</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(11,529,174)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44.68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(2,370,762)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52.74</w:t>
            </w:r>
          </w:p>
        </w:tc>
      </w:tr>
      <w:tr>
        <w:trPr>
          <w:trHeight w:val="224"/>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Forfeited and expired</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(441,429)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83.89</w:t>
            </w:r>
          </w:p>
        </w:tc>
        <w:tc>
          <w:tcPr>
            <w:tcW w:w="1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(179,955)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81.57</w:t>
            </w:r>
          </w:p>
        </w:tc>
      </w:tr>
      <w:tr>
        <w:trPr>
          <w:trHeight w:val="33"/>
        </w:trPr>
        <w:tc>
          <w:tcPr>
            <w:tcW w:w="58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grants, December 31, 2019</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32,493,944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66.57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5,897,800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79.62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weighted average grant date fair values per share of RSUs granted in 2019, 2018 and 2017 were $106.58, $110.05 and $79.52, respectively. In 2019, 2018 and 2017, the total grant date fair values of shares vested from RSU grants were $125 million, $123 million and $149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number of shares remaining available for future issuance under these plans was 45,082,425.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stock options outstanding as of December 31, 2019,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5"/>
          </w:tcPr>
          <w:p>
            <w:pPr>
              <w:jc w:val="center"/>
              <w:ind w:left="919"/>
              <w:spacing w:after="0"/>
              <w:rPr>
                <w:sz w:val="20"/>
                <w:szCs w:val="20"/>
                <w:color w:val="auto"/>
              </w:rPr>
            </w:pPr>
            <w:r>
              <w:rPr>
                <w:rFonts w:ascii="Arial" w:cs="Arial" w:eastAsia="Arial" w:hAnsi="Arial"/>
                <w:sz w:val="16"/>
                <w:szCs w:val="16"/>
                <w:b w:val="1"/>
                <w:bCs w:val="1"/>
                <w:color w:val="auto"/>
                <w:w w:val="90"/>
              </w:rPr>
              <w:t>Stock Options Outstanding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Remaining</w:t>
            </w: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Weighted Average</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w:t>
            </w: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Weighted Average</w:t>
            </w: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Outstanding</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Contractual Life</w:t>
            </w: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Exercise Price per</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Exercise Price per</w:t>
            </w: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Exercise Price Range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(Shares)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3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w:t>
            </w:r>
          </w:p>
        </w:tc>
        <w:tc>
          <w:tcPr>
            <w:tcW w:w="2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$ 23.05 to 127.35</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32,493,944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66.57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19,646,782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50.82</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2019, 2018 and 2017, the aggregate intrinsic values (i.e., the difference in the closing market price on the date of exercise and the exercise price paid by the optionee) of options exercised were $819 million, $561 million and $632 million, respectively.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Summarized information as of December 31, 2019, about outstanding stock options that are vested and expected to vest, as well as stock options that are currently exercisable,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Outstanding</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Options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6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(Fully Vested and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6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Expected to Vest)</w:t>
            </w:r>
          </w:p>
        </w:tc>
        <w:tc>
          <w:tcPr>
            <w:tcW w:w="180" w:type="dxa"/>
            <w:vAlign w:val="bottom"/>
          </w:tcPr>
          <w:p>
            <w:pPr>
              <w:spacing w:after="0"/>
              <w:rPr>
                <w:sz w:val="17"/>
                <w:szCs w:val="17"/>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Options</w:t>
            </w:r>
          </w:p>
        </w:tc>
      </w:tr>
      <w:tr>
        <w:trPr>
          <w:trHeight w:val="210"/>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w:t>
            </w:r>
          </w:p>
        </w:tc>
        <w:tc>
          <w:tcPr>
            <w:tcW w:w="18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Exercisable</w:t>
            </w:r>
          </w:p>
        </w:tc>
      </w:tr>
      <w:tr>
        <w:trPr>
          <w:trHeight w:val="33"/>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outstanding (shares)</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32,001,396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19,646,782</w:t>
            </w:r>
          </w:p>
        </w:tc>
      </w:tr>
      <w:tr>
        <w:trPr>
          <w:trHeight w:val="224"/>
        </w:trPr>
        <w:tc>
          <w:tcPr>
            <w:tcW w:w="8660" w:type="dxa"/>
            <w:vAlign w:val="bottom"/>
          </w:tcPr>
          <w:p>
            <w:pPr>
              <w:ind w:left="20"/>
              <w:spacing w:after="0"/>
              <w:rPr>
                <w:sz w:val="20"/>
                <w:szCs w:val="20"/>
                <w:color w:val="auto"/>
              </w:rPr>
            </w:pPr>
            <w:r>
              <w:rPr>
                <w:rFonts w:ascii="Arial" w:cs="Arial" w:eastAsia="Arial" w:hAnsi="Arial"/>
                <w:sz w:val="16"/>
                <w:szCs w:val="16"/>
                <w:color w:val="auto"/>
              </w:rPr>
              <w:t>Weighted average remaining contractual life (in years)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exercise price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50.82</w:t>
            </w:r>
          </w:p>
        </w:tc>
      </w:tr>
      <w:tr>
        <w:trPr>
          <w:trHeight w:val="224"/>
        </w:trPr>
        <w:tc>
          <w:tcPr>
            <w:tcW w:w="8660" w:type="dxa"/>
            <w:vAlign w:val="bottom"/>
          </w:tcPr>
          <w:p>
            <w:pPr>
              <w:ind w:left="20"/>
              <w:spacing w:after="0"/>
              <w:rPr>
                <w:sz w:val="20"/>
                <w:szCs w:val="20"/>
                <w:color w:val="auto"/>
              </w:rPr>
            </w:pPr>
            <w:r>
              <w:rPr>
                <w:rFonts w:ascii="Arial" w:cs="Arial" w:eastAsia="Arial" w:hAnsi="Arial"/>
                <w:sz w:val="16"/>
                <w:szCs w:val="16"/>
                <w:color w:val="auto"/>
              </w:rPr>
              <w:t>Intrinsic value (millions of dollars)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1,522</w:t>
            </w:r>
          </w:p>
        </w:tc>
      </w:tr>
    </w:tbl>
    <w:p>
      <w:pPr>
        <w:spacing w:after="0" w:line="235" w:lineRule="exact"/>
        <w:rPr>
          <w:sz w:val="20"/>
          <w:szCs w:val="20"/>
          <w:color w:val="auto"/>
        </w:rPr>
      </w:pPr>
    </w:p>
    <w:p>
      <w:pPr>
        <w:ind w:left="340" w:right="20" w:hanging="332"/>
        <w:spacing w:after="0" w:line="277" w:lineRule="auto"/>
        <w:tabs>
          <w:tab w:leader="none" w:pos="3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effects of expected forfeitures. Excluding the effects of expected forfeitures, the aggregate intrinsic value of stock options outstanding was $2.01 billion.</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2019, total future compensation related to equity awards not yet recognized in our Consolidated Statements of Income was $226 million, consisting of $98 million related to unvested stock options and $128 million related to unvested RSUs. The $226 million is expected to be recognized as follows: $113 million in 2020, $72 million in 2021, $37 million in 2022 and $4 million in 2023.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Options outstanding under the ESPP as of December 31, 2019, had an exercise price equal to 85% of the fair market value of TI common stock on the date of automatic exercise. The automatic exercise occurred on January 2, 2020, resulting in an exercise price of $110.14 per share. Of the total outstanding options, none were exercisable as of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ESPP transactions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1320" w:type="dxa"/>
            <w:vAlign w:val="bottom"/>
          </w:tcPr>
          <w:p>
            <w:pPr>
              <w:ind w:left="4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Exercise Price</w:t>
            </w:r>
          </w:p>
        </w:tc>
      </w:tr>
      <w:tr>
        <w:trPr>
          <w:trHeight w:val="33"/>
        </w:trPr>
        <w:tc>
          <w:tcPr>
            <w:tcW w:w="8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grants, December 31, 2018</w:t>
            </w:r>
          </w:p>
        </w:tc>
        <w:tc>
          <w:tcPr>
            <w:tcW w:w="132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89"/>
              </w:rPr>
              <w:t>229,836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80.29</w:t>
            </w:r>
          </w:p>
        </w:tc>
      </w:tr>
      <w:tr>
        <w:trPr>
          <w:trHeight w:val="224"/>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Granted</w:t>
            </w:r>
          </w:p>
        </w:tc>
        <w:tc>
          <w:tcPr>
            <w:tcW w:w="1320" w:type="dxa"/>
            <w:vAlign w:val="bottom"/>
          </w:tcPr>
          <w:p>
            <w:pPr>
              <w:jc w:val="center"/>
              <w:ind w:left="399"/>
              <w:spacing w:after="0"/>
              <w:rPr>
                <w:sz w:val="20"/>
                <w:szCs w:val="20"/>
                <w:color w:val="auto"/>
              </w:rPr>
            </w:pPr>
            <w:r>
              <w:rPr>
                <w:rFonts w:ascii="Arial" w:cs="Arial" w:eastAsia="Arial" w:hAnsi="Arial"/>
                <w:sz w:val="16"/>
                <w:szCs w:val="16"/>
                <w:b w:val="1"/>
                <w:bCs w:val="1"/>
                <w:color w:val="auto"/>
                <w:w w:val="89"/>
              </w:rPr>
              <w:t>742,819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102.34</w:t>
            </w:r>
          </w:p>
        </w:tc>
      </w:tr>
      <w:tr>
        <w:trPr>
          <w:trHeight w:val="33"/>
        </w:trPr>
        <w:tc>
          <w:tcPr>
            <w:tcW w:w="8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Exercised</w:t>
            </w:r>
          </w:p>
        </w:tc>
        <w:tc>
          <w:tcPr>
            <w:tcW w:w="132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b w:val="1"/>
                <w:bCs w:val="1"/>
                <w:color w:val="auto"/>
                <w:w w:val="90"/>
              </w:rPr>
              <w:t>(798,806)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94.30</w:t>
            </w:r>
          </w:p>
        </w:tc>
      </w:tr>
      <w:tr>
        <w:trPr>
          <w:trHeight w:val="250"/>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Outstanding grants, December 31, 2019</w:t>
            </w:r>
          </w:p>
        </w:tc>
        <w:tc>
          <w:tcPr>
            <w:tcW w:w="1320" w:type="dxa"/>
            <w:vAlign w:val="bottom"/>
            <w:tcBorders>
              <w:top w:val="single" w:sz="8" w:color="auto"/>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w w:val="89"/>
              </w:rPr>
              <w:t>173,849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110.14</w:t>
            </w:r>
          </w:p>
        </w:tc>
      </w:tr>
      <w:tr>
        <w:trPr>
          <w:trHeight w:val="21"/>
        </w:trPr>
        <w:tc>
          <w:tcPr>
            <w:tcW w:w="8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The weighted average grant date fair values per share of options granted under the ESPP in 2019, 2018 and 2017 were $18.05, $15.43 and $12.99, respectively. The total intrinsic value of options exercised under these plans was $13 million in 2019, 2018 and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number of shares remaining available for future issuance under this plan was 33,812,282.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shares outstanding and treasury shares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Treasury shares were acquired in connection with the board-authorized stock repurchase program. As of December 31, 2019, $13.18 billion of stock repurchase authorizations remain, and no expiration date has been specified.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7" w:name="page38"/>
    <w:bookmarkEnd w:id="37"/>
    <w:p>
      <w:pPr>
        <w:ind w:right="260"/>
        <w:spacing w:after="0" w:line="277" w:lineRule="auto"/>
        <w:rPr>
          <w:sz w:val="20"/>
          <w:szCs w:val="20"/>
          <w:color w:val="auto"/>
        </w:rPr>
      </w:pPr>
      <w:r>
        <w:rPr>
          <w:rFonts w:ascii="Arial" w:cs="Arial" w:eastAsia="Arial" w:hAnsi="Arial"/>
          <w:sz w:val="18"/>
          <w:szCs w:val="18"/>
          <w:color w:val="auto"/>
        </w:rPr>
        <w:t>Our current practice is to issue shares of common stock from treasury shares upon exercise of stock options, distribution of director deferred compensation and vesting of RSUs. The following table reflects the changes in our treasury shares:</w:t>
      </w:r>
    </w:p>
    <w:p>
      <w:pPr>
        <w:sectPr>
          <w:pgSz w:w="11900" w:h="16838" w:orient="portrait"/>
          <w:cols w:equalWidth="0" w:num="1">
            <w:col w:w="11420"/>
          </w:cols>
          <w:pgMar w:left="240" w:top="1111" w:right="239" w:bottom="1440" w:gutter="0" w:footer="0" w:header="0"/>
        </w:sect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Stock Options</w:t>
            </w: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RSUs</w:t>
            </w:r>
          </w:p>
        </w:tc>
        <w:tc>
          <w:tcPr>
            <w:tcW w:w="0" w:type="dxa"/>
            <w:vAlign w:val="bottom"/>
          </w:tcPr>
          <w:p>
            <w:pPr>
              <w:spacing w:after="0"/>
              <w:rPr>
                <w:sz w:val="1"/>
                <w:szCs w:val="1"/>
                <w:color w:val="auto"/>
              </w:rPr>
            </w:pPr>
          </w:p>
        </w:tc>
      </w:tr>
      <w:tr>
        <w:trPr>
          <w:trHeight w:val="33"/>
        </w:trPr>
        <w:tc>
          <w:tcPr>
            <w:tcW w:w="7560" w:type="dxa"/>
            <w:vAlign w:val="bottom"/>
            <w:vMerge w:val="restart"/>
          </w:tcPr>
          <w:p>
            <w:pPr>
              <w:spacing w:after="0"/>
              <w:rPr>
                <w:sz w:val="20"/>
                <w:szCs w:val="20"/>
                <w:color w:val="auto"/>
              </w:rPr>
            </w:pPr>
            <w:r>
              <w:rPr>
                <w:rFonts w:ascii="Arial" w:cs="Arial" w:eastAsia="Arial" w:hAnsi="Arial"/>
                <w:sz w:val="16"/>
                <w:szCs w:val="16"/>
                <w:color w:val="auto"/>
              </w:rPr>
              <w:t>Balance, December 31, 2016</w:t>
            </w: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Repurchases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560" w:type="dxa"/>
            <w:vAlign w:val="bottom"/>
          </w:tcPr>
          <w:p>
            <w:pPr>
              <w:spacing w:after="0"/>
              <w:rPr>
                <w:sz w:val="20"/>
                <w:szCs w:val="20"/>
                <w:color w:val="auto"/>
              </w:rPr>
            </w:pPr>
            <w:r>
              <w:rPr>
                <w:rFonts w:ascii="Arial" w:cs="Arial" w:eastAsia="Arial" w:hAnsi="Arial"/>
                <w:sz w:val="16"/>
                <w:szCs w:val="16"/>
                <w:color w:val="auto"/>
              </w:rPr>
              <w:t>Shares used for:</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color w:val="auto"/>
              </w:rPr>
              <w:t>Stock options/RSUs</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(13,313,019)</w:t>
            </w:r>
          </w:p>
        </w:tc>
        <w:tc>
          <w:tcPr>
            <w:tcW w:w="12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(4,419,464)</w:t>
            </w: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color w:val="auto"/>
              </w:rPr>
              <w:t>Stock applied to taxes</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1,058,100</w:t>
            </w: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color w:val="auto"/>
              </w:rPr>
              <w:t>ESPP</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(1,065,757)</w:t>
            </w:r>
          </w:p>
        </w:tc>
        <w:tc>
          <w:tcPr>
            <w:tcW w:w="12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color w:val="auto"/>
              </w:rPr>
              <w:t>Director deferred stock units</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Pr>
          <w:p>
            <w:pPr>
              <w:spacing w:after="0"/>
              <w:rPr>
                <w:sz w:val="20"/>
                <w:szCs w:val="20"/>
                <w:color w:val="auto"/>
              </w:rPr>
            </w:pPr>
            <w:r>
              <w:rPr>
                <w:rFonts w:ascii="Arial" w:cs="Arial" w:eastAsia="Arial" w:hAnsi="Arial"/>
                <w:sz w:val="16"/>
                <w:szCs w:val="16"/>
                <w:color w:val="auto"/>
              </w:rPr>
              <w:t>Total issued</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(14,378,776)</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(3,361,364)</w:t>
            </w:r>
          </w:p>
        </w:tc>
        <w:tc>
          <w:tcPr>
            <w:tcW w:w="0" w:type="dxa"/>
            <w:vAlign w:val="bottom"/>
          </w:tcPr>
          <w:p>
            <w:pPr>
              <w:spacing w:after="0"/>
              <w:rPr>
                <w:sz w:val="1"/>
                <w:szCs w:val="1"/>
                <w:color w:val="auto"/>
              </w:rPr>
            </w:pPr>
          </w:p>
        </w:tc>
      </w:tr>
      <w:tr>
        <w:trPr>
          <w:trHeight w:val="27"/>
        </w:trPr>
        <w:tc>
          <w:tcPr>
            <w:tcW w:w="7560" w:type="dxa"/>
            <w:vAlign w:val="bottom"/>
            <w:vMerge w:val="restart"/>
          </w:tcPr>
          <w:p>
            <w:pPr>
              <w:spacing w:after="0"/>
              <w:rPr>
                <w:sz w:val="20"/>
                <w:szCs w:val="20"/>
                <w:color w:val="auto"/>
              </w:rPr>
            </w:pPr>
            <w:r>
              <w:rPr>
                <w:rFonts w:ascii="Arial" w:cs="Arial" w:eastAsia="Arial" w:hAnsi="Arial"/>
                <w:sz w:val="16"/>
                <w:szCs w:val="16"/>
                <w:color w:val="auto"/>
              </w:rPr>
              <w:t>Balance, December 31, 2017</w:t>
            </w: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6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560" w:type="dxa"/>
            <w:vAlign w:val="bottom"/>
          </w:tcPr>
          <w:p>
            <w:pPr>
              <w:spacing w:after="0"/>
              <w:rPr>
                <w:sz w:val="20"/>
                <w:szCs w:val="20"/>
                <w:color w:val="auto"/>
              </w:rPr>
            </w:pPr>
            <w:r>
              <w:rPr>
                <w:rFonts w:ascii="Arial" w:cs="Arial" w:eastAsia="Arial" w:hAnsi="Arial"/>
                <w:sz w:val="16"/>
                <w:szCs w:val="16"/>
                <w:color w:val="auto"/>
              </w:rPr>
              <w:t>Repurchases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560" w:type="dxa"/>
            <w:vAlign w:val="bottom"/>
          </w:tcPr>
          <w:p>
            <w:pPr>
              <w:spacing w:after="0"/>
              <w:rPr>
                <w:sz w:val="20"/>
                <w:szCs w:val="20"/>
                <w:color w:val="auto"/>
              </w:rPr>
            </w:pPr>
            <w:r>
              <w:rPr>
                <w:rFonts w:ascii="Arial" w:cs="Arial" w:eastAsia="Arial" w:hAnsi="Arial"/>
                <w:sz w:val="16"/>
                <w:szCs w:val="16"/>
                <w:color w:val="auto"/>
              </w:rPr>
              <w:t>Shares used for:</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color w:val="auto"/>
              </w:rPr>
              <w:t>Stock options/RSUs</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(8,432,458)</w:t>
            </w:r>
          </w:p>
        </w:tc>
        <w:tc>
          <w:tcPr>
            <w:tcW w:w="12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(2,769,994)</w:t>
            </w: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color w:val="auto"/>
              </w:rPr>
              <w:t>Stock applied to taxes</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553,720</w:t>
            </w: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color w:val="auto"/>
              </w:rPr>
              <w:t>ESPP</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(819,878)</w:t>
            </w:r>
          </w:p>
        </w:tc>
        <w:tc>
          <w:tcPr>
            <w:tcW w:w="12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color w:val="auto"/>
              </w:rPr>
              <w:t>Director deferred stock units</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Pr>
          <w:p>
            <w:pPr>
              <w:spacing w:after="0"/>
              <w:rPr>
                <w:sz w:val="20"/>
                <w:szCs w:val="20"/>
                <w:color w:val="auto"/>
              </w:rPr>
            </w:pPr>
            <w:r>
              <w:rPr>
                <w:rFonts w:ascii="Arial" w:cs="Arial" w:eastAsia="Arial" w:hAnsi="Arial"/>
                <w:sz w:val="16"/>
                <w:szCs w:val="16"/>
                <w:color w:val="auto"/>
              </w:rPr>
              <w:t>Total issued</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(9,252,336)</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(2,216,274)</w:t>
            </w:r>
          </w:p>
        </w:tc>
        <w:tc>
          <w:tcPr>
            <w:tcW w:w="0" w:type="dxa"/>
            <w:vAlign w:val="bottom"/>
          </w:tcPr>
          <w:p>
            <w:pPr>
              <w:spacing w:after="0"/>
              <w:rPr>
                <w:sz w:val="1"/>
                <w:szCs w:val="1"/>
                <w:color w:val="auto"/>
              </w:rPr>
            </w:pPr>
          </w:p>
        </w:tc>
      </w:tr>
      <w:tr>
        <w:trPr>
          <w:trHeight w:val="27"/>
        </w:trPr>
        <w:tc>
          <w:tcPr>
            <w:tcW w:w="7560" w:type="dxa"/>
            <w:vAlign w:val="bottom"/>
            <w:vMerge w:val="restart"/>
          </w:tcPr>
          <w:p>
            <w:pPr>
              <w:spacing w:after="0"/>
              <w:rPr>
                <w:sz w:val="20"/>
                <w:szCs w:val="20"/>
                <w:color w:val="auto"/>
              </w:rPr>
            </w:pPr>
            <w:r>
              <w:rPr>
                <w:rFonts w:ascii="Arial" w:cs="Arial" w:eastAsia="Arial" w:hAnsi="Arial"/>
                <w:sz w:val="16"/>
                <w:szCs w:val="16"/>
                <w:color w:val="auto"/>
              </w:rPr>
              <w:t>Balance, December 31, 2018</w:t>
            </w: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6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560" w:type="dxa"/>
            <w:vAlign w:val="bottom"/>
          </w:tcPr>
          <w:p>
            <w:pPr>
              <w:spacing w:after="0"/>
              <w:rPr>
                <w:sz w:val="20"/>
                <w:szCs w:val="20"/>
                <w:color w:val="auto"/>
              </w:rPr>
            </w:pPr>
            <w:r>
              <w:rPr>
                <w:rFonts w:ascii="Arial" w:cs="Arial" w:eastAsia="Arial" w:hAnsi="Arial"/>
                <w:sz w:val="16"/>
                <w:szCs w:val="16"/>
                <w:b w:val="1"/>
                <w:bCs w:val="1"/>
                <w:color w:val="auto"/>
              </w:rPr>
              <w:t>Repurchases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560" w:type="dxa"/>
            <w:vAlign w:val="bottom"/>
          </w:tcPr>
          <w:p>
            <w:pPr>
              <w:spacing w:after="0"/>
              <w:rPr>
                <w:sz w:val="20"/>
                <w:szCs w:val="20"/>
                <w:color w:val="auto"/>
              </w:rPr>
            </w:pPr>
            <w:r>
              <w:rPr>
                <w:rFonts w:ascii="Arial" w:cs="Arial" w:eastAsia="Arial" w:hAnsi="Arial"/>
                <w:sz w:val="16"/>
                <w:szCs w:val="16"/>
                <w:b w:val="1"/>
                <w:bCs w:val="1"/>
                <w:color w:val="auto"/>
              </w:rPr>
              <w:t>Shares used for:</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b w:val="1"/>
                <w:bCs w:val="1"/>
                <w:color w:val="auto"/>
              </w:rPr>
              <w:t>Stock options/RSUs</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(11,529,174)</w:t>
            </w:r>
          </w:p>
        </w:tc>
        <w:tc>
          <w:tcPr>
            <w:tcW w:w="12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(2,370,762)</w:t>
            </w: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b w:val="1"/>
                <w:bCs w:val="1"/>
                <w:color w:val="auto"/>
              </w:rPr>
              <w:t>Stock applied to taxes</w:t>
            </w:r>
          </w:p>
        </w:tc>
        <w:tc>
          <w:tcPr>
            <w:tcW w:w="1320" w:type="dxa"/>
            <w:vAlign w:val="bottom"/>
            <w:gridSpan w:val="2"/>
          </w:tcPr>
          <w:p>
            <w:pPr>
              <w:ind w:left="90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490,347</w:t>
            </w: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b w:val="1"/>
                <w:bCs w:val="1"/>
                <w:color w:val="auto"/>
              </w:rPr>
              <w:t>ESPP</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(798,806)</w:t>
            </w:r>
          </w:p>
        </w:tc>
        <w:tc>
          <w:tcPr>
            <w:tcW w:w="12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7"/>
        </w:trPr>
        <w:tc>
          <w:tcPr>
            <w:tcW w:w="7560" w:type="dxa"/>
            <w:vAlign w:val="bottom"/>
          </w:tcPr>
          <w:p>
            <w:pPr>
              <w:ind w:left="100"/>
              <w:spacing w:after="0"/>
              <w:rPr>
                <w:sz w:val="20"/>
                <w:szCs w:val="20"/>
                <w:color w:val="auto"/>
              </w:rPr>
            </w:pPr>
            <w:r>
              <w:rPr>
                <w:rFonts w:ascii="Arial" w:cs="Arial" w:eastAsia="Arial" w:hAnsi="Arial"/>
                <w:sz w:val="16"/>
                <w:szCs w:val="16"/>
                <w:b w:val="1"/>
                <w:bCs w:val="1"/>
                <w:color w:val="auto"/>
              </w:rPr>
              <w:t>Director deferred stock units</w:t>
            </w:r>
          </w:p>
        </w:tc>
        <w:tc>
          <w:tcPr>
            <w:tcW w:w="1320" w:type="dxa"/>
            <w:vAlign w:val="bottom"/>
            <w:gridSpan w:val="2"/>
          </w:tcPr>
          <w:p>
            <w:pPr>
              <w:ind w:left="90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Pr>
          <w:p>
            <w:pPr>
              <w:spacing w:after="0"/>
              <w:rPr>
                <w:sz w:val="20"/>
                <w:szCs w:val="20"/>
                <w:color w:val="auto"/>
              </w:rPr>
            </w:pPr>
            <w:r>
              <w:rPr>
                <w:rFonts w:ascii="Arial" w:cs="Arial" w:eastAsia="Arial" w:hAnsi="Arial"/>
                <w:sz w:val="16"/>
                <w:szCs w:val="16"/>
                <w:b w:val="1"/>
                <w:bCs w:val="1"/>
                <w:color w:val="auto"/>
              </w:rPr>
              <w:t>Total issued</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(12,327,980)</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(1,880,415)</w:t>
            </w:r>
          </w:p>
        </w:tc>
        <w:tc>
          <w:tcPr>
            <w:tcW w:w="0" w:type="dxa"/>
            <w:vAlign w:val="bottom"/>
          </w:tcPr>
          <w:p>
            <w:pPr>
              <w:spacing w:after="0"/>
              <w:rPr>
                <w:sz w:val="1"/>
                <w:szCs w:val="1"/>
                <w:color w:val="auto"/>
              </w:rPr>
            </w:pPr>
          </w:p>
        </w:tc>
      </w:tr>
      <w:tr>
        <w:trPr>
          <w:trHeight w:val="27"/>
        </w:trPr>
        <w:tc>
          <w:tcPr>
            <w:tcW w:w="756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2019</w:t>
            </w: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560" w:type="dxa"/>
            <w:vAlign w:val="bottom"/>
            <w:vMerge w:val="continue"/>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-4189095</wp:posOffset>
            </wp:positionV>
            <wp:extent cx="72466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-3863340</wp:posOffset>
            </wp:positionV>
            <wp:extent cx="72466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-3537585</wp:posOffset>
            </wp:positionV>
            <wp:extent cx="72466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-2851150</wp:posOffset>
            </wp:positionV>
            <wp:extent cx="72466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-2525395</wp:posOffset>
            </wp:positionV>
            <wp:extent cx="72466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-2199640</wp:posOffset>
            </wp:positionV>
            <wp:extent cx="72466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-1873885</wp:posOffset>
            </wp:positionV>
            <wp:extent cx="724662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-1187450</wp:posOffset>
            </wp:positionV>
            <wp:extent cx="72466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-861695</wp:posOffset>
            </wp:positionV>
            <wp:extent cx="72466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-1513205</wp:posOffset>
            </wp:positionV>
            <wp:extent cx="72466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-3185795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-4531995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Treasury Shares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744,831,978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771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30,570,129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(4,750)</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(17,740,140)</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757,657,217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7715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49,482,220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(5,181)</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(11,468,610)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771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795,665,646</w:t>
      </w:r>
    </w:p>
    <w:p>
      <w:pPr>
        <w:spacing w:after="0" w:line="32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27,398,701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(71,571)</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(14,208,395)</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808,784,381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63500</wp:posOffset>
            </wp:positionV>
            <wp:extent cx="7715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10100" w:space="140"/>
            <w:col w:w="1180"/>
          </w:cols>
          <w:pgMar w:left="240" w:top="1111"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effects on cash flows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40" w:type="dxa"/>
            <w:vAlign w:val="bottom"/>
            <w:gridSpan w:val="6"/>
          </w:tcPr>
          <w:p>
            <w:pPr>
              <w:ind w:left="60"/>
              <w:spacing w:after="0"/>
              <w:rPr>
                <w:sz w:val="20"/>
                <w:szCs w:val="20"/>
                <w:color w:val="auto"/>
              </w:rPr>
            </w:pPr>
            <w:r>
              <w:rPr>
                <w:rFonts w:ascii="Arial" w:cs="Arial" w:eastAsia="Arial" w:hAnsi="Arial"/>
                <w:sz w:val="16"/>
                <w:szCs w:val="16"/>
                <w:b w:val="1"/>
                <w:bCs w:val="1"/>
                <w:color w:val="auto"/>
                <w:w w:val="91"/>
              </w:rPr>
              <w:t>For Years Ended December 31,</w:t>
            </w:r>
          </w:p>
        </w:tc>
        <w:tc>
          <w:tcPr>
            <w:tcW w:w="820" w:type="dxa"/>
            <w:vAlign w:val="bottom"/>
          </w:tcPr>
          <w:p>
            <w:pPr>
              <w:spacing w:after="0"/>
              <w:rPr>
                <w:sz w:val="18"/>
                <w:szCs w:val="18"/>
                <w:color w:val="auto"/>
              </w:rPr>
            </w:pPr>
          </w:p>
        </w:tc>
      </w:tr>
      <w:tr>
        <w:trPr>
          <w:trHeight w:val="33"/>
        </w:trPr>
        <w:tc>
          <w:tcPr>
            <w:tcW w:w="7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6"/>
                <w:szCs w:val="16"/>
                <w:b w:val="1"/>
                <w:bCs w:val="1"/>
                <w:color w:val="auto"/>
              </w:rPr>
              <w:t>2017</w:t>
            </w:r>
          </w:p>
        </w:tc>
      </w:tr>
      <w:tr>
        <w:trPr>
          <w:trHeight w:val="33"/>
        </w:trPr>
        <w:tc>
          <w:tcPr>
            <w:tcW w:w="7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common stock transactions (a)</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539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483</w:t>
            </w:r>
          </w:p>
        </w:tc>
      </w:tr>
      <w:tr>
        <w:trPr>
          <w:trHeight w:val="216"/>
        </w:trPr>
        <w:tc>
          <w:tcPr>
            <w:tcW w:w="7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 realized from stock compensation</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341</w:t>
            </w: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Reduction to deferred tax asset</w:t>
            </w:r>
          </w:p>
        </w:tc>
        <w:tc>
          <w:tcPr>
            <w:tcW w:w="8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ind w:left="440"/>
              <w:spacing w:after="0"/>
              <w:rPr>
                <w:sz w:val="20"/>
                <w:szCs w:val="20"/>
                <w:color w:val="auto"/>
              </w:rPr>
            </w:pPr>
            <w:r>
              <w:rPr>
                <w:rFonts w:ascii="Arial" w:cs="Arial" w:eastAsia="Arial" w:hAnsi="Arial"/>
                <w:sz w:val="16"/>
                <w:szCs w:val="16"/>
                <w:color w:val="auto"/>
              </w:rPr>
              <w:t>(91)</w:t>
            </w:r>
          </w:p>
        </w:tc>
      </w:tr>
      <w:tr>
        <w:trPr>
          <w:trHeight w:val="33"/>
        </w:trPr>
        <w:tc>
          <w:tcPr>
            <w:tcW w:w="7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Excess tax benefit for stock compensation</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250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1760" w:hanging="5612"/>
        <w:spacing w:after="0" w:line="919"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of taxes paid for employee shares withheld of $52 million, $60 million and $83 million in 2019, 2018 and 2017, respectively.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is comprised of the following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11"/>
          </w:tcPr>
          <w:p>
            <w:pPr>
              <w:ind w:left="200"/>
              <w:spacing w:after="0"/>
              <w:rPr>
                <w:sz w:val="20"/>
                <w:szCs w:val="20"/>
                <w:color w:val="auto"/>
              </w:rPr>
            </w:pPr>
            <w:r>
              <w:rPr>
                <w:rFonts w:ascii="Arial" w:cs="Arial" w:eastAsia="Arial" w:hAnsi="Arial"/>
                <w:sz w:val="16"/>
                <w:szCs w:val="16"/>
                <w:b w:val="1"/>
                <w:bCs w:val="1"/>
                <w:color w:val="auto"/>
                <w:w w:val="91"/>
              </w:rPr>
              <w:t>For Years Ended 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4,915</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5,130</w:t>
            </w:r>
          </w:p>
        </w:tc>
        <w:tc>
          <w:tcPr>
            <w:tcW w:w="0" w:type="dxa"/>
            <w:vAlign w:val="bottom"/>
          </w:tcPr>
          <w:p>
            <w:pPr>
              <w:spacing w:after="0"/>
              <w:rPr>
                <w:sz w:val="1"/>
                <w:szCs w:val="1"/>
                <w:color w:val="auto"/>
              </w:rPr>
            </w:pPr>
          </w:p>
        </w:tc>
      </w:tr>
      <w:tr>
        <w:trPr>
          <w:trHeight w:val="224"/>
        </w:trPr>
        <w:tc>
          <w:tcPr>
            <w:tcW w:w="1640" w:type="dxa"/>
            <w:vAlign w:val="bottom"/>
          </w:tcPr>
          <w:p>
            <w:pPr>
              <w:ind w:left="20"/>
              <w:spacing w:after="0"/>
              <w:rPr>
                <w:sz w:val="20"/>
                <w:szCs w:val="20"/>
                <w:color w:val="auto"/>
              </w:rPr>
            </w:pPr>
            <w:r>
              <w:rPr>
                <w:rFonts w:ascii="Arial" w:cs="Arial" w:eastAsia="Arial" w:hAnsi="Arial"/>
                <w:sz w:val="16"/>
                <w:szCs w:val="16"/>
                <w:color w:val="auto"/>
              </w:rPr>
              <w:t>Non-U.S.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b w:val="1"/>
                <w:bCs w:val="1"/>
                <w:color w:val="auto"/>
              </w:rPr>
              <w:t>813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33"/>
        </w:trPr>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5,728</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6,080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gridSpan w:val="11"/>
            <w:vMerge w:val="restart"/>
          </w:tcPr>
          <w:p>
            <w:pPr>
              <w:spacing w:after="0"/>
              <w:rPr>
                <w:sz w:val="20"/>
                <w:szCs w:val="20"/>
                <w:color w:val="auto"/>
              </w:rPr>
            </w:pPr>
            <w:r>
              <w:rPr>
                <w:rFonts w:ascii="Arial" w:cs="Arial" w:eastAsia="Arial" w:hAnsi="Arial"/>
                <w:sz w:val="18"/>
                <w:szCs w:val="18"/>
                <w:color w:val="auto"/>
                <w:w w:val="92"/>
              </w:rPr>
              <w:t>Provision for income taxes is comprised of the following components:</w:t>
            </w: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00" w:type="dxa"/>
            <w:vAlign w:val="bottom"/>
            <w:gridSpan w:val="11"/>
            <w:vMerge w:val="continue"/>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8"/>
          </w:tcPr>
          <w:p>
            <w:pPr>
              <w:jc w:val="center"/>
              <w:ind w:right="20"/>
              <w:spacing w:after="0"/>
              <w:rPr>
                <w:sz w:val="20"/>
                <w:szCs w:val="20"/>
                <w:color w:val="auto"/>
              </w:rPr>
            </w:pPr>
            <w:r>
              <w:rPr>
                <w:rFonts w:ascii="Arial" w:cs="Arial" w:eastAsia="Arial" w:hAnsi="Arial"/>
                <w:sz w:val="16"/>
                <w:szCs w:val="16"/>
                <w:b w:val="1"/>
                <w:bCs w:val="1"/>
                <w:color w:val="auto"/>
                <w:w w:val="90"/>
              </w:rPr>
              <w:t>For Years Ended 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Deferred</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Deferred</w:t>
            </w:r>
          </w:p>
        </w:tc>
        <w:tc>
          <w:tcPr>
            <w:tcW w:w="2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ind w:left="220"/>
              <w:spacing w:after="0"/>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7"/>
              </w:rPr>
              <w:t>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483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881</w:t>
            </w:r>
          </w:p>
        </w:tc>
        <w:tc>
          <w:tcPr>
            <w:tcW w:w="68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4"/>
              </w:rPr>
              <w:t>2,101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2,152</w:t>
            </w:r>
          </w:p>
        </w:tc>
        <w:tc>
          <w:tcPr>
            <w:tcW w:w="0" w:type="dxa"/>
            <w:vAlign w:val="bottom"/>
          </w:tcPr>
          <w:p>
            <w:pPr>
              <w:spacing w:after="0"/>
              <w:rPr>
                <w:sz w:val="1"/>
                <w:szCs w:val="1"/>
                <w:color w:val="auto"/>
              </w:rPr>
            </w:pPr>
          </w:p>
        </w:tc>
      </w:tr>
      <w:tr>
        <w:trPr>
          <w:trHeight w:val="224"/>
        </w:trPr>
        <w:tc>
          <w:tcPr>
            <w:tcW w:w="1640" w:type="dxa"/>
            <w:vAlign w:val="bottom"/>
          </w:tcPr>
          <w:p>
            <w:pPr>
              <w:ind w:left="20"/>
              <w:spacing w:after="0"/>
              <w:rPr>
                <w:sz w:val="20"/>
                <w:szCs w:val="20"/>
                <w:color w:val="auto"/>
              </w:rPr>
            </w:pPr>
            <w:r>
              <w:rPr>
                <w:rFonts w:ascii="Arial" w:cs="Arial" w:eastAsia="Arial" w:hAnsi="Arial"/>
                <w:sz w:val="16"/>
                <w:szCs w:val="16"/>
                <w:color w:val="auto"/>
              </w:rPr>
              <w:t>Non-U.S.</w:t>
            </w:r>
          </w:p>
        </w:tc>
        <w:tc>
          <w:tcPr>
            <w:tcW w:w="1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33"/>
        </w:trPr>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state</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7"/>
        </w:trPr>
        <w:tc>
          <w:tcPr>
            <w:tcW w:w="16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630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711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1,106</w:t>
            </w: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6"/>
                <w:szCs w:val="16"/>
                <w:color w:val="auto"/>
                <w:w w:val="94"/>
              </w:rPr>
              <w:t>2,286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2,398</w:t>
            </w: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Principal reconciling items from the U.S. statutory income tax rate to the effective tax rate (provision for income taxes as a percentage of income before income taxes)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3160" w:type="dxa"/>
            <w:vAlign w:val="bottom"/>
            <w:gridSpan w:val="6"/>
          </w:tcPr>
          <w:p>
            <w:pPr>
              <w:ind w:left="940"/>
              <w:spacing w:after="0"/>
              <w:rPr>
                <w:sz w:val="20"/>
                <w:szCs w:val="20"/>
                <w:color w:val="auto"/>
              </w:rPr>
            </w:pPr>
            <w:r>
              <w:rPr>
                <w:rFonts w:ascii="Arial" w:cs="Arial" w:eastAsia="Arial" w:hAnsi="Arial"/>
                <w:sz w:val="16"/>
                <w:szCs w:val="16"/>
                <w:b w:val="1"/>
                <w:bCs w:val="1"/>
                <w:color w:val="auto"/>
                <w:w w:val="93"/>
              </w:rPr>
              <w:t>For Years Ended December 31,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740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statutory income tax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7400" w:type="dxa"/>
            <w:vAlign w:val="bottom"/>
          </w:tcPr>
          <w:p>
            <w:pPr>
              <w:ind w:left="20"/>
              <w:spacing w:after="0"/>
              <w:rPr>
                <w:sz w:val="20"/>
                <w:szCs w:val="20"/>
                <w:color w:val="auto"/>
              </w:rPr>
            </w:pPr>
            <w:r>
              <w:rPr>
                <w:rFonts w:ascii="Arial" w:cs="Arial" w:eastAsia="Arial" w:hAnsi="Arial"/>
                <w:sz w:val="16"/>
                <w:szCs w:val="16"/>
                <w:color w:val="auto"/>
              </w:rPr>
              <w:t>U.S. tax benefit for foreign derived intangible income</w:t>
            </w: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r>
      <w:tr>
        <w:trPr>
          <w:trHeight w:val="33"/>
        </w:trPr>
        <w:tc>
          <w:tcPr>
            <w:tcW w:w="7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400" w:type="dxa"/>
            <w:vAlign w:val="bottom"/>
            <w:tcBorders>
              <w:bottom w:val="single" w:sz="8" w:color="D0EEFF"/>
            </w:tcBorders>
            <w:shd w:val="clear" w:color="auto" w:fill="D0EEFF"/>
          </w:tcPr>
          <w:p>
            <w:pPr>
              <w:ind w:left="20"/>
              <w:spacing w:after="0"/>
              <w:rPr>
                <w:sz w:val="20"/>
                <w:szCs w:val="20"/>
                <w:color w:val="auto"/>
              </w:rPr>
            </w:pPr>
            <w:r>
              <w:rPr>
                <w:rFonts w:ascii="Arial" w:cs="Arial" w:eastAsia="Arial" w:hAnsi="Arial"/>
                <w:sz w:val="16"/>
                <w:szCs w:val="16"/>
                <w:color w:val="auto"/>
              </w:rPr>
              <w:t>U.S. excess tax benefit for stock compensation</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400" w:type="dxa"/>
            <w:vAlign w:val="bottom"/>
          </w:tcPr>
          <w:p>
            <w:pPr>
              <w:ind w:left="20"/>
              <w:spacing w:after="0"/>
              <w:rPr>
                <w:sz w:val="20"/>
                <w:szCs w:val="20"/>
                <w:color w:val="auto"/>
              </w:rPr>
            </w:pPr>
            <w:r>
              <w:rPr>
                <w:rFonts w:ascii="Arial" w:cs="Arial" w:eastAsia="Arial" w:hAnsi="Arial"/>
                <w:sz w:val="16"/>
                <w:szCs w:val="16"/>
                <w:color w:val="auto"/>
              </w:rPr>
              <w:t>U.S. R&amp;D tax credit</w:t>
            </w: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9"/>
                <w:szCs w:val="19"/>
                <w:color w:val="auto"/>
              </w:rPr>
            </w:pPr>
          </w:p>
        </w:tc>
      </w:tr>
      <w:tr>
        <w:trPr>
          <w:trHeight w:val="33"/>
        </w:trPr>
        <w:tc>
          <w:tcPr>
            <w:tcW w:w="7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Non-U.S. effective tax rates</w:t>
            </w:r>
          </w:p>
        </w:tc>
        <w:tc>
          <w:tcPr>
            <w:tcW w:w="13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400" w:type="dxa"/>
            <w:vAlign w:val="bottom"/>
          </w:tcPr>
          <w:p>
            <w:pPr>
              <w:ind w:left="20"/>
              <w:spacing w:after="0"/>
              <w:rPr>
                <w:sz w:val="20"/>
                <w:szCs w:val="20"/>
                <w:color w:val="auto"/>
              </w:rPr>
            </w:pPr>
            <w:r>
              <w:rPr>
                <w:rFonts w:ascii="Arial" w:cs="Arial" w:eastAsia="Arial" w:hAnsi="Arial"/>
                <w:sz w:val="16"/>
                <w:szCs w:val="16"/>
                <w:color w:val="auto"/>
              </w:rPr>
              <w:t>U.S. Tax Act transitional non-cash expense</w:t>
            </w:r>
          </w:p>
        </w:tc>
        <w:tc>
          <w:tcPr>
            <w:tcW w:w="14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r>
      <w:tr>
        <w:trPr>
          <w:trHeight w:val="33"/>
        </w:trPr>
        <w:tc>
          <w:tcPr>
            <w:tcW w:w="7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Tax Act enactment-date effects and measurement period adjustments</w:t>
            </w:r>
          </w:p>
        </w:tc>
        <w:tc>
          <w:tcPr>
            <w:tcW w:w="14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400" w:type="dxa"/>
            <w:vAlign w:val="bottom"/>
          </w:tcPr>
          <w:p>
            <w:pPr>
              <w:ind w:left="20"/>
              <w:spacing w:after="0"/>
              <w:rPr>
                <w:sz w:val="20"/>
                <w:szCs w:val="20"/>
                <w:color w:val="auto"/>
              </w:rPr>
            </w:pPr>
            <w:r>
              <w:rPr>
                <w:rFonts w:ascii="Arial" w:cs="Arial" w:eastAsia="Arial" w:hAnsi="Arial"/>
                <w:sz w:val="16"/>
                <w:szCs w:val="16"/>
                <w:color w:val="auto"/>
              </w:rPr>
              <w:t>U.S. tax benefit for manufacturing</w:t>
            </w:r>
          </w:p>
        </w:tc>
        <w:tc>
          <w:tcPr>
            <w:tcW w:w="14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9"/>
                <w:szCs w:val="19"/>
                <w:color w:val="auto"/>
              </w:rPr>
            </w:pPr>
          </w:p>
        </w:tc>
      </w:tr>
      <w:tr>
        <w:trPr>
          <w:trHeight w:val="33"/>
        </w:trPr>
        <w:tc>
          <w:tcPr>
            <w:tcW w:w="7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3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74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12.4 %</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r>
      <w:tr>
        <w:trPr>
          <w:trHeight w:val="24"/>
        </w:trPr>
        <w:tc>
          <w:tcPr>
            <w:tcW w:w="7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U.S. Tax Cuts and Jobs Act (the Tax Act) was enacted on December 22, 2017. The Tax Act reduces the U.S. statutory income tax rate from 35% to 21% and requires companies to pay a one-time tax on indefinitely reinvested earnings of certain non-U.S. subsidiaries that were previously tax deferred. We applied the guidance in Staff Accounting Bulletin No. 118 when accounting for the enactment-date effects of the Tax Act in 2017 and throughout 2018. As of December 31, 2018, we completed our accounting for the enactment-date income tax effects of the Tax Act. We booked a provisional amount of $773 million in 2017 and reduced our provisional amount by $44 million in 2018, for a net of $729 million.</w:t>
      </w:r>
    </w:p>
    <w:p>
      <w:pPr>
        <w:spacing w:after="0" w:line="173" w:lineRule="exact"/>
        <w:rPr>
          <w:sz w:val="20"/>
          <w:szCs w:val="20"/>
          <w:color w:val="auto"/>
        </w:rPr>
      </w:pPr>
    </w:p>
    <w:p>
      <w:pPr>
        <w:jc w:val="both"/>
        <w:ind w:right="380"/>
        <w:spacing w:after="0" w:line="288" w:lineRule="auto"/>
        <w:rPr>
          <w:sz w:val="20"/>
          <w:szCs w:val="20"/>
          <w:color w:val="auto"/>
        </w:rPr>
      </w:pPr>
      <w:r>
        <w:rPr>
          <w:rFonts w:ascii="Arial" w:cs="Arial" w:eastAsia="Arial" w:hAnsi="Arial"/>
          <w:sz w:val="16"/>
          <w:szCs w:val="16"/>
          <w:color w:val="auto"/>
        </w:rPr>
        <w:t>The earnings represented by non-cash operating assets, such as fixed assets and inventory, will continue to be permanently reinvested outside the United States. Provisions of the Tax Act, such as the one-time tax on indefinitely reinvested earnings and the global intangible low-taxed income (GILTI) tax for years beginning in 2018, eliminate any additional U.S. taxation resulting from repatriation of earnings of non-U.S. subsidiaries to the United States.</w:t>
      </w:r>
    </w:p>
    <w:p>
      <w:pPr>
        <w:ind w:right="40"/>
        <w:spacing w:after="0" w:line="254" w:lineRule="auto"/>
        <w:rPr>
          <w:sz w:val="20"/>
          <w:szCs w:val="20"/>
          <w:color w:val="auto"/>
        </w:rPr>
      </w:pPr>
      <w:r>
        <w:rPr>
          <w:rFonts w:ascii="Arial" w:cs="Arial" w:eastAsia="Arial" w:hAnsi="Arial"/>
          <w:sz w:val="18"/>
          <w:szCs w:val="18"/>
          <w:color w:val="auto"/>
        </w:rPr>
        <w:t>Consequently, no U.S. tax provision has been made for the future remittance of these earnings. However, withholding or distribution taxes in certain non-U.S. jurisdictions will be incurred upon repatriation of available cash to the United States. A provision has been made for deferred taxes on these undistributed earnings to the extent that repatriation of the available cash to the United States is expected to result in a tax liability. As of December 31, 2019, we have no basis differences that would result in material unrecognized deferred tax liabilities.</w:t>
      </w: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39" w:name="page40"/>
    <w:bookmarkEnd w:id="39"/>
    <w:p>
      <w:pPr>
        <w:ind w:right="620"/>
        <w:spacing w:after="0" w:line="277" w:lineRule="auto"/>
        <w:rPr>
          <w:sz w:val="20"/>
          <w:szCs w:val="20"/>
          <w:color w:val="auto"/>
        </w:rPr>
      </w:pPr>
      <w:r>
        <w:rPr>
          <w:rFonts w:ascii="Arial" w:cs="Arial" w:eastAsia="Arial" w:hAnsi="Arial"/>
          <w:sz w:val="18"/>
          <w:szCs w:val="18"/>
          <w:color w:val="auto"/>
        </w:rPr>
        <w:t>We have made an allowable policy election to account for the effects of GILTI as a component of income tax expense in the period in which the tax is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deferred tax assets and liabilities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spacing w:after="0"/>
              <w:rPr>
                <w:sz w:val="18"/>
                <w:szCs w:val="18"/>
                <w:color w:val="auto"/>
              </w:rPr>
            </w:pPr>
          </w:p>
        </w:tc>
      </w:tr>
      <w:tr>
        <w:trPr>
          <w:trHeight w:val="33"/>
        </w:trPr>
        <w:tc>
          <w:tcPr>
            <w:tcW w:w="8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224"/>
        </w:trPr>
        <w:tc>
          <w:tcPr>
            <w:tcW w:w="8880" w:type="dxa"/>
            <w:vAlign w:val="bottom"/>
          </w:tcPr>
          <w:p>
            <w:pPr>
              <w:ind w:left="120"/>
              <w:spacing w:after="0"/>
              <w:rPr>
                <w:sz w:val="20"/>
                <w:szCs w:val="20"/>
                <w:color w:val="auto"/>
              </w:rPr>
            </w:pPr>
            <w:r>
              <w:rPr>
                <w:rFonts w:ascii="Arial" w:cs="Arial" w:eastAsia="Arial" w:hAnsi="Arial"/>
                <w:sz w:val="16"/>
                <w:szCs w:val="16"/>
                <w:color w:val="auto"/>
              </w:rPr>
              <w:t>Deferred loss and tax credit carryforwards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213</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247</w:t>
            </w:r>
          </w:p>
        </w:tc>
      </w:tr>
      <w:tr>
        <w:trPr>
          <w:trHeight w:val="33"/>
        </w:trPr>
        <w:tc>
          <w:tcPr>
            <w:tcW w:w="8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w:t>
            </w:r>
          </w:p>
        </w:tc>
      </w:tr>
      <w:tr>
        <w:trPr>
          <w:trHeight w:val="224"/>
        </w:trPr>
        <w:tc>
          <w:tcPr>
            <w:tcW w:w="8880" w:type="dxa"/>
            <w:vAlign w:val="bottom"/>
          </w:tcPr>
          <w:p>
            <w:pPr>
              <w:ind w:left="120"/>
              <w:spacing w:after="0"/>
              <w:rPr>
                <w:sz w:val="20"/>
                <w:szCs w:val="20"/>
                <w:color w:val="auto"/>
              </w:rPr>
            </w:pPr>
            <w:r>
              <w:rPr>
                <w:rFonts w:ascii="Arial" w:cs="Arial" w:eastAsia="Arial" w:hAnsi="Arial"/>
                <w:sz w:val="16"/>
                <w:szCs w:val="16"/>
                <w:color w:val="auto"/>
              </w:rPr>
              <w:t>Stock compensation</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122</w:t>
            </w:r>
          </w:p>
        </w:tc>
      </w:tr>
      <w:tr>
        <w:trPr>
          <w:trHeight w:val="33"/>
        </w:trPr>
        <w:tc>
          <w:tcPr>
            <w:tcW w:w="8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 and related reserves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r>
      <w:tr>
        <w:trPr>
          <w:trHeight w:val="224"/>
        </w:trPr>
        <w:tc>
          <w:tcPr>
            <w:tcW w:w="8880" w:type="dxa"/>
            <w:vAlign w:val="bottom"/>
          </w:tcPr>
          <w:p>
            <w:pPr>
              <w:ind w:left="120"/>
              <w:spacing w:after="0"/>
              <w:rPr>
                <w:sz w:val="20"/>
                <w:szCs w:val="20"/>
                <w:color w:val="auto"/>
              </w:rPr>
            </w:pPr>
            <w:r>
              <w:rPr>
                <w:rFonts w:ascii="Arial" w:cs="Arial" w:eastAsia="Arial" w:hAnsi="Arial"/>
                <w:sz w:val="16"/>
                <w:szCs w:val="16"/>
                <w:color w:val="auto"/>
              </w:rPr>
              <w:t>Retirement costs for defined benefit and retiree health care</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80</w:t>
            </w:r>
          </w:p>
        </w:tc>
      </w:tr>
      <w:tr>
        <w:trPr>
          <w:trHeight w:val="33"/>
        </w:trPr>
        <w:tc>
          <w:tcPr>
            <w:tcW w:w="8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 before valuation allowance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685</w:t>
            </w:r>
          </w:p>
        </w:tc>
      </w:tr>
      <w:tr>
        <w:trPr>
          <w:trHeight w:val="224"/>
        </w:trPr>
        <w:tc>
          <w:tcPr>
            <w:tcW w:w="888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(172)</w:t>
            </w:r>
          </w:p>
        </w:tc>
      </w:tr>
      <w:tr>
        <w:trPr>
          <w:trHeight w:val="33"/>
        </w:trPr>
        <w:tc>
          <w:tcPr>
            <w:tcW w:w="8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 after valuation allowance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513</w:t>
            </w:r>
          </w:p>
        </w:tc>
      </w:tr>
      <w:tr>
        <w:trPr>
          <w:trHeight w:val="224"/>
        </w:trPr>
        <w:tc>
          <w:tcPr>
            <w:tcW w:w="88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3"/>
        </w:trPr>
        <w:tc>
          <w:tcPr>
            <w:tcW w:w="8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Property, plant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24"/>
        </w:trPr>
        <w:tc>
          <w:tcPr>
            <w:tcW w:w="8880" w:type="dxa"/>
            <w:vAlign w:val="bottom"/>
          </w:tcPr>
          <w:p>
            <w:pPr>
              <w:ind w:left="120"/>
              <w:spacing w:after="0"/>
              <w:rPr>
                <w:sz w:val="20"/>
                <w:szCs w:val="20"/>
                <w:color w:val="auto"/>
              </w:rPr>
            </w:pPr>
            <w:r>
              <w:rPr>
                <w:rFonts w:ascii="Arial" w:cs="Arial" w:eastAsia="Arial" w:hAnsi="Arial"/>
                <w:sz w:val="16"/>
                <w:szCs w:val="16"/>
                <w:color w:val="auto"/>
              </w:rPr>
              <w:t>Acquisition-related intangibles and fair-value adjustments</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33"/>
        </w:trPr>
        <w:tc>
          <w:tcPr>
            <w:tcW w:w="8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International earnings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24"/>
        </w:trPr>
        <w:tc>
          <w:tcPr>
            <w:tcW w:w="8880" w:type="dxa"/>
            <w:vAlign w:val="bottom"/>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8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r>
      <w:tr>
        <w:trPr>
          <w:trHeight w:val="247"/>
        </w:trPr>
        <w:tc>
          <w:tcPr>
            <w:tcW w:w="8880" w:type="dxa"/>
            <w:vAlign w:val="bottom"/>
          </w:tcPr>
          <w:p>
            <w:pPr>
              <w:ind w:left="20"/>
              <w:spacing w:after="0"/>
              <w:rPr>
                <w:sz w:val="20"/>
                <w:szCs w:val="20"/>
                <w:color w:val="auto"/>
              </w:rPr>
            </w:pPr>
            <w:r>
              <w:rPr>
                <w:rFonts w:ascii="Arial" w:cs="Arial" w:eastAsia="Arial" w:hAnsi="Arial"/>
                <w:sz w:val="16"/>
                <w:szCs w:val="16"/>
                <w:color w:val="auto"/>
              </w:rPr>
              <w:t>Net deferred tax asset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119</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253</w:t>
            </w:r>
          </w:p>
        </w:tc>
      </w:tr>
      <w:tr>
        <w:trPr>
          <w:trHeight w:val="24"/>
        </w:trPr>
        <w:tc>
          <w:tcPr>
            <w:tcW w:w="8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and liabilities based on tax jurisdictions are presented on our Consolidated Balance Sheets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780" w:type="dxa"/>
            <w:vAlign w:val="bottom"/>
          </w:tcPr>
          <w:p>
            <w:pPr>
              <w:spacing w:after="0"/>
              <w:rPr>
                <w:sz w:val="18"/>
                <w:szCs w:val="18"/>
                <w:color w:val="auto"/>
              </w:rPr>
            </w:pPr>
          </w:p>
        </w:tc>
      </w:tr>
      <w:tr>
        <w:trPr>
          <w:trHeight w:val="33"/>
        </w:trPr>
        <w:tc>
          <w:tcPr>
            <w:tcW w:w="88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8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7"/>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295</w:t>
            </w:r>
          </w:p>
        </w:tc>
      </w:tr>
      <w:tr>
        <w:trPr>
          <w:trHeight w:val="224"/>
        </w:trPr>
        <w:tc>
          <w:tcPr>
            <w:tcW w:w="88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780" w:type="dxa"/>
            <w:vAlign w:val="bottom"/>
          </w:tcPr>
          <w:p>
            <w:pPr>
              <w:spacing w:after="0"/>
              <w:rPr>
                <w:sz w:val="19"/>
                <w:szCs w:val="19"/>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b w:val="1"/>
                <w:bCs w:val="1"/>
                <w:color w:val="auto"/>
              </w:rPr>
              <w:t>(78)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ind w:left="400"/>
              <w:spacing w:after="0"/>
              <w:rPr>
                <w:sz w:val="20"/>
                <w:szCs w:val="20"/>
                <w:color w:val="auto"/>
              </w:rPr>
            </w:pPr>
            <w:r>
              <w:rPr>
                <w:rFonts w:ascii="Arial" w:cs="Arial" w:eastAsia="Arial" w:hAnsi="Arial"/>
                <w:sz w:val="16"/>
                <w:szCs w:val="16"/>
                <w:color w:val="auto"/>
              </w:rPr>
              <w:t>(42)</w:t>
            </w:r>
          </w:p>
        </w:tc>
      </w:tr>
      <w:tr>
        <w:trPr>
          <w:trHeight w:val="33"/>
        </w:trPr>
        <w:tc>
          <w:tcPr>
            <w:tcW w:w="88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2"/>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7"/>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253</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Valuation allowances increased by $8 million, $7 million and $37 million in 2019, 2018 and 2017, respectively. These changes had no impact to net income in 2019 or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have U.S. and non-U.S. tax loss carryforwards of approximately $6 million, none of which will expire before the year 2029.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payments made for income taxes, net of refunds, were $570 million, $705 million and $1.80 billion in 2019,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our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changes in the total amounts of uncertain tax positions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7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January 1</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w:t>
            </w: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800" w:type="dxa"/>
            <w:vAlign w:val="bottom"/>
          </w:tcPr>
          <w:p>
            <w:pPr>
              <w:spacing w:after="0"/>
              <w:rPr>
                <w:sz w:val="19"/>
                <w:szCs w:val="19"/>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w:t>
            </w:r>
          </w:p>
        </w:tc>
      </w:tr>
      <w:tr>
        <w:trPr>
          <w:trHeight w:val="33"/>
        </w:trPr>
        <w:tc>
          <w:tcPr>
            <w:tcW w:w="7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8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w:t>
            </w: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800" w:type="dxa"/>
            <w:vAlign w:val="bottom"/>
          </w:tcPr>
          <w:p>
            <w:pPr>
              <w:spacing w:after="0"/>
              <w:rPr>
                <w:sz w:val="19"/>
                <w:szCs w:val="19"/>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(41)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Settlements with tax authorities</w:t>
            </w:r>
          </w:p>
        </w:tc>
        <w:tc>
          <w:tcPr>
            <w:tcW w:w="8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47"/>
        </w:trPr>
        <w:tc>
          <w:tcPr>
            <w:tcW w:w="7560" w:type="dxa"/>
            <w:vAlign w:val="bottom"/>
          </w:tcPr>
          <w:p>
            <w:pPr>
              <w:ind w:left="20"/>
              <w:spacing w:after="0"/>
              <w:rPr>
                <w:sz w:val="20"/>
                <w:szCs w:val="20"/>
                <w:color w:val="auto"/>
              </w:rPr>
            </w:pPr>
            <w:r>
              <w:rPr>
                <w:rFonts w:ascii="Arial" w:cs="Arial" w:eastAsia="Arial" w:hAnsi="Arial"/>
                <w:sz w:val="16"/>
                <w:szCs w:val="16"/>
                <w:color w:val="auto"/>
              </w:rPr>
              <w:t>Balance, December 31</w:t>
            </w: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303</w:t>
            </w:r>
          </w:p>
        </w:tc>
        <w:tc>
          <w:tcPr>
            <w:tcW w:w="1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286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300</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7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54"/>
        </w:trPr>
        <w:tc>
          <w:tcPr>
            <w:tcW w:w="7560" w:type="dxa"/>
            <w:vAlign w:val="bottom"/>
          </w:tcPr>
          <w:p>
            <w:pPr>
              <w:ind w:left="20"/>
              <w:spacing w:after="0"/>
              <w:rPr>
                <w:sz w:val="20"/>
                <w:szCs w:val="20"/>
                <w:color w:val="auto"/>
              </w:rPr>
            </w:pPr>
            <w:r>
              <w:rPr>
                <w:rFonts w:ascii="Arial" w:cs="Arial" w:eastAsia="Arial" w:hAnsi="Arial"/>
                <w:sz w:val="16"/>
                <w:szCs w:val="16"/>
                <w:color w:val="auto"/>
              </w:rPr>
              <w:t>Interest income (expense) recognized in the year ended December 31</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(15)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7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54"/>
        </w:trPr>
        <w:tc>
          <w:tcPr>
            <w:tcW w:w="7560" w:type="dxa"/>
            <w:vAlign w:val="bottom"/>
          </w:tcPr>
          <w:p>
            <w:pPr>
              <w:ind w:left="20"/>
              <w:spacing w:after="0"/>
              <w:rPr>
                <w:sz w:val="20"/>
                <w:szCs w:val="20"/>
                <w:color w:val="auto"/>
              </w:rPr>
            </w:pPr>
            <w:r>
              <w:rPr>
                <w:rFonts w:ascii="Arial" w:cs="Arial" w:eastAsia="Arial" w:hAnsi="Arial"/>
                <w:sz w:val="16"/>
                <w:szCs w:val="16"/>
                <w:color w:val="auto"/>
              </w:rPr>
              <w:t>Interest payable as of December 31</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44</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w:t>
            </w:r>
          </w:p>
        </w:tc>
      </w:tr>
      <w:tr>
        <w:trPr>
          <w:trHeight w:val="24"/>
        </w:trPr>
        <w:tc>
          <w:tcPr>
            <w:tcW w:w="7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liability for uncertain tax positions is a component of other long-term liabilities on our Consolidated Balance Sheets.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of the $303 million and $286 million liabilities for uncertain tax positions as of December 31, 2019 and 2018, respectively, are comprised of positions that, if recognized, would lower the effective tax rate. If these liabilities are ultimately realized, $2 million and $30 million of existing deferred tax assets in 2019 and 2018, respectively, would also be realized. It is reasonably possible that the $303 million liability as of December 31, 2019, could decrease by up to $249 million in 2020 for the resolution of a tax depreciation-related position.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2019, the statute of limitations remains open for U.S. federal tax returns for 2013 and following years. Audit activities related to our U.S. federal tax returns through 2012 have been completed except for certain pending tax treaty procedures for relief from double taxation. The procedures for relief from double taxation pertain to U.S. federal tax returns for the years 2007 through 2012. The audit of the U.S. federal tax returns for 2013 through 2015 is underway.</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United States, our subsidiaries are no longer subject to income tax audits for years before 2007.</w:t>
      </w:r>
    </w:p>
    <w:p>
      <w:pPr>
        <w:spacing w:after="0" w:line="170"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risk concentration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We hold derivative financial instruments such as forward foreign currency exchange contracts, the fair value of which was not material as of December 31, 2019. Our forward foreign currency exchange contracts outstanding as of December 31, 2019, had a notional value of $458 million to hedge our non-U.S. dollar net balance sheet exposures, including $136 million to sell Japanese yen, $106 million to sell Indian rupees and $74 million to sell British pounds.</w:t>
      </w:r>
    </w:p>
    <w:p>
      <w:pPr>
        <w:spacing w:after="0" w:line="14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investments in cash equivalents, short-term investments and certain long-term investments, as well as our deferred compensation liabilities, are carried at fair value. Our postretirement plan assets are carried at fair value or net asset value per share. The carrying values for other current financial assets and liabilities, such as accounts receivable and accounts payable, approximate fair value due to the short maturity of such instruments. As of December 31, 2019, the carrying value of long-term debt, including the current portion, was $5.80 billion, and the estimated fair value was $6.29 billion. The estimated fair value is measured using broker-dealer quotes, which are Level 2 inputs. See Note 6 for a description of fair value and the definition of Level 2 inputs.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concentration</w:t>
      </w:r>
    </w:p>
    <w:p>
      <w:pPr>
        <w:spacing w:after="0" w:line="225" w:lineRule="exact"/>
        <w:rPr>
          <w:sz w:val="20"/>
          <w:szCs w:val="20"/>
          <w:color w:val="auto"/>
        </w:rPr>
      </w:pPr>
    </w:p>
    <w:p>
      <w:pPr>
        <w:ind w:right="640"/>
        <w:spacing w:after="0" w:line="302" w:lineRule="auto"/>
        <w:rPr>
          <w:sz w:val="20"/>
          <w:szCs w:val="20"/>
          <w:color w:val="auto"/>
        </w:rPr>
      </w:pPr>
      <w:r>
        <w:rPr>
          <w:rFonts w:ascii="Arial" w:cs="Arial" w:eastAsia="Arial" w:hAnsi="Arial"/>
          <w:sz w:val="16"/>
          <w:szCs w:val="16"/>
          <w:color w:val="auto"/>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15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collectability. These allowances are deducted from accounts receivable on our Consolidated Balance Sheets.</w:t>
      </w: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41" w:name="page42"/>
    <w:bookmarkEnd w:id="41"/>
    <w:p>
      <w:pPr>
        <w:ind w:right="340"/>
        <w:spacing w:after="0" w:line="277" w:lineRule="auto"/>
        <w:rPr>
          <w:sz w:val="20"/>
          <w:szCs w:val="20"/>
          <w:color w:val="auto"/>
        </w:rPr>
      </w:pPr>
      <w:r>
        <w:rPr>
          <w:rFonts w:ascii="Arial" w:cs="Arial" w:eastAsia="Arial" w:hAnsi="Arial"/>
          <w:sz w:val="18"/>
          <w:szCs w:val="18"/>
          <w:color w:val="auto"/>
        </w:rPr>
        <w:t>Accounts receivable allowances changed to reflect amounts charged (credited) to operating results by ($11) million, $11 million and ($9) million in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end customer accounted for 10% or more of revenue in 2019, 2018 or 2017.</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 measured at fair value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Available-for-sale debt investments and trading securities are stated at fair value, which is generally based on market prices or broker quotes. See </w:t>
      </w:r>
      <w:r>
        <w:rPr>
          <w:rFonts w:ascii="Arial" w:cs="Arial" w:eastAsia="Arial" w:hAnsi="Arial"/>
          <w:sz w:val="18"/>
          <w:szCs w:val="18"/>
          <w:i w:val="1"/>
          <w:iCs w:val="1"/>
          <w:color w:val="auto"/>
        </w:rPr>
        <w:t>Fair-value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considerations </w:t>
      </w:r>
      <w:r>
        <w:rPr>
          <w:rFonts w:ascii="Arial" w:cs="Arial" w:eastAsia="Arial" w:hAnsi="Arial"/>
          <w:sz w:val="18"/>
          <w:szCs w:val="18"/>
          <w:color w:val="auto"/>
        </w:rPr>
        <w:t>below. Unrealized gains and losses from available-for-sale debt securities are recorded as an increase or decrease, net of taxes, in AOCI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Other-than-temporary impairments on available-for-sale debt securities are recorded in OI&amp;E in our Consolidated Statements of Income.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7"/>
              </w:rPr>
              <w:t>December 31, 2018</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2"/>
        </w:trPr>
        <w:tc>
          <w:tcPr>
            <w:tcW w:w="348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5"/>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Short-Term</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Long-Term</w:t>
            </w:r>
          </w:p>
        </w:tc>
        <w:tc>
          <w:tcPr>
            <w:tcW w:w="12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Short-Term</w:t>
            </w:r>
          </w:p>
        </w:tc>
        <w:tc>
          <w:tcPr>
            <w:tcW w:w="14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Long-Term</w:t>
            </w:r>
          </w:p>
        </w:tc>
      </w:tr>
      <w:tr>
        <w:trPr>
          <w:trHeight w:val="210"/>
        </w:trPr>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Investments</w:t>
            </w:r>
          </w:p>
        </w:tc>
        <w:tc>
          <w:tcPr>
            <w:tcW w:w="12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rPr>
              <w:t>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Investments</w:t>
            </w:r>
          </w:p>
        </w:tc>
      </w:tr>
      <w:tr>
        <w:trPr>
          <w:trHeight w:val="33"/>
        </w:trPr>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Measured at fair value:</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24"/>
        </w:trPr>
        <w:tc>
          <w:tcPr>
            <w:tcW w:w="3480" w:type="dxa"/>
            <w:vAlign w:val="bottom"/>
          </w:tcPr>
          <w:p>
            <w:pPr>
              <w:ind w:left="20"/>
              <w:spacing w:after="0"/>
              <w:rPr>
                <w:sz w:val="20"/>
                <w:szCs w:val="20"/>
                <w:color w:val="auto"/>
              </w:rPr>
            </w:pPr>
            <w:r>
              <w:rPr>
                <w:rFonts w:ascii="Arial" w:cs="Arial" w:eastAsia="Arial" w:hAnsi="Arial"/>
                <w:sz w:val="16"/>
                <w:szCs w:val="16"/>
                <w:color w:val="auto"/>
              </w:rPr>
              <w:t>Available-for-sale debt securities: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348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1,216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6"/>
              </w:rPr>
              <w:t>U.S. government agency and Treasury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3480" w:type="dxa"/>
            <w:vAlign w:val="bottom"/>
          </w:tcPr>
          <w:p>
            <w:pPr>
              <w:ind w:left="2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w:t>
            </w:r>
          </w:p>
        </w:tc>
      </w:tr>
      <w:tr>
        <w:trPr>
          <w:trHeight w:val="217"/>
        </w:trPr>
        <w:tc>
          <w:tcPr>
            <w:tcW w:w="348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226</w:t>
            </w:r>
          </w:p>
        </w:tc>
      </w:tr>
      <w:tr>
        <w:trPr>
          <w:trHeight w:val="33"/>
        </w:trPr>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4"/>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Other measurement basis: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r>
      <w:tr>
        <w:trPr>
          <w:trHeight w:val="224"/>
        </w:trPr>
        <w:tc>
          <w:tcPr>
            <w:tcW w:w="3480" w:type="dxa"/>
            <w:vAlign w:val="bottom"/>
          </w:tcPr>
          <w:p>
            <w:pPr>
              <w:ind w:left="120"/>
              <w:spacing w:after="0"/>
              <w:rPr>
                <w:sz w:val="20"/>
                <w:szCs w:val="20"/>
                <w:color w:val="auto"/>
              </w:rPr>
            </w:pPr>
            <w:r>
              <w:rPr>
                <w:rFonts w:ascii="Arial" w:cs="Arial" w:eastAsia="Arial" w:hAnsi="Arial"/>
                <w:sz w:val="16"/>
                <w:szCs w:val="16"/>
                <w:color w:val="auto"/>
              </w:rPr>
              <w:t>Non-marketable equity investments</w:t>
            </w: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w:t>
            </w:r>
          </w:p>
        </w:tc>
      </w:tr>
      <w:tr>
        <w:trPr>
          <w:trHeight w:val="3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7"/>
        </w:trPr>
        <w:tc>
          <w:tcPr>
            <w:tcW w:w="348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1,795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251</w:t>
            </w:r>
          </w:p>
        </w:tc>
      </w:tr>
      <w:tr>
        <w:trPr>
          <w:trHeight w:val="24"/>
        </w:trPr>
        <w:tc>
          <w:tcPr>
            <w:tcW w:w="3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2019 and 2018, unrealized gains and losses associated with our available-for-sale investments were not material. We did not recognize any credit losses related to available-for-sale investments in 2019, 2018 or 2017.</w:t>
      </w: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42" w:name="page43"/>
    <w:bookmarkEnd w:id="42"/>
    <w:p>
      <w:pPr>
        <w:ind w:right="300"/>
        <w:spacing w:after="0" w:line="277" w:lineRule="auto"/>
        <w:rPr>
          <w:sz w:val="20"/>
          <w:szCs w:val="20"/>
          <w:color w:val="auto"/>
        </w:rPr>
      </w:pPr>
      <w:r>
        <w:rPr>
          <w:rFonts w:ascii="Arial" w:cs="Arial" w:eastAsia="Arial" w:hAnsi="Arial"/>
          <w:sz w:val="18"/>
          <w:szCs w:val="18"/>
          <w:color w:val="auto"/>
        </w:rPr>
        <w:t>In 2019, 2018 and 2017, the proceeds from sales, redemptions and maturities of short-term available-for-sale investments were $2.31 billion, $6.71 billion and $4.10 billion, respectively. Gross realized gains and losses from these sales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December 31, 2019:</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10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One year or less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4,921</w:t>
            </w:r>
          </w:p>
        </w:tc>
      </w:tr>
      <w:tr>
        <w:trPr>
          <w:trHeight w:val="224"/>
        </w:trPr>
        <w:tc>
          <w:tcPr>
            <w:tcW w:w="10060" w:type="dxa"/>
            <w:vAlign w:val="bottom"/>
          </w:tcPr>
          <w:p>
            <w:pPr>
              <w:ind w:left="20"/>
              <w:spacing w:after="0"/>
              <w:rPr>
                <w:sz w:val="20"/>
                <w:szCs w:val="20"/>
                <w:color w:val="auto"/>
              </w:rPr>
            </w:pPr>
            <w:r>
              <w:rPr>
                <w:rFonts w:ascii="Arial" w:cs="Arial" w:eastAsia="Arial" w:hAnsi="Arial"/>
                <w:sz w:val="16"/>
                <w:szCs w:val="16"/>
                <w:color w:val="auto"/>
              </w:rPr>
              <w:t>One to two years</w:t>
            </w: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declines and impairments in the values of our debt investments in 2019, 2018 or 2017.</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2019, 2018 and 2017, net gains and losses associated with our equity investments were $32 million, $5 million and $4 million, respectively. These amounts include realized gains of $29 million, $11 million and $6 million on equity investments sold during 2019,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117"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 with market data,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85" w:lineRule="exact"/>
        <w:rPr>
          <w:rFonts w:ascii="Arial" w:cs="Arial" w:eastAsia="Arial" w:hAnsi="Arial"/>
          <w:sz w:val="18"/>
          <w:szCs w:val="18"/>
          <w:color w:val="auto"/>
        </w:rPr>
      </w:pPr>
    </w:p>
    <w:p>
      <w:pPr>
        <w:ind w:left="660" w:right="120" w:hanging="328"/>
        <w:spacing w:after="0" w:line="26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 judgment. These</w:t>
      </w:r>
      <w:r>
        <w:rPr>
          <w:rFonts w:ascii="Arial" w:cs="Arial" w:eastAsia="Arial" w:hAnsi="Arial"/>
          <w:sz w:val="18"/>
          <w:szCs w:val="18"/>
          <w:i w:val="1"/>
          <w:iCs w:val="1"/>
          <w:color w:val="auto"/>
        </w:rPr>
        <w:t xml:space="preserve"> </w:t>
      </w:r>
      <w:r>
        <w:rPr>
          <w:rFonts w:ascii="Arial" w:cs="Arial" w:eastAsia="Arial" w:hAnsi="Arial"/>
          <w:sz w:val="18"/>
          <w:szCs w:val="18"/>
          <w:color w:val="auto"/>
        </w:rPr>
        <w:t>values are generally determined using pricing models that utilize management estimates of market participant assumptions. As of December 31, 2019 and 2018, we had no Level 3 assets or liabilities.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2018</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4"/>
        </w:trPr>
        <w:tc>
          <w:tcPr>
            <w:tcW w:w="362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1,213</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1,213</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747</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747</w:t>
            </w:r>
          </w:p>
        </w:tc>
      </w:tr>
      <w:tr>
        <w:trPr>
          <w:trHeight w:val="33"/>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1,221</w:t>
            </w:r>
          </w:p>
        </w:tc>
      </w:tr>
      <w:tr>
        <w:trPr>
          <w:trHeight w:val="224"/>
        </w:trPr>
        <w:tc>
          <w:tcPr>
            <w:tcW w:w="362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2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2,338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2,338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2,035</w:t>
            </w:r>
          </w:p>
        </w:tc>
      </w:tr>
      <w:tr>
        <w:trPr>
          <w:trHeight w:val="33"/>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w:t>
            </w:r>
          </w:p>
        </w:tc>
      </w:tr>
      <w:tr>
        <w:trPr>
          <w:trHeight w:val="247"/>
        </w:trPr>
        <w:tc>
          <w:tcPr>
            <w:tcW w:w="36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3,823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1,390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5,213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4,229</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7"/>
        </w:trPr>
        <w:tc>
          <w:tcPr>
            <w:tcW w:w="3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4"/>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298</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246</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w:t>
            </w:r>
          </w:p>
        </w:tc>
      </w:tr>
      <w:tr>
        <w:trPr>
          <w:trHeight w:val="247"/>
        </w:trPr>
        <w:tc>
          <w:tcPr>
            <w:tcW w:w="36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298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246</w:t>
            </w:r>
          </w:p>
        </w:tc>
      </w:tr>
      <w:tr>
        <w:trPr>
          <w:trHeight w:val="24"/>
        </w:trPr>
        <w:tc>
          <w:tcPr>
            <w:tcW w:w="3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as of December 31, 2019 and 2018,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b w:val="1"/>
                <w:bCs w:val="1"/>
                <w:color w:val="auto"/>
              </w:rPr>
              <w:t>Goodwill</w:t>
            </w:r>
          </w:p>
        </w:tc>
      </w:tr>
      <w:tr>
        <w:trPr>
          <w:trHeight w:val="33"/>
        </w:trPr>
        <w:tc>
          <w:tcPr>
            <w:tcW w:w="10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10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Analog</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4,158</w:t>
            </w:r>
          </w:p>
        </w:tc>
      </w:tr>
      <w:tr>
        <w:trPr>
          <w:trHeight w:val="224"/>
        </w:trPr>
        <w:tc>
          <w:tcPr>
            <w:tcW w:w="10200" w:type="dxa"/>
            <w:vAlign w:val="bottom"/>
          </w:tcPr>
          <w:p>
            <w:pPr>
              <w:ind w:left="20"/>
              <w:spacing w:after="0"/>
              <w:rPr>
                <w:sz w:val="20"/>
                <w:szCs w:val="20"/>
                <w:color w:val="auto"/>
              </w:rPr>
            </w:pPr>
            <w:r>
              <w:rPr>
                <w:rFonts w:ascii="Arial" w:cs="Arial" w:eastAsia="Arial" w:hAnsi="Arial"/>
                <w:sz w:val="16"/>
                <w:szCs w:val="16"/>
                <w:color w:val="auto"/>
              </w:rPr>
              <w:t>Embedded Processing</w:t>
            </w:r>
          </w:p>
        </w:tc>
        <w:tc>
          <w:tcPr>
            <w:tcW w:w="2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172</w:t>
            </w:r>
          </w:p>
        </w:tc>
      </w:tr>
      <w:tr>
        <w:trPr>
          <w:trHeight w:val="33"/>
        </w:trPr>
        <w:tc>
          <w:tcPr>
            <w:tcW w:w="10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10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r>
      <w:tr>
        <w:trPr>
          <w:trHeight w:val="247"/>
        </w:trPr>
        <w:tc>
          <w:tcPr>
            <w:tcW w:w="1020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4,362</w:t>
            </w:r>
          </w:p>
        </w:tc>
      </w:tr>
      <w:tr>
        <w:trPr>
          <w:trHeight w:val="24"/>
        </w:trPr>
        <w:tc>
          <w:tcPr>
            <w:tcW w:w="10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perform our annual goodwill impairment test as of October 1 and determine whether the fair value of each of our reporting units is in excess of its carrying value. Determination of fair value is based upon management estimates and judgment, using unobservable inputs in discounted cash flow models to calculate the fair value of each reporting unit. These unobservable inputs are considered Level 3 measurements, as described in Note 6. In 2019, 2018 and 2017, we determined no impairment was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9"/>
              </w:rPr>
              <w:t>December 31, 2019</w:t>
            </w: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2"/>
        </w:trPr>
        <w:tc>
          <w:tcPr>
            <w:tcW w:w="23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7"/>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Period (Years)</w:t>
            </w:r>
          </w:p>
        </w:tc>
        <w:tc>
          <w:tcPr>
            <w:tcW w:w="220" w:type="dxa"/>
            <w:vAlign w:val="bottom"/>
          </w:tcPr>
          <w:p>
            <w:pPr>
              <w:spacing w:after="0"/>
              <w:rPr>
                <w:sz w:val="18"/>
                <w:szCs w:val="18"/>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23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 xml:space="preserve">7 </w:t>
            </w:r>
            <w:r>
              <w:rPr>
                <w:rFonts w:ascii="Arial" w:cs="Arial" w:eastAsia="Arial" w:hAnsi="Arial"/>
                <w:sz w:val="18"/>
                <w:szCs w:val="18"/>
                <w:color w:val="auto"/>
                <w:w w:val="92"/>
              </w:rPr>
              <w:t>–</w:t>
            </w:r>
            <w:r>
              <w:rPr>
                <w:rFonts w:ascii="Arial" w:cs="Arial" w:eastAsia="Arial" w:hAnsi="Arial"/>
                <w:sz w:val="16"/>
                <w:szCs w:val="16"/>
                <w:color w:val="auto"/>
                <w:w w:val="92"/>
              </w:rPr>
              <w:t xml:space="preserve"> 10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1,660</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340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1,573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552</w:t>
            </w:r>
          </w:p>
        </w:tc>
      </w:tr>
      <w:tr>
        <w:trPr>
          <w:trHeight w:val="224"/>
        </w:trPr>
        <w:tc>
          <w:tcPr>
            <w:tcW w:w="23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240" w:type="dxa"/>
            <w:vAlign w:val="bottom"/>
          </w:tcPr>
          <w:p>
            <w:pPr>
              <w:jc w:val="right"/>
              <w:ind w:right="45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76</w:t>
            </w:r>
          </w:p>
        </w:tc>
      </w:tr>
      <w:tr>
        <w:trPr>
          <w:trHeight w:val="33"/>
        </w:trPr>
        <w:tc>
          <w:tcPr>
            <w:tcW w:w="2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7"/>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1,660</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340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2,307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628</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of acquisition-related intangibles was $288 million in 2019 and $318 million in 2018 and 2017. Fully amortized assets are written off against accumulated amortization. The remaining estimated amortization is $198 million in 2020 and $142 million in 2021.</w:t>
      </w:r>
    </w:p>
    <w:p>
      <w:pPr>
        <w:spacing w:after="0" w:line="170"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descriptions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various employee retirement plans, including defined contribution, defined benefit and retiree health care benefit plans. For qualifying employees, we offer deferred compensation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retirement plans</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principal retirement plans in the United States are a defined contribution plan; an enhanced defined contribution plan; and qualified and non-qualified defined benefit pension plans. The defined benefit plans were closed to new participants in 1997, and then current participants were allowed to make a one-time election to continue accruing a benefit in the plans or to cease accruing a benefit and instead to participate in the enhanced defined contribution plan described below.</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Both defined contribution plans offer an employer-matching savings option that allows employees to make pretax and post-tax contributions to various investment choices. Employees who elected to continue accruing a benefit in the qualified defined benefit pension plans may also participate in the defined contribution plan, where employer-matching contributions are provided for up to 2%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of the employee’s annual eligible earnings, plus an employer-matching contribution of up to 4% of the employee’s annual eligible earnings. Employees hired after December 31, 2003, do not receive the fixed employer contribution of 2% of the employee’s annual eligible earnings.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4" w:name="page45"/>
    <w:bookmarkEnd w:id="44"/>
    <w:p>
      <w:pPr>
        <w:ind w:right="120"/>
        <w:spacing w:after="0" w:line="286" w:lineRule="auto"/>
        <w:rPr>
          <w:sz w:val="20"/>
          <w:szCs w:val="20"/>
          <w:color w:val="auto"/>
        </w:rPr>
      </w:pPr>
      <w:r>
        <w:rPr>
          <w:rFonts w:ascii="Arial" w:cs="Arial" w:eastAsia="Arial" w:hAnsi="Arial"/>
          <w:sz w:val="17"/>
          <w:szCs w:val="17"/>
          <w:color w:val="auto"/>
        </w:rPr>
        <w:t>As of December 31, 2019 and 2018, as a result of employees’ elections, TI’s U.S. defined contribution plans held shares of TI common stock totaling 8 million shares and 9 million shares valued at $988 million and $821 million, respectively. Dividends paid on these shares in 2019 and 2018 were $26 million and $24 million, respectively. Effective April 1, 2016, the TI common stock fund was frozen to new contributions or transfers into the fund.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aggregate expense for the U.S. defined contribution plans was $61 million in 2019, 2018 and 2017.</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retiree health care benefit plan</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Non-U.S. retirement plans</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2019 and 2018, as a result of employees’ elections, TI’s non-U.S. defined contribution plans held TI common stock valued at $28 million and $23 million, respectively. Dividends paid on these shares of TI common stock in 2019 and 2018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on our Consolidated Statements of Income and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6"/>
          </w:tcPr>
          <w:p>
            <w:pPr>
              <w:jc w:val="center"/>
              <w:ind w:left="319"/>
              <w:spacing w:after="0"/>
              <w:rPr>
                <w:sz w:val="20"/>
                <w:szCs w:val="20"/>
                <w:color w:val="auto"/>
              </w:rPr>
            </w:pPr>
            <w:r>
              <w:rPr>
                <w:rFonts w:ascii="Arial" w:cs="Arial" w:eastAsia="Arial" w:hAnsi="Arial"/>
                <w:sz w:val="16"/>
                <w:szCs w:val="16"/>
                <w:b w:val="1"/>
                <w:bCs w:val="1"/>
                <w:color w:val="auto"/>
                <w:w w:val="92"/>
              </w:rPr>
              <w:t>U.S. Defined Benefit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8"/>
          </w:tcPr>
          <w:p>
            <w:pPr>
              <w:ind w:left="260"/>
              <w:spacing w:after="0"/>
              <w:rPr>
                <w:sz w:val="20"/>
                <w:szCs w:val="20"/>
                <w:color w:val="auto"/>
              </w:rPr>
            </w:pPr>
            <w:r>
              <w:rPr>
                <w:rFonts w:ascii="Arial" w:cs="Arial" w:eastAsia="Arial" w:hAnsi="Arial"/>
                <w:sz w:val="16"/>
                <w:szCs w:val="16"/>
                <w:b w:val="1"/>
                <w:bCs w:val="1"/>
                <w:color w:val="auto"/>
              </w:rPr>
              <w:t>U.S. Retiree Health Care</w:t>
            </w:r>
          </w:p>
        </w:tc>
        <w:tc>
          <w:tcPr>
            <w:tcW w:w="160" w:type="dxa"/>
            <w:vAlign w:val="bottom"/>
          </w:tcPr>
          <w:p>
            <w:pPr>
              <w:spacing w:after="0"/>
              <w:rPr>
                <w:sz w:val="18"/>
                <w:szCs w:val="18"/>
                <w:color w:val="auto"/>
              </w:rPr>
            </w:pPr>
          </w:p>
        </w:tc>
        <w:tc>
          <w:tcPr>
            <w:tcW w:w="2400" w:type="dxa"/>
            <w:vAlign w:val="bottom"/>
            <w:gridSpan w:val="7"/>
          </w:tcPr>
          <w:p>
            <w:pPr>
              <w:ind w:left="240"/>
              <w:spacing w:after="0"/>
              <w:rPr>
                <w:sz w:val="20"/>
                <w:szCs w:val="20"/>
                <w:color w:val="auto"/>
              </w:rPr>
            </w:pPr>
            <w:r>
              <w:rPr>
                <w:rFonts w:ascii="Arial" w:cs="Arial" w:eastAsia="Arial" w:hAnsi="Arial"/>
                <w:sz w:val="16"/>
                <w:szCs w:val="16"/>
                <w:b w:val="1"/>
                <w:bCs w:val="1"/>
                <w:color w:val="auto"/>
              </w:rPr>
              <w:t>Non-U.S. Defined Benefit</w:t>
            </w: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159"/>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89"/>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r>
      <w:tr>
        <w:trPr>
          <w:trHeight w:val="224"/>
        </w:trPr>
        <w:tc>
          <w:tcPr>
            <w:tcW w:w="35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ind w:left="59"/>
              <w:spacing w:after="0"/>
              <w:rPr>
                <w:sz w:val="20"/>
                <w:szCs w:val="20"/>
                <w:color w:val="auto"/>
              </w:rPr>
            </w:pPr>
            <w:r>
              <w:rPr>
                <w:rFonts w:ascii="Arial" w:cs="Arial" w:eastAsia="Arial" w:hAnsi="Arial"/>
                <w:sz w:val="16"/>
                <w:szCs w:val="16"/>
                <w:color w:val="auto"/>
                <w:w w:val="89"/>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44</w:t>
            </w: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24"/>
        </w:trPr>
        <w:tc>
          <w:tcPr>
            <w:tcW w:w="3540" w:type="dxa"/>
            <w:vAlign w:val="bottom"/>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6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9"/>
                <w:szCs w:val="19"/>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Recognized net actuarial loss</w:t>
            </w: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89"/>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r>
      <w:tr>
        <w:trPr>
          <w:trHeight w:val="217"/>
        </w:trPr>
        <w:tc>
          <w:tcPr>
            <w:tcW w:w="3540" w:type="dxa"/>
            <w:vAlign w:val="bottom"/>
          </w:tcPr>
          <w:p>
            <w:pPr>
              <w:ind w:left="20"/>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center"/>
              <w:ind w:left="59"/>
              <w:spacing w:after="0"/>
              <w:rPr>
                <w:sz w:val="20"/>
                <w:szCs w:val="20"/>
                <w:color w:val="auto"/>
              </w:rPr>
            </w:pPr>
            <w:r>
              <w:rPr>
                <w:rFonts w:ascii="Arial" w:cs="Arial" w:eastAsia="Arial" w:hAnsi="Arial"/>
                <w:sz w:val="16"/>
                <w:szCs w:val="16"/>
                <w:color w:val="auto"/>
                <w:w w:val="89"/>
              </w:rPr>
              <w:t>29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w:t>
            </w: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Settlement losses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89"/>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r>
      <w:tr>
        <w:trPr>
          <w:trHeight w:val="247"/>
        </w:trPr>
        <w:tc>
          <w:tcPr>
            <w:tcW w:w="3540" w:type="dxa"/>
            <w:vAlign w:val="bottom"/>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center"/>
              <w:ind w:left="59"/>
              <w:spacing w:after="0"/>
              <w:rPr>
                <w:sz w:val="20"/>
                <w:szCs w:val="20"/>
                <w:color w:val="auto"/>
              </w:rPr>
            </w:pPr>
            <w:r>
              <w:rPr>
                <w:rFonts w:ascii="Arial" w:cs="Arial" w:eastAsia="Arial" w:hAnsi="Arial"/>
                <w:sz w:val="16"/>
                <w:szCs w:val="16"/>
                <w:color w:val="auto"/>
                <w:w w:val="89"/>
              </w:rPr>
              <w:t>52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73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47</w:t>
            </w:r>
          </w:p>
        </w:tc>
      </w:tr>
      <w:tr>
        <w:trPr>
          <w:trHeight w:val="24"/>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defined benefit and retiree health care benefit plan expense components other than service cost are recognized in OI&amp;E in our Consolidated Statements of Income. Service cost is recognized within operating profit.</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Changes in the benefit obligations and plan assets for defined benefit and retiree health care benefit plans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20" w:type="dxa"/>
            <w:vAlign w:val="bottom"/>
            <w:gridSpan w:val="6"/>
          </w:tcPr>
          <w:p>
            <w:pPr>
              <w:ind w:left="460"/>
              <w:spacing w:after="0"/>
              <w:rPr>
                <w:sz w:val="20"/>
                <w:szCs w:val="20"/>
                <w:color w:val="auto"/>
              </w:rPr>
            </w:pPr>
            <w:r>
              <w:rPr>
                <w:rFonts w:ascii="Arial" w:cs="Arial" w:eastAsia="Arial" w:hAnsi="Arial"/>
                <w:sz w:val="16"/>
                <w:szCs w:val="16"/>
                <w:b w:val="1"/>
                <w:bCs w:val="1"/>
                <w:color w:val="auto"/>
              </w:rPr>
              <w:t>U.S. Defined Benefit</w:t>
            </w:r>
          </w:p>
        </w:tc>
        <w:tc>
          <w:tcPr>
            <w:tcW w:w="200" w:type="dxa"/>
            <w:vAlign w:val="bottom"/>
          </w:tcPr>
          <w:p>
            <w:pPr>
              <w:spacing w:after="0"/>
              <w:rPr>
                <w:sz w:val="18"/>
                <w:szCs w:val="18"/>
                <w:color w:val="auto"/>
              </w:rPr>
            </w:pPr>
          </w:p>
        </w:tc>
        <w:tc>
          <w:tcPr>
            <w:tcW w:w="2240" w:type="dxa"/>
            <w:vAlign w:val="bottom"/>
            <w:gridSpan w:val="5"/>
          </w:tcPr>
          <w:p>
            <w:pPr>
              <w:ind w:left="100"/>
              <w:spacing w:after="0"/>
              <w:rPr>
                <w:sz w:val="20"/>
                <w:szCs w:val="20"/>
                <w:color w:val="auto"/>
              </w:rPr>
            </w:pPr>
            <w:r>
              <w:rPr>
                <w:rFonts w:ascii="Arial" w:cs="Arial" w:eastAsia="Arial" w:hAnsi="Arial"/>
                <w:sz w:val="16"/>
                <w:szCs w:val="16"/>
                <w:b w:val="1"/>
                <w:bCs w:val="1"/>
                <w:color w:val="auto"/>
              </w:rPr>
              <w:t>U.S. Retiree Health Care</w:t>
            </w:r>
          </w:p>
        </w:tc>
        <w:tc>
          <w:tcPr>
            <w:tcW w:w="200" w:type="dxa"/>
            <w:vAlign w:val="bottom"/>
          </w:tcPr>
          <w:p>
            <w:pPr>
              <w:spacing w:after="0"/>
              <w:rPr>
                <w:sz w:val="18"/>
                <w:szCs w:val="18"/>
                <w:color w:val="auto"/>
              </w:rPr>
            </w:pPr>
          </w:p>
        </w:tc>
        <w:tc>
          <w:tcPr>
            <w:tcW w:w="21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6"/>
              </w:rPr>
              <w:t>Non-U.S. Defined Benefit</w:t>
            </w:r>
          </w:p>
        </w:tc>
      </w:tr>
      <w:tr>
        <w:trPr>
          <w:trHeight w:val="33"/>
        </w:trPr>
        <w:tc>
          <w:tcPr>
            <w:tcW w:w="4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33"/>
        </w:trPr>
        <w:tc>
          <w:tcPr>
            <w:tcW w:w="4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benefit obligation</w:t>
            </w:r>
          </w:p>
        </w:tc>
        <w:tc>
          <w:tcPr>
            <w:tcW w:w="7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24"/>
        </w:trPr>
        <w:tc>
          <w:tcPr>
            <w:tcW w:w="4240" w:type="dxa"/>
            <w:vAlign w:val="bottom"/>
          </w:tcPr>
          <w:p>
            <w:pPr>
              <w:ind w:left="120"/>
              <w:spacing w:after="0"/>
              <w:rPr>
                <w:sz w:val="20"/>
                <w:szCs w:val="20"/>
                <w:color w:val="auto"/>
              </w:rPr>
            </w:pPr>
            <w:r>
              <w:rPr>
                <w:rFonts w:ascii="Arial" w:cs="Arial" w:eastAsia="Arial" w:hAnsi="Arial"/>
                <w:sz w:val="16"/>
                <w:szCs w:val="16"/>
                <w:color w:val="auto"/>
              </w:rPr>
              <w:t>Benefit obligation at beginning of year:</w:t>
            </w:r>
          </w:p>
        </w:tc>
        <w:tc>
          <w:tcPr>
            <w:tcW w:w="720" w:type="dxa"/>
            <w:vAlign w:val="bottom"/>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w w:val="82"/>
              </w:rPr>
              <w:t>874</w:t>
            </w:r>
          </w:p>
        </w:tc>
        <w:tc>
          <w:tcPr>
            <w:tcW w:w="12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361</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2,411</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2,469</w:t>
            </w:r>
          </w:p>
        </w:tc>
      </w:tr>
      <w:tr>
        <w:trPr>
          <w:trHeight w:val="33"/>
        </w:trPr>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Service cost</w:t>
            </w: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r>
      <w:tr>
        <w:trPr>
          <w:trHeight w:val="224"/>
        </w:trPr>
        <w:tc>
          <w:tcPr>
            <w:tcW w:w="4240" w:type="dxa"/>
            <w:vAlign w:val="bottom"/>
          </w:tcPr>
          <w:p>
            <w:pPr>
              <w:ind w:left="220"/>
              <w:spacing w:after="0"/>
              <w:rPr>
                <w:sz w:val="20"/>
                <w:szCs w:val="20"/>
                <w:color w:val="auto"/>
              </w:rPr>
            </w:pPr>
            <w:r>
              <w:rPr>
                <w:rFonts w:ascii="Arial" w:cs="Arial" w:eastAsia="Arial" w:hAnsi="Arial"/>
                <w:sz w:val="16"/>
                <w:szCs w:val="16"/>
                <w:color w:val="auto"/>
              </w:rPr>
              <w:t>Interest cost</w:t>
            </w:r>
          </w:p>
        </w:tc>
        <w:tc>
          <w:tcPr>
            <w:tcW w:w="72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45</w:t>
            </w:r>
          </w:p>
        </w:tc>
      </w:tr>
      <w:tr>
        <w:trPr>
          <w:trHeight w:val="33"/>
        </w:trPr>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Participant contributions</w:t>
            </w:r>
          </w:p>
        </w:tc>
        <w:tc>
          <w:tcPr>
            <w:tcW w:w="7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r>
      <w:tr>
        <w:trPr>
          <w:trHeight w:val="224"/>
        </w:trPr>
        <w:tc>
          <w:tcPr>
            <w:tcW w:w="4240" w:type="dxa"/>
            <w:vAlign w:val="bottom"/>
          </w:tcPr>
          <w:p>
            <w:pPr>
              <w:ind w:left="220"/>
              <w:spacing w:after="0"/>
              <w:rPr>
                <w:sz w:val="20"/>
                <w:szCs w:val="20"/>
                <w:color w:val="auto"/>
              </w:rPr>
            </w:pPr>
            <w:r>
              <w:rPr>
                <w:rFonts w:ascii="Arial" w:cs="Arial" w:eastAsia="Arial" w:hAnsi="Arial"/>
                <w:sz w:val="16"/>
                <w:szCs w:val="16"/>
                <w:color w:val="auto"/>
              </w:rPr>
              <w:t>Benefits paid</w:t>
            </w:r>
          </w:p>
        </w:tc>
        <w:tc>
          <w:tcPr>
            <w:tcW w:w="72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w w:val="91"/>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33"/>
        </w:trPr>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Settlements</w:t>
            </w: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1"/>
              </w:rPr>
              <w:t>(66)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24"/>
        </w:trPr>
        <w:tc>
          <w:tcPr>
            <w:tcW w:w="4240" w:type="dxa"/>
            <w:vAlign w:val="bottom"/>
          </w:tcPr>
          <w:p>
            <w:pPr>
              <w:ind w:left="220"/>
              <w:spacing w:after="0"/>
              <w:rPr>
                <w:sz w:val="20"/>
                <w:szCs w:val="20"/>
                <w:color w:val="auto"/>
              </w:rPr>
            </w:pPr>
            <w:r>
              <w:rPr>
                <w:rFonts w:ascii="Arial" w:cs="Arial" w:eastAsia="Arial" w:hAnsi="Arial"/>
                <w:sz w:val="16"/>
                <w:szCs w:val="16"/>
                <w:color w:val="auto"/>
              </w:rPr>
              <w:t>Curtailments</w:t>
            </w:r>
          </w:p>
        </w:tc>
        <w:tc>
          <w:tcPr>
            <w:tcW w:w="7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Actuarial loss (gain)</w:t>
            </w: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2"/>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r>
      <w:tr>
        <w:trPr>
          <w:trHeight w:val="224"/>
        </w:trPr>
        <w:tc>
          <w:tcPr>
            <w:tcW w:w="4240" w:type="dxa"/>
            <w:vAlign w:val="bottom"/>
          </w:tcPr>
          <w:p>
            <w:pPr>
              <w:ind w:left="220"/>
              <w:spacing w:after="0"/>
              <w:rPr>
                <w:sz w:val="20"/>
                <w:szCs w:val="20"/>
                <w:color w:val="auto"/>
              </w:rPr>
            </w:pPr>
            <w:r>
              <w:rPr>
                <w:rFonts w:ascii="Arial" w:cs="Arial" w:eastAsia="Arial" w:hAnsi="Arial"/>
                <w:sz w:val="16"/>
                <w:szCs w:val="16"/>
                <w:color w:val="auto"/>
              </w:rPr>
              <w:t>Plan amendments</w:t>
            </w:r>
          </w:p>
        </w:tc>
        <w:tc>
          <w:tcPr>
            <w:tcW w:w="7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w:t>
            </w:r>
          </w:p>
        </w:tc>
      </w:tr>
      <w:tr>
        <w:trPr>
          <w:trHeight w:val="33"/>
        </w:trPr>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Effects of exchange rate changes</w:t>
            </w:r>
          </w:p>
        </w:tc>
        <w:tc>
          <w:tcPr>
            <w:tcW w:w="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17"/>
        </w:trPr>
        <w:tc>
          <w:tcPr>
            <w:tcW w:w="4240" w:type="dxa"/>
            <w:vAlign w:val="bottom"/>
          </w:tcPr>
          <w:p>
            <w:pPr>
              <w:ind w:left="120"/>
              <w:spacing w:after="0"/>
              <w:rPr>
                <w:sz w:val="20"/>
                <w:szCs w:val="20"/>
                <w:color w:val="auto"/>
              </w:rPr>
            </w:pPr>
            <w:r>
              <w:rPr>
                <w:rFonts w:ascii="Arial" w:cs="Arial" w:eastAsia="Arial" w:hAnsi="Arial"/>
                <w:sz w:val="16"/>
                <w:szCs w:val="16"/>
                <w:color w:val="auto"/>
              </w:rPr>
              <w:t>Benefit obligation at end of year</w:t>
            </w:r>
          </w:p>
        </w:tc>
        <w:tc>
          <w:tcPr>
            <w:tcW w:w="7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2"/>
              </w:rPr>
              <w:t>960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2,581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2,411</w:t>
            </w:r>
          </w:p>
        </w:tc>
      </w:tr>
      <w:tr>
        <w:trPr>
          <w:trHeight w:val="33"/>
        </w:trPr>
        <w:tc>
          <w:tcPr>
            <w:tcW w:w="4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4"/>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Fair value of plan assets at beginning of year:</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2"/>
              </w:rPr>
              <w:t>869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2,410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2,593</w:t>
            </w:r>
          </w:p>
        </w:tc>
      </w:tr>
      <w:tr>
        <w:trPr>
          <w:trHeight w:val="224"/>
        </w:trPr>
        <w:tc>
          <w:tcPr>
            <w:tcW w:w="4240" w:type="dxa"/>
            <w:vAlign w:val="bottom"/>
          </w:tcPr>
          <w:p>
            <w:pPr>
              <w:ind w:left="220"/>
              <w:spacing w:after="0"/>
              <w:rPr>
                <w:sz w:val="20"/>
                <w:szCs w:val="20"/>
                <w:color w:val="auto"/>
              </w:rPr>
            </w:pPr>
            <w:r>
              <w:rPr>
                <w:rFonts w:ascii="Arial" w:cs="Arial" w:eastAsia="Arial" w:hAnsi="Arial"/>
                <w:sz w:val="16"/>
                <w:szCs w:val="16"/>
                <w:color w:val="auto"/>
              </w:rPr>
              <w:t>Actual return on plan assets</w:t>
            </w:r>
          </w:p>
        </w:tc>
        <w:tc>
          <w:tcPr>
            <w:tcW w:w="72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w w:val="82"/>
              </w:rPr>
              <w:t>185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337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Employer contributions (qualified plans)</w:t>
            </w:r>
          </w:p>
        </w:tc>
        <w:tc>
          <w:tcPr>
            <w:tcW w:w="7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r>
      <w:tr>
        <w:trPr>
          <w:trHeight w:val="224"/>
        </w:trPr>
        <w:tc>
          <w:tcPr>
            <w:tcW w:w="4240" w:type="dxa"/>
            <w:vAlign w:val="bottom"/>
          </w:tcPr>
          <w:p>
            <w:pPr>
              <w:ind w:left="220"/>
              <w:spacing w:after="0"/>
              <w:rPr>
                <w:sz w:val="20"/>
                <w:szCs w:val="20"/>
                <w:color w:val="auto"/>
              </w:rPr>
            </w:pPr>
            <w:r>
              <w:rPr>
                <w:rFonts w:ascii="Arial" w:cs="Arial" w:eastAsia="Arial" w:hAnsi="Arial"/>
                <w:sz w:val="16"/>
                <w:szCs w:val="16"/>
                <w:color w:val="auto"/>
              </w:rPr>
              <w:t>Employer contributions (non-qualified plans)</w:t>
            </w:r>
          </w:p>
        </w:tc>
        <w:tc>
          <w:tcPr>
            <w:tcW w:w="72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Participant contributions</w:t>
            </w:r>
          </w:p>
        </w:tc>
        <w:tc>
          <w:tcPr>
            <w:tcW w:w="7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r>
      <w:tr>
        <w:trPr>
          <w:trHeight w:val="224"/>
        </w:trPr>
        <w:tc>
          <w:tcPr>
            <w:tcW w:w="4240" w:type="dxa"/>
            <w:vAlign w:val="bottom"/>
          </w:tcPr>
          <w:p>
            <w:pPr>
              <w:ind w:left="220"/>
              <w:spacing w:after="0"/>
              <w:rPr>
                <w:sz w:val="20"/>
                <w:szCs w:val="20"/>
                <w:color w:val="auto"/>
              </w:rPr>
            </w:pPr>
            <w:r>
              <w:rPr>
                <w:rFonts w:ascii="Arial" w:cs="Arial" w:eastAsia="Arial" w:hAnsi="Arial"/>
                <w:sz w:val="16"/>
                <w:szCs w:val="16"/>
                <w:color w:val="auto"/>
              </w:rPr>
              <w:t>Benefits paid</w:t>
            </w:r>
          </w:p>
        </w:tc>
        <w:tc>
          <w:tcPr>
            <w:tcW w:w="72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w w:val="91"/>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33"/>
        </w:trPr>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Settlements</w:t>
            </w: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1"/>
              </w:rPr>
              <w:t>(66)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24"/>
        </w:trPr>
        <w:tc>
          <w:tcPr>
            <w:tcW w:w="4240" w:type="dxa"/>
            <w:vAlign w:val="bottom"/>
          </w:tcPr>
          <w:p>
            <w:pPr>
              <w:ind w:left="220"/>
              <w:spacing w:after="0"/>
              <w:rPr>
                <w:sz w:val="20"/>
                <w:szCs w:val="20"/>
                <w:color w:val="auto"/>
              </w:rPr>
            </w:pPr>
            <w:r>
              <w:rPr>
                <w:rFonts w:ascii="Arial" w:cs="Arial" w:eastAsia="Arial" w:hAnsi="Arial"/>
                <w:sz w:val="16"/>
                <w:szCs w:val="16"/>
                <w:color w:val="auto"/>
              </w:rPr>
              <w:t>Effects of exchange rate changes</w:t>
            </w:r>
          </w:p>
        </w:tc>
        <w:tc>
          <w:tcPr>
            <w:tcW w:w="7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4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4240" w:type="dxa"/>
            <w:vAlign w:val="bottom"/>
          </w:tcPr>
          <w:p>
            <w:pPr>
              <w:ind w:left="120"/>
              <w:spacing w:after="0"/>
              <w:rPr>
                <w:sz w:val="20"/>
                <w:szCs w:val="20"/>
                <w:color w:val="auto"/>
              </w:rPr>
            </w:pPr>
            <w:r>
              <w:rPr>
                <w:rFonts w:ascii="Arial" w:cs="Arial" w:eastAsia="Arial" w:hAnsi="Arial"/>
                <w:sz w:val="16"/>
                <w:szCs w:val="16"/>
                <w:color w:val="auto"/>
              </w:rPr>
              <w:t>Fair value of plan assets at end of year</w:t>
            </w:r>
          </w:p>
        </w:tc>
        <w:tc>
          <w:tcPr>
            <w:tcW w:w="7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2"/>
              </w:rPr>
              <w:t>987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2,661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2,410</w:t>
            </w:r>
          </w:p>
        </w:tc>
      </w:tr>
      <w:tr>
        <w:trPr>
          <w:trHeight w:val="33"/>
        </w:trPr>
        <w:tc>
          <w:tcPr>
            <w:tcW w:w="4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4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r>
      <w:tr>
        <w:trPr>
          <w:trHeight w:val="247"/>
        </w:trPr>
        <w:tc>
          <w:tcPr>
            <w:tcW w:w="4240" w:type="dxa"/>
            <w:vAlign w:val="bottom"/>
          </w:tcPr>
          <w:p>
            <w:pPr>
              <w:ind w:left="20"/>
              <w:spacing w:after="0"/>
              <w:rPr>
                <w:sz w:val="20"/>
                <w:szCs w:val="20"/>
                <w:color w:val="auto"/>
              </w:rPr>
            </w:pPr>
            <w:r>
              <w:rPr>
                <w:rFonts w:ascii="Arial" w:cs="Arial" w:eastAsia="Arial" w:hAnsi="Arial"/>
                <w:sz w:val="16"/>
                <w:szCs w:val="16"/>
                <w:color w:val="auto"/>
              </w:rPr>
              <w:t>Funded status at end of year</w:t>
            </w: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24"/>
        </w:trPr>
        <w:tc>
          <w:tcPr>
            <w:tcW w:w="4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actuarial loss (gain) for all pension plans was primarily related to a change in the discount rate used to measure the benefit obligations of those plans in 2019 and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our Consolidated Balance Sheets as of December 31,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U.S. Defined</w:t>
            </w: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U.S. Retiree</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Non-U.S.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Benefit</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Health Care</w:t>
            </w: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Defined Benefit</w:t>
            </w: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6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4"/>
        </w:trPr>
        <w:tc>
          <w:tcPr>
            <w:tcW w:w="6240" w:type="dxa"/>
            <w:vAlign w:val="bottom"/>
          </w:tcPr>
          <w:p>
            <w:pPr>
              <w:ind w:left="120"/>
              <w:spacing w:after="0"/>
              <w:rPr>
                <w:sz w:val="20"/>
                <w:szCs w:val="20"/>
                <w:color w:val="auto"/>
              </w:rPr>
            </w:pPr>
            <w:r>
              <w:rPr>
                <w:rFonts w:ascii="Arial" w:cs="Arial" w:eastAsia="Arial" w:hAnsi="Arial"/>
                <w:sz w:val="16"/>
                <w:szCs w:val="16"/>
                <w:b w:val="1"/>
                <w:bCs w:val="1"/>
                <w:color w:val="auto"/>
              </w:rPr>
              <w:t>Overfunded retirement plans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2"/>
          </w:tcPr>
          <w:p>
            <w:pPr>
              <w:ind w:left="7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145</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218</w:t>
            </w:r>
          </w:p>
        </w:tc>
      </w:tr>
      <w:tr>
        <w:trPr>
          <w:trHeight w:val="33"/>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Accrued expenses and other liabilities &amp; other long-term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w:t>
            </w:r>
          </w:p>
        </w:tc>
      </w:tr>
      <w:tr>
        <w:trPr>
          <w:trHeight w:val="224"/>
        </w:trPr>
        <w:tc>
          <w:tcPr>
            <w:tcW w:w="6240" w:type="dxa"/>
            <w:vAlign w:val="bottom"/>
          </w:tcPr>
          <w:p>
            <w:pPr>
              <w:ind w:left="120"/>
              <w:spacing w:after="0"/>
              <w:rPr>
                <w:sz w:val="20"/>
                <w:szCs w:val="20"/>
                <w:color w:val="auto"/>
              </w:rPr>
            </w:pPr>
            <w:r>
              <w:rPr>
                <w:rFonts w:ascii="Arial" w:cs="Arial" w:eastAsia="Arial" w:hAnsi="Arial"/>
                <w:sz w:val="16"/>
                <w:szCs w:val="16"/>
                <w:b w:val="1"/>
                <w:bCs w:val="1"/>
                <w:color w:val="auto"/>
              </w:rPr>
              <w:t>Underfunded retirement plans</w:t>
            </w:r>
          </w:p>
        </w:tc>
        <w:tc>
          <w:tcPr>
            <w:tcW w:w="1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(93)</w:t>
            </w:r>
          </w:p>
        </w:tc>
      </w:tr>
      <w:tr>
        <w:trPr>
          <w:trHeight w:val="33"/>
        </w:trPr>
        <w:tc>
          <w:tcPr>
            <w:tcW w:w="6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Funded status at end of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4"/>
        </w:trPr>
        <w:tc>
          <w:tcPr>
            <w:tcW w:w="6240" w:type="dxa"/>
            <w:vAlign w:val="bottom"/>
          </w:tcPr>
          <w:p>
            <w:pPr>
              <w:ind w:left="120"/>
              <w:spacing w:after="0"/>
              <w:rPr>
                <w:sz w:val="20"/>
                <w:szCs w:val="20"/>
                <w:color w:val="auto"/>
              </w:rPr>
            </w:pPr>
            <w:r>
              <w:rPr>
                <w:rFonts w:ascii="Arial" w:cs="Arial" w:eastAsia="Arial" w:hAnsi="Arial"/>
                <w:sz w:val="16"/>
                <w:szCs w:val="16"/>
                <w:color w:val="auto"/>
              </w:rPr>
              <w:t>Overfunded retirement plans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92</w:t>
            </w:r>
          </w:p>
        </w:tc>
      </w:tr>
      <w:tr>
        <w:trPr>
          <w:trHeight w:val="33"/>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expenses and other liabilities &amp; other long-term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24"/>
        </w:trPr>
        <w:tc>
          <w:tcPr>
            <w:tcW w:w="6240" w:type="dxa"/>
            <w:vAlign w:val="bottom"/>
          </w:tcPr>
          <w:p>
            <w:pPr>
              <w:ind w:left="120"/>
              <w:spacing w:after="0"/>
              <w:rPr>
                <w:sz w:val="20"/>
                <w:szCs w:val="20"/>
                <w:color w:val="auto"/>
              </w:rPr>
            </w:pPr>
            <w:r>
              <w:rPr>
                <w:rFonts w:ascii="Arial" w:cs="Arial" w:eastAsia="Arial" w:hAnsi="Arial"/>
                <w:sz w:val="16"/>
                <w:szCs w:val="16"/>
                <w:color w:val="auto"/>
              </w:rPr>
              <w:t>Underfunded retirement plans</w:t>
            </w:r>
          </w:p>
        </w:tc>
        <w:tc>
          <w:tcPr>
            <w:tcW w:w="1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33"/>
        </w:trPr>
        <w:tc>
          <w:tcPr>
            <w:tcW w:w="6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Funded status at end of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46" w:name="page47"/>
    <w:bookmarkEnd w:id="46"/>
    <w:p>
      <w:pPr>
        <w:ind w:right="320"/>
        <w:spacing w:after="0" w:line="277"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$20 million to our retirement benefit plans in 2020.</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Accumulated benefit obligations, which are generally less than the projected benefit obligations as they exclude the impact of future salary increases, were $878 million and $793 million as of December 31, 2019 and 2018, respectively, for the U.S. defined benefit plans, and $2.46 billion and $2.29 billion as of December 31, 2019 and 2018, respectively, for the non-U.S.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AOCI is as follows:</w:t>
      </w: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right="380"/>
        <w:spacing w:after="0" w:line="269" w:lineRule="auto"/>
        <w:rPr>
          <w:sz w:val="20"/>
          <w:szCs w:val="20"/>
          <w:color w:val="auto"/>
        </w:rPr>
      </w:pPr>
      <w:r>
        <w:rPr>
          <w:rFonts w:ascii="Arial" w:cs="Arial" w:eastAsia="Arial" w:hAnsi="Arial"/>
          <w:sz w:val="15"/>
          <w:szCs w:val="15"/>
          <w:color w:val="auto"/>
        </w:rPr>
        <w:t>AOCI balance, net of taxes, December 31, 2018</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Changes in AOCI by category:</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Adjustments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Recognized within net income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Tax effect</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Total change to AOCI</w:t>
      </w:r>
    </w:p>
    <w:p>
      <w:pPr>
        <w:spacing w:after="0" w:line="59" w:lineRule="exact"/>
        <w:rPr>
          <w:sz w:val="20"/>
          <w:szCs w:val="20"/>
          <w:color w:val="auto"/>
        </w:rPr>
      </w:pPr>
    </w:p>
    <w:p>
      <w:pPr>
        <w:ind w:left="20" w:right="280"/>
        <w:spacing w:after="0" w:line="278" w:lineRule="auto"/>
        <w:rPr>
          <w:sz w:val="20"/>
          <w:szCs w:val="20"/>
          <w:color w:val="auto"/>
        </w:rPr>
      </w:pPr>
      <w:r>
        <w:rPr>
          <w:rFonts w:ascii="Arial" w:cs="Arial" w:eastAsia="Arial" w:hAnsi="Arial"/>
          <w:sz w:val="15"/>
          <w:szCs w:val="15"/>
          <w:b w:val="1"/>
          <w:bCs w:val="1"/>
          <w:color w:val="auto"/>
        </w:rPr>
        <w:t>AOCI balance, net of taxes, December 31, 2019</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U.S. Defined</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00" w:type="dxa"/>
            <w:vAlign w:val="bottom"/>
          </w:tcPr>
          <w:p>
            <w:pPr>
              <w:spacing w:after="0"/>
              <w:rPr>
                <w:sz w:val="18"/>
                <w:szCs w:val="18"/>
                <w:color w:val="auto"/>
              </w:rPr>
            </w:pPr>
          </w:p>
        </w:tc>
        <w:tc>
          <w:tcPr>
            <w:tcW w:w="2480" w:type="dxa"/>
            <w:vAlign w:val="bottom"/>
            <w:gridSpan w:val="5"/>
          </w:tcPr>
          <w:p>
            <w:pPr>
              <w:ind w:left="280"/>
              <w:spacing w:after="0"/>
              <w:rPr>
                <w:sz w:val="20"/>
                <w:szCs w:val="20"/>
                <w:color w:val="auto"/>
              </w:rPr>
            </w:pPr>
            <w:r>
              <w:rPr>
                <w:rFonts w:ascii="Arial" w:cs="Arial" w:eastAsia="Arial" w:hAnsi="Arial"/>
                <w:sz w:val="16"/>
                <w:szCs w:val="16"/>
                <w:b w:val="1"/>
                <w:bCs w:val="1"/>
                <w:color w:val="auto"/>
              </w:rPr>
              <w:t>U.S. Retiree Health Care</w:t>
            </w:r>
          </w:p>
        </w:tc>
        <w:tc>
          <w:tcPr>
            <w:tcW w:w="120" w:type="dxa"/>
            <w:vAlign w:val="bottom"/>
          </w:tcPr>
          <w:p>
            <w:pPr>
              <w:spacing w:after="0"/>
              <w:rPr>
                <w:sz w:val="18"/>
                <w:szCs w:val="18"/>
                <w:color w:val="auto"/>
              </w:rPr>
            </w:pPr>
          </w:p>
        </w:tc>
        <w:tc>
          <w:tcPr>
            <w:tcW w:w="248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Non-U.S. Defined Benefit</w:t>
            </w:r>
          </w:p>
        </w:tc>
        <w:tc>
          <w:tcPr>
            <w:tcW w:w="1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060" w:type="dxa"/>
            <w:vAlign w:val="bottom"/>
          </w:tcPr>
          <w:p>
            <w:pPr>
              <w:spacing w:after="0"/>
              <w:rPr>
                <w:sz w:val="18"/>
                <w:szCs w:val="18"/>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Net Actuarial</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Net Actuarial</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Prior Service</w:t>
            </w: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Net Actuarial</w:t>
            </w:r>
          </w:p>
        </w:tc>
        <w:tc>
          <w:tcPr>
            <w:tcW w:w="1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Prior Service</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Net Actuarial</w:t>
            </w:r>
          </w:p>
        </w:tc>
        <w:tc>
          <w:tcPr>
            <w:tcW w:w="1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Prior Service</w:t>
            </w:r>
          </w:p>
        </w:tc>
      </w:tr>
      <w:tr>
        <w:trPr>
          <w:trHeight w:val="210"/>
        </w:trPr>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0"/>
              </w:rPr>
              <w:t>Loss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Credit</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Credit</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Credit</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25"/>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ind w:left="760"/>
              <w:spacing w:after="0"/>
              <w:rPr>
                <w:sz w:val="20"/>
                <w:szCs w:val="20"/>
                <w:color w:val="auto"/>
              </w:rPr>
            </w:pPr>
            <w:r>
              <w:rPr>
                <w:rFonts w:ascii="Arial" w:cs="Arial" w:eastAsia="Arial" w:hAnsi="Arial"/>
                <w:sz w:val="16"/>
                <w:szCs w:val="16"/>
                <w:color w:val="auto"/>
              </w:rPr>
              <w:t>(2)</w:t>
            </w:r>
          </w:p>
        </w:tc>
      </w:tr>
      <w:tr>
        <w:trPr>
          <w:trHeight w:val="513"/>
        </w:trPr>
        <w:tc>
          <w:tcPr>
            <w:tcW w:w="12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(125)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Arial" w:cs="Arial" w:eastAsia="Arial" w:hAnsi="Arial"/>
                <w:sz w:val="16"/>
                <w:szCs w:val="16"/>
                <w:b w:val="1"/>
                <w:bCs w:val="1"/>
                <w:color w:val="auto"/>
              </w:rPr>
              <w:t>—</w:t>
            </w:r>
          </w:p>
        </w:tc>
      </w:tr>
      <w:tr>
        <w:trPr>
          <w:trHeight w:val="257"/>
        </w:trPr>
        <w:tc>
          <w:tcPr>
            <w:tcW w:w="1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ind w:left="740"/>
              <w:spacing w:after="0"/>
              <w:rPr>
                <w:sz w:val="20"/>
                <w:szCs w:val="20"/>
                <w:color w:val="auto"/>
              </w:rPr>
            </w:pPr>
            <w:r>
              <w:rPr>
                <w:rFonts w:ascii="Arial" w:cs="Arial" w:eastAsia="Arial" w:hAnsi="Arial"/>
                <w:sz w:val="16"/>
                <w:szCs w:val="16"/>
                <w:b w:val="1"/>
                <w:bCs w:val="1"/>
                <w:color w:val="auto"/>
              </w:rPr>
              <w:t>—</w:t>
            </w:r>
          </w:p>
        </w:tc>
      </w:tr>
      <w:tr>
        <w:trPr>
          <w:trHeight w:val="257"/>
        </w:trPr>
        <w:tc>
          <w:tcPr>
            <w:tcW w:w="12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ind w:left="740"/>
              <w:spacing w:after="0"/>
              <w:rPr>
                <w:sz w:val="20"/>
                <w:szCs w:val="20"/>
                <w:color w:val="auto"/>
              </w:rPr>
            </w:pPr>
            <w:r>
              <w:rPr>
                <w:rFonts w:ascii="Arial" w:cs="Arial" w:eastAsia="Arial" w:hAnsi="Arial"/>
                <w:sz w:val="16"/>
                <w:szCs w:val="16"/>
                <w:b w:val="1"/>
                <w:bCs w:val="1"/>
                <w:color w:val="auto"/>
              </w:rPr>
              <w:t>—</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1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ind w:left="740"/>
              <w:spacing w:after="0"/>
              <w:rPr>
                <w:sz w:val="20"/>
                <w:szCs w:val="20"/>
                <w:color w:val="auto"/>
              </w:rPr>
            </w:pPr>
            <w:r>
              <w:rPr>
                <w:rFonts w:ascii="Arial" w:cs="Arial" w:eastAsia="Arial" w:hAnsi="Arial"/>
                <w:sz w:val="16"/>
                <w:szCs w:val="16"/>
                <w:b w:val="1"/>
                <w:bCs w:val="1"/>
                <w:color w:val="auto"/>
              </w:rPr>
              <w:t>—</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8"/>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91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259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347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ind w:left="760"/>
              <w:spacing w:after="0"/>
              <w:rPr>
                <w:sz w:val="20"/>
                <w:szCs w:val="20"/>
                <w:color w:val="auto"/>
              </w:rPr>
            </w:pPr>
            <w:r>
              <w:rPr>
                <w:rFonts w:ascii="Arial" w:cs="Arial" w:eastAsia="Arial" w:hAnsi="Arial"/>
                <w:sz w:val="16"/>
                <w:szCs w:val="16"/>
                <w:b w:val="1"/>
                <w:bCs w:val="1"/>
                <w:color w:val="auto"/>
              </w:rPr>
              <w:t>(2)</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-1320165</wp:posOffset>
            </wp:positionV>
            <wp:extent cx="724662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-916940</wp:posOffset>
            </wp:positionV>
            <wp:extent cx="72466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-591185</wp:posOffset>
            </wp:positionV>
            <wp:extent cx="72466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-256540</wp:posOffset>
            </wp:positionV>
            <wp:extent cx="7246620"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220"/>
            <w:col w:w="9000"/>
          </w:cols>
          <w:pgMar w:left="240" w:top="1111"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on plan assets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report and measure the plan assets of our defined benefit pension and other postretirement plans at fair value. The tables below set forth the fair value of our plan assets using the same three-level hierarchy of fair-value inputs described in Note 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0"/>
        </w:trPr>
        <w:tc>
          <w:tcPr>
            <w:tcW w:w="6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 (a)</w:t>
            </w:r>
          </w:p>
        </w:tc>
        <w:tc>
          <w:tcPr>
            <w:tcW w:w="26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of U.S. defined benefit plan:</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4"/>
        </w:trPr>
        <w:tc>
          <w:tcPr>
            <w:tcW w:w="6240" w:type="dxa"/>
            <w:vAlign w:val="bottom"/>
          </w:tcPr>
          <w:p>
            <w:pPr>
              <w:ind w:left="120"/>
              <w:spacing w:after="0"/>
              <w:rPr>
                <w:sz w:val="20"/>
                <w:szCs w:val="20"/>
                <w:color w:val="auto"/>
              </w:rPr>
            </w:pPr>
            <w:r>
              <w:rPr>
                <w:rFonts w:ascii="Arial" w:cs="Arial" w:eastAsia="Arial" w:hAnsi="Arial"/>
                <w:sz w:val="16"/>
                <w:szCs w:val="16"/>
                <w:b w:val="1"/>
                <w:bCs w:val="1"/>
                <w:color w:val="auto"/>
              </w:rPr>
              <w:t>Fixed income securities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640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640</w:t>
            </w:r>
          </w:p>
        </w:tc>
      </w:tr>
      <w:tr>
        <w:trPr>
          <w:trHeight w:val="33"/>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Equity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347</w:t>
            </w:r>
          </w:p>
        </w:tc>
      </w:tr>
      <w:tr>
        <w:trPr>
          <w:trHeight w:val="247"/>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987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987</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7"/>
        </w:trPr>
        <w:tc>
          <w:tcPr>
            <w:tcW w:w="6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4"/>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Assets of U.S. retiree health care plan:</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Fixed income securities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230</w:t>
            </w:r>
          </w:p>
        </w:tc>
      </w:tr>
      <w:tr>
        <w:trPr>
          <w:trHeight w:val="224"/>
        </w:trPr>
        <w:tc>
          <w:tcPr>
            <w:tcW w:w="6240" w:type="dxa"/>
            <w:vAlign w:val="bottom"/>
          </w:tcPr>
          <w:p>
            <w:pPr>
              <w:ind w:left="120"/>
              <w:spacing w:after="0"/>
              <w:rPr>
                <w:sz w:val="20"/>
                <w:szCs w:val="20"/>
                <w:color w:val="auto"/>
              </w:rPr>
            </w:pPr>
            <w:r>
              <w:rPr>
                <w:rFonts w:ascii="Arial" w:cs="Arial" w:eastAsia="Arial" w:hAnsi="Arial"/>
                <w:sz w:val="16"/>
                <w:szCs w:val="16"/>
                <w:b w:val="1"/>
                <w:bCs w:val="1"/>
                <w:color w:val="auto"/>
              </w:rPr>
              <w:t>Equity securities</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126</w:t>
            </w:r>
          </w:p>
        </w:tc>
      </w:tr>
      <w:tr>
        <w:trPr>
          <w:trHeight w:val="33"/>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7"/>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356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6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of non-U.S. defined benefit plans: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4"/>
        </w:trPr>
        <w:tc>
          <w:tcPr>
            <w:tcW w:w="6240" w:type="dxa"/>
            <w:vAlign w:val="bottom"/>
          </w:tcPr>
          <w:p>
            <w:pPr>
              <w:ind w:left="120"/>
              <w:spacing w:after="0"/>
              <w:rPr>
                <w:sz w:val="20"/>
                <w:szCs w:val="20"/>
                <w:color w:val="auto"/>
              </w:rPr>
            </w:pPr>
            <w:r>
              <w:rPr>
                <w:rFonts w:ascii="Arial" w:cs="Arial" w:eastAsia="Arial" w:hAnsi="Arial"/>
                <w:sz w:val="16"/>
                <w:szCs w:val="16"/>
                <w:b w:val="1"/>
                <w:bCs w:val="1"/>
                <w:color w:val="auto"/>
              </w:rPr>
              <w:t>Fixed income securities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59</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126</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1,762</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1,947</w:t>
            </w:r>
          </w:p>
        </w:tc>
      </w:tr>
      <w:tr>
        <w:trPr>
          <w:trHeight w:val="33"/>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Equity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714</w:t>
            </w:r>
          </w:p>
        </w:tc>
      </w:tr>
      <w:tr>
        <w:trPr>
          <w:trHeight w:val="247"/>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2,433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2,661</w:t>
            </w:r>
          </w:p>
        </w:tc>
      </w:tr>
      <w:tr>
        <w:trPr>
          <w:trHeight w:val="24"/>
        </w:trPr>
        <w:tc>
          <w:tcPr>
            <w:tcW w:w="6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 as well as cash equivalents.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0"/>
        </w:trPr>
        <w:tc>
          <w:tcPr>
            <w:tcW w:w="6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 (a)</w:t>
            </w:r>
          </w:p>
        </w:tc>
        <w:tc>
          <w:tcPr>
            <w:tcW w:w="26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6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of U.S. defined benefit plan:</w:t>
            </w:r>
          </w:p>
        </w:tc>
        <w:tc>
          <w:tcPr>
            <w:tcW w:w="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4"/>
        </w:trPr>
        <w:tc>
          <w:tcPr>
            <w:tcW w:w="624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563</w:t>
            </w:r>
          </w:p>
        </w:tc>
      </w:tr>
      <w:tr>
        <w:trPr>
          <w:trHeight w:val="33"/>
        </w:trPr>
        <w:tc>
          <w:tcPr>
            <w:tcW w:w="6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Equity securities</w:t>
            </w:r>
          </w:p>
        </w:tc>
        <w:tc>
          <w:tcPr>
            <w:tcW w:w="8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306</w:t>
            </w:r>
          </w:p>
        </w:tc>
      </w:tr>
      <w:tr>
        <w:trPr>
          <w:trHeight w:val="247"/>
        </w:trPr>
        <w:tc>
          <w:tcPr>
            <w:tcW w:w="6240" w:type="dxa"/>
            <w:vAlign w:val="bottom"/>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869</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7"/>
        </w:trPr>
        <w:tc>
          <w:tcPr>
            <w:tcW w:w="6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4"/>
        </w:trPr>
        <w:tc>
          <w:tcPr>
            <w:tcW w:w="6240" w:type="dxa"/>
            <w:vAlign w:val="bottom"/>
          </w:tcPr>
          <w:p>
            <w:pPr>
              <w:ind w:left="20"/>
              <w:spacing w:after="0"/>
              <w:rPr>
                <w:sz w:val="20"/>
                <w:szCs w:val="20"/>
                <w:color w:val="auto"/>
              </w:rPr>
            </w:pPr>
            <w:r>
              <w:rPr>
                <w:rFonts w:ascii="Arial" w:cs="Arial" w:eastAsia="Arial" w:hAnsi="Arial"/>
                <w:sz w:val="16"/>
                <w:szCs w:val="16"/>
                <w:color w:val="auto"/>
              </w:rPr>
              <w:t>Assets of U.S. retiree health care plan:</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6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w:t>
            </w:r>
          </w:p>
        </w:tc>
      </w:tr>
      <w:tr>
        <w:trPr>
          <w:trHeight w:val="224"/>
        </w:trPr>
        <w:tc>
          <w:tcPr>
            <w:tcW w:w="6240" w:type="dxa"/>
            <w:vAlign w:val="bottom"/>
          </w:tcPr>
          <w:p>
            <w:pPr>
              <w:ind w:left="120"/>
              <w:spacing w:after="0"/>
              <w:rPr>
                <w:sz w:val="20"/>
                <w:szCs w:val="20"/>
                <w:color w:val="auto"/>
              </w:rPr>
            </w:pPr>
            <w:r>
              <w:rPr>
                <w:rFonts w:ascii="Arial" w:cs="Arial" w:eastAsia="Arial" w:hAnsi="Arial"/>
                <w:sz w:val="16"/>
                <w:szCs w:val="16"/>
                <w:color w:val="auto"/>
              </w:rPr>
              <w:t>Equity securities</w:t>
            </w:r>
          </w:p>
        </w:tc>
        <w:tc>
          <w:tcPr>
            <w:tcW w:w="88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116</w:t>
            </w:r>
          </w:p>
        </w:tc>
      </w:tr>
      <w:tr>
        <w:trPr>
          <w:trHeight w:val="33"/>
        </w:trPr>
        <w:tc>
          <w:tcPr>
            <w:tcW w:w="6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7"/>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330</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6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of non-U.S. defined benefit plans:</w:t>
            </w: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4"/>
        </w:trPr>
        <w:tc>
          <w:tcPr>
            <w:tcW w:w="624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tcPr>
          <w:p>
            <w:pPr>
              <w:ind w:left="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1,788</w:t>
            </w:r>
          </w:p>
        </w:tc>
      </w:tr>
      <w:tr>
        <w:trPr>
          <w:trHeight w:val="33"/>
        </w:trPr>
        <w:tc>
          <w:tcPr>
            <w:tcW w:w="6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Equity securities</w:t>
            </w: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622</w:t>
            </w:r>
          </w:p>
        </w:tc>
      </w:tr>
      <w:tr>
        <w:trPr>
          <w:trHeight w:val="247"/>
        </w:trPr>
        <w:tc>
          <w:tcPr>
            <w:tcW w:w="6240" w:type="dxa"/>
            <w:vAlign w:val="bottom"/>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2,190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2,410</w:t>
            </w:r>
          </w:p>
        </w:tc>
      </w:tr>
      <w:tr>
        <w:trPr>
          <w:trHeight w:val="24"/>
        </w:trPr>
        <w:tc>
          <w:tcPr>
            <w:tcW w:w="6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Consists of bond index and equity index funds, measured at net asset value per share, as well as cash equivalents.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and investment policies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420" w:type="dxa"/>
            <w:vAlign w:val="bottom"/>
            <w:gridSpan w:val="4"/>
          </w:tcPr>
          <w:p>
            <w:pPr>
              <w:ind w:left="460"/>
              <w:spacing w:after="0"/>
              <w:rPr>
                <w:sz w:val="20"/>
                <w:szCs w:val="20"/>
                <w:color w:val="auto"/>
              </w:rPr>
            </w:pPr>
            <w:r>
              <w:rPr>
                <w:rFonts w:ascii="Arial" w:cs="Arial" w:eastAsia="Arial" w:hAnsi="Arial"/>
                <w:sz w:val="16"/>
                <w:szCs w:val="16"/>
                <w:b w:val="1"/>
                <w:bCs w:val="1"/>
                <w:color w:val="auto"/>
              </w:rPr>
              <w:t>U.S. Defined Benefit</w:t>
            </w:r>
          </w:p>
        </w:tc>
        <w:tc>
          <w:tcPr>
            <w:tcW w:w="2400" w:type="dxa"/>
            <w:vAlign w:val="bottom"/>
            <w:gridSpan w:val="4"/>
          </w:tcPr>
          <w:p>
            <w:pPr>
              <w:ind w:left="280"/>
              <w:spacing w:after="0"/>
              <w:rPr>
                <w:sz w:val="20"/>
                <w:szCs w:val="20"/>
                <w:color w:val="auto"/>
              </w:rPr>
            </w:pPr>
            <w:r>
              <w:rPr>
                <w:rFonts w:ascii="Arial" w:cs="Arial" w:eastAsia="Arial" w:hAnsi="Arial"/>
                <w:sz w:val="16"/>
                <w:szCs w:val="16"/>
                <w:b w:val="1"/>
                <w:bCs w:val="1"/>
                <w:color w:val="auto"/>
              </w:rPr>
              <w:t>U.S. Retiree Health Care</w:t>
            </w:r>
          </w:p>
        </w:tc>
        <w:tc>
          <w:tcPr>
            <w:tcW w:w="232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Non-U.S. Defined Benefit</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8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6"/>
              </w:rPr>
              <w:t>Weighted average assumptions used to determine benefit</w:t>
            </w: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obligations: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Discount rate</w:t>
            </w:r>
          </w:p>
        </w:tc>
        <w:tc>
          <w:tcPr>
            <w:tcW w:w="11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3.62%</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24"/>
        </w:trPr>
        <w:tc>
          <w:tcPr>
            <w:tcW w:w="4280" w:type="dxa"/>
            <w:vAlign w:val="bottom"/>
          </w:tcPr>
          <w:p>
            <w:pPr>
              <w:ind w:left="120"/>
              <w:spacing w:after="0"/>
              <w:rPr>
                <w:sz w:val="20"/>
                <w:szCs w:val="20"/>
                <w:color w:val="auto"/>
              </w:rPr>
            </w:pPr>
            <w:r>
              <w:rPr>
                <w:rFonts w:ascii="Arial" w:cs="Arial" w:eastAsia="Arial" w:hAnsi="Arial"/>
                <w:sz w:val="16"/>
                <w:szCs w:val="16"/>
                <w:color w:val="auto"/>
              </w:rPr>
              <w:t>Long-term pay progression</w:t>
            </w: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3.30%</w:t>
            </w:r>
          </w:p>
        </w:tc>
        <w:tc>
          <w:tcPr>
            <w:tcW w:w="120" w:type="dxa"/>
            <w:vAlign w:val="bottom"/>
          </w:tcPr>
          <w:p>
            <w:pPr>
              <w:spacing w:after="0"/>
              <w:rPr>
                <w:sz w:val="19"/>
                <w:szCs w:val="19"/>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9"/>
                <w:szCs w:val="19"/>
                <w:color w:val="auto"/>
              </w:rPr>
            </w:pPr>
          </w:p>
        </w:tc>
        <w:tc>
          <w:tcPr>
            <w:tcW w:w="1200" w:type="dxa"/>
            <w:vAlign w:val="bottom"/>
            <w:gridSpan w:val="2"/>
          </w:tcPr>
          <w:p>
            <w:pPr>
              <w:ind w:left="440"/>
              <w:spacing w:after="0"/>
              <w:rPr>
                <w:sz w:val="20"/>
                <w:szCs w:val="20"/>
                <w:color w:val="auto"/>
              </w:rPr>
            </w:pPr>
            <w:r>
              <w:rPr>
                <w:rFonts w:ascii="Arial" w:cs="Arial" w:eastAsia="Arial" w:hAnsi="Arial"/>
                <w:sz w:val="16"/>
                <w:szCs w:val="16"/>
                <w:b w:val="1"/>
                <w:bCs w:val="1"/>
                <w:color w:val="auto"/>
              </w:rPr>
              <w:t>n/a</w:t>
            </w:r>
          </w:p>
        </w:tc>
        <w:tc>
          <w:tcPr>
            <w:tcW w:w="1200" w:type="dxa"/>
            <w:vAlign w:val="bottom"/>
            <w:gridSpan w:val="2"/>
          </w:tcPr>
          <w:p>
            <w:pPr>
              <w:ind w:left="440"/>
              <w:spacing w:after="0"/>
              <w:rPr>
                <w:sz w:val="20"/>
                <w:szCs w:val="20"/>
                <w:color w:val="auto"/>
              </w:rPr>
            </w:pPr>
            <w:r>
              <w:rPr>
                <w:rFonts w:ascii="Arial" w:cs="Arial" w:eastAsia="Arial" w:hAnsi="Arial"/>
                <w:sz w:val="16"/>
                <w:szCs w:val="16"/>
                <w:color w:val="auto"/>
              </w:rPr>
              <w:t>n/a</w:t>
            </w: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3.06%</w:t>
            </w:r>
          </w:p>
        </w:tc>
        <w:tc>
          <w:tcPr>
            <w:tcW w:w="100" w:type="dxa"/>
            <w:vAlign w:val="bottom"/>
          </w:tcPr>
          <w:p>
            <w:pPr>
              <w:spacing w:after="0"/>
              <w:rPr>
                <w:sz w:val="19"/>
                <w:szCs w:val="19"/>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Weighted average assumptions used to determine net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periodic benefit cost: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Discount rate</w:t>
            </w:r>
          </w:p>
        </w:tc>
        <w:tc>
          <w:tcPr>
            <w:tcW w:w="11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24"/>
        </w:trPr>
        <w:tc>
          <w:tcPr>
            <w:tcW w:w="4280" w:type="dxa"/>
            <w:vAlign w:val="bottom"/>
          </w:tcPr>
          <w:p>
            <w:pPr>
              <w:ind w:left="120"/>
              <w:spacing w:after="0"/>
              <w:rPr>
                <w:sz w:val="20"/>
                <w:szCs w:val="20"/>
                <w:color w:val="auto"/>
              </w:rPr>
            </w:pPr>
            <w:r>
              <w:rPr>
                <w:rFonts w:ascii="Arial" w:cs="Arial" w:eastAsia="Arial" w:hAnsi="Arial"/>
                <w:sz w:val="16"/>
                <w:szCs w:val="16"/>
                <w:color w:val="auto"/>
              </w:rPr>
              <w:t>Long-term rate of return on plan assets</w:t>
            </w: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4.90%</w:t>
            </w:r>
          </w:p>
        </w:tc>
        <w:tc>
          <w:tcPr>
            <w:tcW w:w="120" w:type="dxa"/>
            <w:vAlign w:val="bottom"/>
          </w:tcPr>
          <w:p>
            <w:pPr>
              <w:spacing w:after="0"/>
              <w:rPr>
                <w:sz w:val="19"/>
                <w:szCs w:val="19"/>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9"/>
                <w:szCs w:val="19"/>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4.40%</w:t>
            </w:r>
          </w:p>
        </w:tc>
        <w:tc>
          <w:tcPr>
            <w:tcW w:w="120" w:type="dxa"/>
            <w:vAlign w:val="bottom"/>
          </w:tcPr>
          <w:p>
            <w:pPr>
              <w:spacing w:after="0"/>
              <w:rPr>
                <w:sz w:val="19"/>
                <w:szCs w:val="19"/>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9"/>
                <w:szCs w:val="19"/>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3.62%</w:t>
            </w:r>
          </w:p>
        </w:tc>
        <w:tc>
          <w:tcPr>
            <w:tcW w:w="100" w:type="dxa"/>
            <w:vAlign w:val="bottom"/>
          </w:tcPr>
          <w:p>
            <w:pPr>
              <w:spacing w:after="0"/>
              <w:rPr>
                <w:sz w:val="19"/>
                <w:szCs w:val="19"/>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pay progression</w:t>
            </w: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3.30%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n/a</w:t>
            </w: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n/a</w:t>
            </w:r>
          </w:p>
        </w:tc>
        <w:tc>
          <w:tcPr>
            <w:tcW w:w="11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3.03%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33"/>
        </w:trPr>
        <w:tc>
          <w:tcPr>
            <w:tcW w:w="4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adjusted for an appropriate risk premium is used to establish the discount rate.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48" w:name="page49"/>
    <w:bookmarkEnd w:id="48"/>
    <w:p>
      <w:pPr>
        <w:jc w:val="both"/>
        <w:ind w:right="40"/>
        <w:spacing w:after="0" w:line="259"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target allocation ranges for the plans that hold a substantial majority of the defined benefit assets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8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U.S. Defined</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U.S. Retiree</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Non-U.S.</w:t>
            </w:r>
          </w:p>
        </w:tc>
      </w:tr>
      <w:tr>
        <w:trPr>
          <w:trHeight w:val="210"/>
        </w:trPr>
        <w:tc>
          <w:tcPr>
            <w:tcW w:w="758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Benefit</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Health Care</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Defined Benefit</w:t>
            </w:r>
          </w:p>
        </w:tc>
      </w:tr>
      <w:tr>
        <w:trPr>
          <w:trHeight w:val="33"/>
        </w:trPr>
        <w:tc>
          <w:tcPr>
            <w:tcW w:w="75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income securities and cash equivalents</w:t>
            </w:r>
          </w:p>
        </w:tc>
        <w:tc>
          <w:tcPr>
            <w:tcW w:w="12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100%</w:t>
            </w:r>
          </w:p>
        </w:tc>
      </w:tr>
      <w:tr>
        <w:trPr>
          <w:trHeight w:val="251"/>
        </w:trPr>
        <w:tc>
          <w:tcPr>
            <w:tcW w:w="758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200" w:type="dxa"/>
            <w:vAlign w:val="bottom"/>
          </w:tcPr>
          <w:p>
            <w:pPr>
              <w:jc w:val="right"/>
              <w:ind w:right="4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1"/>
                <w:szCs w:val="21"/>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700" w:type="dxa"/>
            <w:vAlign w:val="bottom"/>
          </w:tcPr>
          <w:p>
            <w:pPr>
              <w:ind w:left="20"/>
              <w:spacing w:after="0"/>
              <w:rPr>
                <w:sz w:val="20"/>
                <w:szCs w:val="20"/>
                <w:color w:val="auto"/>
              </w:rPr>
            </w:pPr>
            <w:r>
              <w:rPr>
                <w:rFonts w:ascii="Arial" w:cs="Arial" w:eastAsia="Arial" w:hAnsi="Arial"/>
                <w:sz w:val="16"/>
                <w:szCs w:val="16"/>
                <w:color w:val="auto"/>
              </w:rPr>
              <w:t>– 40%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rebalance the plans’ investments when they are outside the target allocation ranges.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420" w:type="dxa"/>
            <w:vAlign w:val="bottom"/>
            <w:gridSpan w:val="4"/>
          </w:tcPr>
          <w:p>
            <w:pPr>
              <w:ind w:left="460"/>
              <w:spacing w:after="0"/>
              <w:rPr>
                <w:sz w:val="20"/>
                <w:szCs w:val="20"/>
                <w:color w:val="auto"/>
              </w:rPr>
            </w:pPr>
            <w:r>
              <w:rPr>
                <w:rFonts w:ascii="Arial" w:cs="Arial" w:eastAsia="Arial" w:hAnsi="Arial"/>
                <w:sz w:val="16"/>
                <w:szCs w:val="16"/>
                <w:b w:val="1"/>
                <w:bCs w:val="1"/>
                <w:color w:val="auto"/>
              </w:rPr>
              <w:t>U.S. Defined Benefit</w:t>
            </w:r>
          </w:p>
        </w:tc>
        <w:tc>
          <w:tcPr>
            <w:tcW w:w="2400" w:type="dxa"/>
            <w:vAlign w:val="bottom"/>
            <w:gridSpan w:val="4"/>
          </w:tcPr>
          <w:p>
            <w:pPr>
              <w:ind w:left="280"/>
              <w:spacing w:after="0"/>
              <w:rPr>
                <w:sz w:val="20"/>
                <w:szCs w:val="20"/>
                <w:color w:val="auto"/>
              </w:rPr>
            </w:pPr>
            <w:r>
              <w:rPr>
                <w:rFonts w:ascii="Arial" w:cs="Arial" w:eastAsia="Arial" w:hAnsi="Arial"/>
                <w:sz w:val="16"/>
                <w:szCs w:val="16"/>
                <w:b w:val="1"/>
                <w:bCs w:val="1"/>
                <w:color w:val="auto"/>
              </w:rPr>
              <w:t>U.S. Retiree Health Care</w:t>
            </w:r>
          </w:p>
        </w:tc>
        <w:tc>
          <w:tcPr>
            <w:tcW w:w="232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Non-U.S. Defined Benefit</w:t>
            </w:r>
          </w:p>
        </w:tc>
      </w:tr>
      <w:tr>
        <w:trPr>
          <w:trHeight w:val="33"/>
        </w:trPr>
        <w:tc>
          <w:tcPr>
            <w:tcW w:w="4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428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33"/>
        </w:trPr>
        <w:tc>
          <w:tcPr>
            <w:tcW w:w="42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income securities and cash equivalents</w:t>
            </w:r>
          </w:p>
        </w:tc>
        <w:tc>
          <w:tcPr>
            <w:tcW w:w="11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74%</w:t>
            </w:r>
          </w:p>
        </w:tc>
      </w:tr>
      <w:tr>
        <w:trPr>
          <w:trHeight w:val="224"/>
        </w:trPr>
        <w:tc>
          <w:tcPr>
            <w:tcW w:w="428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9"/>
                <w:szCs w:val="19"/>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9"/>
                <w:szCs w:val="19"/>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19"/>
                <w:szCs w:val="19"/>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26%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None of the plan assets related to the defined benefit pension plans and retiree health care benefit plan are directly invested in TI common stock.</w:t>
      </w:r>
    </w:p>
    <w:p>
      <w:pPr>
        <w:spacing w:after="0" w:line="23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following assumed future benefit payments to plan participants in the next 10 years are used to measure our benefit obligations. Almost all of the payments, which may vary significantly from these assumptions, will be made from plan assets and not from company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2025 – 2029</w:t>
            </w:r>
          </w:p>
        </w:tc>
      </w:tr>
      <w:tr>
        <w:trPr>
          <w:trHeight w:val="33"/>
        </w:trPr>
        <w:tc>
          <w:tcPr>
            <w:tcW w:w="3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Defined Benefit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7"/>
              </w:rPr>
              <w:t>118</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441</w:t>
            </w:r>
          </w:p>
        </w:tc>
      </w:tr>
      <w:tr>
        <w:trPr>
          <w:trHeight w:val="224"/>
        </w:trPr>
        <w:tc>
          <w:tcPr>
            <w:tcW w:w="3500" w:type="dxa"/>
            <w:vAlign w:val="bottom"/>
          </w:tcPr>
          <w:p>
            <w:pPr>
              <w:ind w:left="20"/>
              <w:spacing w:after="0"/>
              <w:rPr>
                <w:sz w:val="20"/>
                <w:szCs w:val="20"/>
                <w:color w:val="auto"/>
              </w:rPr>
            </w:pPr>
            <w:r>
              <w:rPr>
                <w:rFonts w:ascii="Arial" w:cs="Arial" w:eastAsia="Arial" w:hAnsi="Arial"/>
                <w:sz w:val="16"/>
                <w:szCs w:val="16"/>
                <w:color w:val="auto"/>
              </w:rPr>
              <w:t>U.S. Retiree Health Care</w:t>
            </w:r>
          </w:p>
        </w:tc>
        <w:tc>
          <w:tcPr>
            <w:tcW w:w="86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115</w:t>
            </w:r>
          </w:p>
        </w:tc>
      </w:tr>
      <w:tr>
        <w:trPr>
          <w:trHeight w:val="33"/>
        </w:trPr>
        <w:tc>
          <w:tcPr>
            <w:tcW w:w="3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Non-U.S. Defined Benefit</w:t>
            </w: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7"/>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104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542</w:t>
            </w:r>
          </w:p>
        </w:tc>
      </w:tr>
      <w:tr>
        <w:trPr>
          <w:trHeight w:val="432"/>
        </w:trPr>
        <w:tc>
          <w:tcPr>
            <w:tcW w:w="8320" w:type="dxa"/>
            <w:vAlign w:val="bottom"/>
            <w:gridSpan w:val="11"/>
          </w:tcPr>
          <w:p>
            <w:pPr>
              <w:spacing w:after="0"/>
              <w:rPr>
                <w:sz w:val="20"/>
                <w:szCs w:val="20"/>
                <w:color w:val="auto"/>
              </w:rPr>
            </w:pPr>
            <w:r>
              <w:rPr>
                <w:rFonts w:ascii="Arial" w:cs="Arial" w:eastAsia="Arial" w:hAnsi="Arial"/>
                <w:sz w:val="18"/>
                <w:szCs w:val="18"/>
                <w:color w:val="auto"/>
                <w:w w:val="90"/>
              </w:rPr>
              <w:t>Assumed health care cost trend rates for the U.S. retiree health care benefit plan as of December 31 are as follows: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67"/>
        </w:trPr>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33"/>
        </w:trPr>
        <w:tc>
          <w:tcPr>
            <w:tcW w:w="35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Assumed health care cost trend rate for next year</w:t>
            </w: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7.00%</w:t>
            </w:r>
          </w:p>
        </w:tc>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88"/>
              </w:rPr>
              <w:t>7.25%</w:t>
            </w:r>
          </w:p>
        </w:tc>
      </w:tr>
      <w:tr>
        <w:trPr>
          <w:trHeight w:val="224"/>
        </w:trPr>
        <w:tc>
          <w:tcPr>
            <w:tcW w:w="3500" w:type="dxa"/>
            <w:vAlign w:val="bottom"/>
          </w:tcPr>
          <w:p>
            <w:pPr>
              <w:ind w:left="20"/>
              <w:spacing w:after="0"/>
              <w:rPr>
                <w:sz w:val="20"/>
                <w:szCs w:val="20"/>
                <w:color w:val="auto"/>
              </w:rPr>
            </w:pPr>
            <w:r>
              <w:rPr>
                <w:rFonts w:ascii="Arial" w:cs="Arial" w:eastAsia="Arial" w:hAnsi="Arial"/>
                <w:sz w:val="16"/>
                <w:szCs w:val="16"/>
                <w:color w:val="auto"/>
              </w:rPr>
              <w:t>Ultimate trend rate</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5.00%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199"/>
              <w:spacing w:after="0"/>
              <w:rPr>
                <w:sz w:val="20"/>
                <w:szCs w:val="20"/>
                <w:color w:val="auto"/>
              </w:rPr>
            </w:pPr>
            <w:r>
              <w:rPr>
                <w:rFonts w:ascii="Arial" w:cs="Arial" w:eastAsia="Arial" w:hAnsi="Arial"/>
                <w:sz w:val="16"/>
                <w:szCs w:val="16"/>
                <w:color w:val="auto"/>
                <w:w w:val="88"/>
              </w:rPr>
              <w:t>5.00%</w:t>
            </w:r>
          </w:p>
        </w:tc>
      </w:tr>
      <w:tr>
        <w:trPr>
          <w:trHeight w:val="33"/>
        </w:trPr>
        <w:tc>
          <w:tcPr>
            <w:tcW w:w="3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in which ultimate trend rate is reached</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2028</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89"/>
              </w:rPr>
              <w:t>2028</w:t>
            </w:r>
          </w:p>
        </w:tc>
      </w:tr>
      <w:tr>
        <w:trPr>
          <w:trHeight w:val="33"/>
        </w:trPr>
        <w:tc>
          <w:tcPr>
            <w:tcW w:w="3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deferred compensation plans that allow U.S. employees whose base salary and management responsibility exceed a certain level to defer receipt of a portion of their cash compensation. Payments under these plans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of December 31, 2019, our liability to participants of the deferred compensation plans was $298 million and is recorded in other long-term liabilities on our Consolidated Balance Sheets. This amount reflects the accumulated participant deferrals and earnings thereon as of that date. As of December 31, 2019, we held $272 million in mutual funds related to these plans that are recorded in long-term investments on our Consolidated Balance Sheets, and serve as an economic hedge against changes in fair values of our other deferred compensation liabilities. We record changes in the fair value of the liability and the related investment in SG&amp;A as discussed in Note 6.</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49" w:name="page50"/>
    <w:bookmarkEnd w:id="49"/>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December 31, 2019, we had a variable-rate revolving credit facility from a consortium of investment-grade banks that allows us to borrow up to $2 billion until March 2024. The interest rate on borrowings under this credit facility, if drawn, is indexed to the applicable London Interbank Offered Rate (LIBOR). As of December 31, 2019,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retired $750 million of maturing debt in August 2019.</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March 2019, we issued a principal amount of $750 million of fixed-rate, long-term debt due in 2039. We incurred $7 million of issuance and other related costs. The proceeds of the offering were $743 million, net of the original issuance discount, and were used for general corporate purposes.</w:t>
      </w:r>
    </w:p>
    <w:p>
      <w:pPr>
        <w:spacing w:after="0" w:line="14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September 2019, we issued a principal amount of $750 million of fixed-rate, long-term debt due in 2029. We incurred $5 million of issuance and other related costs. The proceeds of the offering were $748 million, net of the original issuance discount, and were used for general corporate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retired $500 million of maturing debt in May 2018.</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second quarter of 2018, we issued an aggregate principal amount of $1.5 billion of fixed-rate, long-term debt due in 2048, comprised of the issuance of $1.3 billion in May 2018 and an additional $200 million in June 2018. We incurred $16 million of issuance and other related costs. The proceeds of the offering were $1.5 billion, net of the original issuance discount and premium, and were used for general corporate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retired $250 million of maturing debt in March 2017 and another $375 million in June 2017.</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2017, we issued an aggregate principal amount of $600 million of fixed-rate, long-term debt. The offering consisted of the reissuance of $300 million of 2.75% notes due in 2021 at a premium and the issuance of $300 million of 2.625% notes due in 2024 at a discount. We incurred $3 million of issuance and other related costs. The proceeds of the offerings were $605 million, net of the original issuance discount and premium, and were used for the repayment of maturing debt and general corporate purposes.</w:t>
      </w:r>
    </w:p>
    <w:p>
      <w:pPr>
        <w:spacing w:after="0" w:line="18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November 2017, we issued a principal amount of $500 million of fixed-rate, long-term debt due in 2027. We incurred $3 million of issuance and other related costs. The proceeds of the offering were $494 million, net of the original issuance discount, and were used for general corporate purposes.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Long-term debt outstanding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spacing w:after="0"/>
              <w:rPr>
                <w:sz w:val="18"/>
                <w:szCs w:val="18"/>
                <w:color w:val="auto"/>
              </w:rPr>
            </w:pPr>
          </w:p>
        </w:tc>
      </w:tr>
      <w:tr>
        <w:trPr>
          <w:trHeight w:val="33"/>
        </w:trPr>
        <w:tc>
          <w:tcPr>
            <w:tcW w:w="8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2019 at 1.65%</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750</w:t>
            </w:r>
          </w:p>
        </w:tc>
      </w:tr>
      <w:tr>
        <w:trPr>
          <w:trHeight w:val="254"/>
        </w:trPr>
        <w:tc>
          <w:tcPr>
            <w:tcW w:w="8880" w:type="dxa"/>
            <w:vAlign w:val="bottom"/>
          </w:tcPr>
          <w:p>
            <w:pPr>
              <w:ind w:left="20"/>
              <w:spacing w:after="0"/>
              <w:rPr>
                <w:sz w:val="20"/>
                <w:szCs w:val="20"/>
                <w:color w:val="auto"/>
              </w:rPr>
            </w:pPr>
            <w:r>
              <w:rPr>
                <w:rFonts w:ascii="Arial" w:cs="Arial" w:eastAsia="Arial" w:hAnsi="Arial"/>
                <w:sz w:val="16"/>
                <w:szCs w:val="16"/>
                <w:color w:val="auto"/>
              </w:rPr>
              <w:t>Notes due 2020 at 1.75%</w:t>
            </w:r>
          </w:p>
        </w:tc>
        <w:tc>
          <w:tcPr>
            <w:tcW w:w="28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500</w:t>
            </w:r>
          </w:p>
        </w:tc>
      </w:tr>
      <w:tr>
        <w:trPr>
          <w:trHeight w:val="260"/>
        </w:trPr>
        <w:tc>
          <w:tcPr>
            <w:tcW w:w="8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2021 at 2.75%</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550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550</w:t>
            </w:r>
          </w:p>
        </w:tc>
      </w:tr>
      <w:tr>
        <w:trPr>
          <w:trHeight w:val="254"/>
        </w:trPr>
        <w:tc>
          <w:tcPr>
            <w:tcW w:w="8880" w:type="dxa"/>
            <w:vAlign w:val="bottom"/>
          </w:tcPr>
          <w:p>
            <w:pPr>
              <w:ind w:left="20"/>
              <w:spacing w:after="0"/>
              <w:rPr>
                <w:sz w:val="20"/>
                <w:szCs w:val="20"/>
                <w:color w:val="auto"/>
              </w:rPr>
            </w:pPr>
            <w:r>
              <w:rPr>
                <w:rFonts w:ascii="Arial" w:cs="Arial" w:eastAsia="Arial" w:hAnsi="Arial"/>
                <w:sz w:val="16"/>
                <w:szCs w:val="16"/>
                <w:color w:val="auto"/>
              </w:rPr>
              <w:t>Notes due 2022 at 1.85%</w:t>
            </w:r>
          </w:p>
        </w:tc>
        <w:tc>
          <w:tcPr>
            <w:tcW w:w="28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500</w:t>
            </w:r>
          </w:p>
        </w:tc>
      </w:tr>
      <w:tr>
        <w:trPr>
          <w:trHeight w:val="260"/>
        </w:trPr>
        <w:tc>
          <w:tcPr>
            <w:tcW w:w="8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2023 at 2.25%</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w:t>
            </w:r>
          </w:p>
        </w:tc>
      </w:tr>
      <w:tr>
        <w:trPr>
          <w:trHeight w:val="254"/>
        </w:trPr>
        <w:tc>
          <w:tcPr>
            <w:tcW w:w="8880" w:type="dxa"/>
            <w:vAlign w:val="bottom"/>
          </w:tcPr>
          <w:p>
            <w:pPr>
              <w:ind w:left="20"/>
              <w:spacing w:after="0"/>
              <w:rPr>
                <w:sz w:val="20"/>
                <w:szCs w:val="20"/>
                <w:color w:val="auto"/>
              </w:rPr>
            </w:pPr>
            <w:r>
              <w:rPr>
                <w:rFonts w:ascii="Arial" w:cs="Arial" w:eastAsia="Arial" w:hAnsi="Arial"/>
                <w:sz w:val="16"/>
                <w:szCs w:val="16"/>
                <w:color w:val="auto"/>
              </w:rPr>
              <w:t>Notes due 2024 at 2.625%</w:t>
            </w:r>
          </w:p>
        </w:tc>
        <w:tc>
          <w:tcPr>
            <w:tcW w:w="28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300</w:t>
            </w:r>
          </w:p>
        </w:tc>
      </w:tr>
      <w:tr>
        <w:trPr>
          <w:trHeight w:val="260"/>
        </w:trPr>
        <w:tc>
          <w:tcPr>
            <w:tcW w:w="8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2027 at 2.90%</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w:t>
            </w:r>
          </w:p>
        </w:tc>
      </w:tr>
      <w:tr>
        <w:trPr>
          <w:trHeight w:val="254"/>
        </w:trPr>
        <w:tc>
          <w:tcPr>
            <w:tcW w:w="8880" w:type="dxa"/>
            <w:vAlign w:val="bottom"/>
          </w:tcPr>
          <w:p>
            <w:pPr>
              <w:ind w:left="20"/>
              <w:spacing w:after="0"/>
              <w:rPr>
                <w:sz w:val="20"/>
                <w:szCs w:val="20"/>
                <w:color w:val="auto"/>
              </w:rPr>
            </w:pPr>
            <w:r>
              <w:rPr>
                <w:rFonts w:ascii="Arial" w:cs="Arial" w:eastAsia="Arial" w:hAnsi="Arial"/>
                <w:sz w:val="16"/>
                <w:szCs w:val="16"/>
                <w:color w:val="auto"/>
              </w:rPr>
              <w:t>Notes due 2029 at 2.25%</w:t>
            </w:r>
          </w:p>
        </w:tc>
        <w:tc>
          <w:tcPr>
            <w:tcW w:w="28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60"/>
        </w:trPr>
        <w:tc>
          <w:tcPr>
            <w:tcW w:w="8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2039 at 3.875%</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54"/>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Notes due 2048 at 4.15%</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1,500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1,500</w:t>
            </w:r>
          </w:p>
        </w:tc>
      </w:tr>
      <w:tr>
        <w:trPr>
          <w:trHeight w:val="233"/>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5,850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5,100</w:t>
            </w:r>
          </w:p>
        </w:tc>
      </w:tr>
      <w:tr>
        <w:trPr>
          <w:trHeight w:val="224"/>
        </w:trPr>
        <w:tc>
          <w:tcPr>
            <w:tcW w:w="8880" w:type="dxa"/>
            <w:vAlign w:val="bottom"/>
          </w:tcPr>
          <w:p>
            <w:pPr>
              <w:ind w:left="20"/>
              <w:spacing w:after="0"/>
              <w:rPr>
                <w:sz w:val="20"/>
                <w:szCs w:val="20"/>
                <w:color w:val="auto"/>
              </w:rPr>
            </w:pPr>
            <w:r>
              <w:rPr>
                <w:rFonts w:ascii="Arial" w:cs="Arial" w:eastAsia="Arial" w:hAnsi="Arial"/>
                <w:sz w:val="16"/>
                <w:szCs w:val="16"/>
                <w:color w:val="auto"/>
              </w:rPr>
              <w:t>Net unamortized discounts, premiums and issuance costs</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8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debt, including net unamortized discounts, premiums and issuance costs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5,803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5,068</w:t>
            </w:r>
          </w:p>
        </w:tc>
      </w:tr>
      <w:tr>
        <w:trPr>
          <w:trHeight w:val="224"/>
        </w:trPr>
        <w:tc>
          <w:tcPr>
            <w:tcW w:w="888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(749)</w:t>
            </w:r>
          </w:p>
        </w:tc>
      </w:tr>
      <w:tr>
        <w:trPr>
          <w:trHeight w:val="33"/>
        </w:trPr>
        <w:tc>
          <w:tcPr>
            <w:tcW w:w="8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2"/>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5,303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4,319</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Interest and debt expense was $170 million, $125 million and $78 million in 2019, 2018 and 2017, respectively. This was net of the amortized discounts, premiums and issuance costs. Cash payments for interest on long-term debt were $156 million, $114 million and $75 million in 2019, 2018 and 2017, respectively. Capitalized interest was not material.</w:t>
      </w:r>
    </w:p>
    <w:p>
      <w:pPr>
        <w:spacing w:after="0" w:line="181"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renewal provisions and require us to pay real estate taxes, insurance and maintenance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leases are included as a component of the following balance sheet lines: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r>
      <w:tr>
        <w:trPr>
          <w:trHeight w:val="257"/>
        </w:trPr>
        <w:tc>
          <w:tcPr>
            <w:tcW w:w="9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3"/>
        </w:trPr>
        <w:tc>
          <w:tcPr>
            <w:tcW w:w="98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4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337</w:t>
            </w:r>
          </w:p>
        </w:tc>
      </w:tr>
      <w:tr>
        <w:trPr>
          <w:trHeight w:val="270"/>
        </w:trPr>
        <w:tc>
          <w:tcPr>
            <w:tcW w:w="9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7"/>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expenses and other liabilities</w:t>
            </w:r>
          </w:p>
        </w:tc>
        <w:tc>
          <w:tcPr>
            <w:tcW w:w="4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w:t>
            </w:r>
          </w:p>
        </w:tc>
      </w:tr>
      <w:tr>
        <w:trPr>
          <w:trHeight w:val="224"/>
        </w:trPr>
        <w:tc>
          <w:tcPr>
            <w:tcW w:w="98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259</w:t>
            </w:r>
          </w:p>
        </w:tc>
      </w:tr>
      <w:tr>
        <w:trPr>
          <w:trHeight w:val="465"/>
        </w:trPr>
        <w:tc>
          <w:tcPr>
            <w:tcW w:w="9840" w:type="dxa"/>
            <w:vAlign w:val="bottom"/>
          </w:tcPr>
          <w:p>
            <w:pPr>
              <w:spacing w:after="0"/>
              <w:rPr>
                <w:sz w:val="20"/>
                <w:szCs w:val="20"/>
                <w:color w:val="auto"/>
              </w:rPr>
            </w:pPr>
            <w:r>
              <w:rPr>
                <w:rFonts w:ascii="Arial" w:cs="Arial" w:eastAsia="Arial" w:hAnsi="Arial"/>
                <w:sz w:val="18"/>
                <w:szCs w:val="18"/>
                <w:color w:val="auto"/>
              </w:rPr>
              <w:t>Details of our operating leases are as follows: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9"/>
        </w:trPr>
        <w:tc>
          <w:tcPr>
            <w:tcW w:w="9840" w:type="dxa"/>
            <w:vAlign w:val="bottom"/>
          </w:tcPr>
          <w:p>
            <w:pPr>
              <w:spacing w:after="0"/>
              <w:rPr>
                <w:sz w:val="24"/>
                <w:szCs w:val="24"/>
                <w:color w:val="auto"/>
              </w:rPr>
            </w:pPr>
          </w:p>
        </w:tc>
        <w:tc>
          <w:tcPr>
            <w:tcW w:w="158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For Year Ended</w:t>
            </w:r>
          </w:p>
        </w:tc>
      </w:tr>
      <w:tr>
        <w:trPr>
          <w:trHeight w:val="210"/>
        </w:trPr>
        <w:tc>
          <w:tcPr>
            <w:tcW w:w="9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257"/>
        </w:trPr>
        <w:tc>
          <w:tcPr>
            <w:tcW w:w="9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9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cost related to lease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66</w:t>
            </w:r>
          </w:p>
        </w:tc>
      </w:tr>
      <w:tr>
        <w:trPr>
          <w:trHeight w:val="224"/>
        </w:trPr>
        <w:tc>
          <w:tcPr>
            <w:tcW w:w="984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41</w:t>
            </w:r>
          </w:p>
        </w:tc>
      </w:tr>
      <w:tr>
        <w:trPr>
          <w:trHeight w:val="33"/>
        </w:trPr>
        <w:tc>
          <w:tcPr>
            <w:tcW w:w="9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4"/>
        </w:trPr>
        <w:tc>
          <w:tcPr>
            <w:tcW w:w="984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9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cash flows for lease cost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60</w:t>
            </w:r>
          </w:p>
        </w:tc>
      </w:tr>
      <w:tr>
        <w:trPr>
          <w:trHeight w:val="270"/>
        </w:trPr>
        <w:tc>
          <w:tcPr>
            <w:tcW w:w="9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7"/>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assets obtained in exchange for new lease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167</w:t>
            </w:r>
          </w:p>
        </w:tc>
      </w:tr>
      <w:tr>
        <w:trPr>
          <w:trHeight w:val="270"/>
        </w:trPr>
        <w:tc>
          <w:tcPr>
            <w:tcW w:w="9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7"/>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 years</w:t>
            </w:r>
          </w:p>
        </w:tc>
      </w:tr>
      <w:tr>
        <w:trPr>
          <w:trHeight w:val="224"/>
        </w:trPr>
        <w:tc>
          <w:tcPr>
            <w:tcW w:w="984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3.37 %</w:t>
            </w:r>
          </w:p>
        </w:tc>
      </w:tr>
    </w:tbl>
    <w:p>
      <w:pPr>
        <w:spacing w:after="0" w:line="200" w:lineRule="exact"/>
        <w:rPr>
          <w:sz w:val="20"/>
          <w:szCs w:val="20"/>
          <w:color w:val="auto"/>
        </w:rPr>
      </w:pPr>
    </w:p>
    <w:p>
      <w:pPr>
        <w:sectPr>
          <w:pgSz w:w="11900" w:h="16838" w:orient="portrait"/>
          <w:cols w:equalWidth="0" w:num="1">
            <w:col w:w="11420"/>
          </w:cols>
          <w:pgMar w:left="240" w:top="1111" w:right="239" w:bottom="838"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838"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color w:val="auto"/>
        </w:rPr>
        <w:t>As of December 31, 2019, we had committed to make the following minimum payments under our non-cancellable operating leases: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96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r>
      <w:tr>
        <w:trPr>
          <w:trHeight w:val="33"/>
        </w:trPr>
        <w:tc>
          <w:tcPr>
            <w:tcW w:w="2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payments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386</w:t>
            </w:r>
          </w:p>
        </w:tc>
      </w:tr>
      <w:tr>
        <w:trPr>
          <w:trHeight w:val="224"/>
        </w:trPr>
        <w:tc>
          <w:tcPr>
            <w:tcW w:w="2340" w:type="dxa"/>
            <w:vAlign w:val="bottom"/>
          </w:tcPr>
          <w:p>
            <w:pPr>
              <w:ind w:left="20"/>
              <w:spacing w:after="0"/>
              <w:rPr>
                <w:sz w:val="20"/>
                <w:szCs w:val="20"/>
                <w:color w:val="auto"/>
              </w:rPr>
            </w:pPr>
            <w:r>
              <w:rPr>
                <w:rFonts w:ascii="Arial" w:cs="Arial" w:eastAsia="Arial" w:hAnsi="Arial"/>
                <w:sz w:val="16"/>
                <w:szCs w:val="16"/>
                <w:color w:val="auto"/>
              </w:rPr>
              <w:t>Imputed lease interest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(54)</w:t>
            </w:r>
          </w:p>
        </w:tc>
      </w:tr>
      <w:tr>
        <w:trPr>
          <w:trHeight w:val="33"/>
        </w:trPr>
        <w:tc>
          <w:tcPr>
            <w:tcW w:w="2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332</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2018, we had committed to make the following minimum payments under our non-cancellable operating leases, as reported under ASC 840: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2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224</w:t>
            </w:r>
          </w:p>
        </w:tc>
      </w:tr>
      <w:tr>
        <w:trPr>
          <w:trHeight w:val="33"/>
        </w:trPr>
        <w:tc>
          <w:tcPr>
            <w:tcW w:w="2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purchase commitments include payments for software licenses and contractual arrangements with suppliers when there is a fixed, non-cancellable payment schedule or when minimum payments are due with a reduced delivery schedule.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committed to make the following minimum payments under our purchase commitments: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2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commitments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452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7"/>
              </w:rPr>
              <w:t>286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1,065</w:t>
            </w:r>
          </w:p>
        </w:tc>
      </w:tr>
      <w:tr>
        <w:trPr>
          <w:trHeight w:val="33"/>
        </w:trPr>
        <w:tc>
          <w:tcPr>
            <w:tcW w:w="2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52" w:name="page53"/>
    <w:bookmarkEnd w:id="52"/>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 and are comprised of the following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40" w:type="dxa"/>
            <w:vAlign w:val="bottom"/>
            <w:gridSpan w:val="6"/>
          </w:tcPr>
          <w:p>
            <w:pPr>
              <w:ind w:left="60"/>
              <w:spacing w:after="0"/>
              <w:rPr>
                <w:sz w:val="20"/>
                <w:szCs w:val="20"/>
                <w:color w:val="auto"/>
              </w:rPr>
            </w:pPr>
            <w:r>
              <w:rPr>
                <w:rFonts w:ascii="Arial" w:cs="Arial" w:eastAsia="Arial" w:hAnsi="Arial"/>
                <w:sz w:val="16"/>
                <w:szCs w:val="16"/>
                <w:b w:val="1"/>
                <w:bCs w:val="1"/>
                <w:color w:val="auto"/>
                <w:w w:val="91"/>
              </w:rPr>
              <w:t>For Years Ended December 31,</w:t>
            </w:r>
          </w:p>
        </w:tc>
        <w:tc>
          <w:tcPr>
            <w:tcW w:w="820" w:type="dxa"/>
            <w:vAlign w:val="bottom"/>
          </w:tcPr>
          <w:p>
            <w:pPr>
              <w:spacing w:after="0"/>
              <w:rPr>
                <w:sz w:val="18"/>
                <w:szCs w:val="18"/>
                <w:color w:val="auto"/>
              </w:rPr>
            </w:pPr>
          </w:p>
        </w:tc>
      </w:tr>
      <w:tr>
        <w:trPr>
          <w:trHeight w:val="33"/>
        </w:trPr>
        <w:tc>
          <w:tcPr>
            <w:tcW w:w="7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7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charges (a)</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6"/>
                <w:szCs w:val="16"/>
                <w:color w:val="auto"/>
                <w:w w:val="89"/>
              </w:rPr>
              <w:t>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Gains on sales of assets</w:t>
            </w:r>
          </w:p>
        </w:tc>
        <w:tc>
          <w:tcPr>
            <w:tcW w:w="8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center"/>
              <w:ind w:left="439"/>
              <w:spacing w:after="0"/>
              <w:rPr>
                <w:sz w:val="20"/>
                <w:szCs w:val="20"/>
                <w:color w:val="auto"/>
              </w:rPr>
            </w:pPr>
            <w:r>
              <w:rPr>
                <w:rFonts w:ascii="Arial" w:cs="Arial" w:eastAsia="Arial" w:hAnsi="Arial"/>
                <w:sz w:val="16"/>
                <w:szCs w:val="16"/>
                <w:color w:val="auto"/>
                <w:w w:val="91"/>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charges/other</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w w:val="89"/>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Includes severance and benefits, accelerated depreciation, changes in estimates or other exit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accrued restructuring balances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7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January 1</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8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91"/>
              </w:rPr>
              <w:t>(15)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w:t>
            </w:r>
          </w:p>
        </w:tc>
      </w:tr>
      <w:tr>
        <w:trPr>
          <w:trHeight w:val="33"/>
        </w:trPr>
        <w:tc>
          <w:tcPr>
            <w:tcW w:w="7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items (a)</w:t>
            </w:r>
          </w:p>
        </w:tc>
        <w:tc>
          <w:tcPr>
            <w:tcW w:w="8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b w:val="1"/>
                <w:bCs w:val="1"/>
                <w:color w:val="auto"/>
                <w:w w:val="99"/>
              </w:rPr>
              <w:t>—</w:t>
            </w:r>
          </w:p>
        </w:tc>
        <w:tc>
          <w:tcPr>
            <w:tcW w:w="8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Payments</w:t>
            </w:r>
          </w:p>
        </w:tc>
        <w:tc>
          <w:tcPr>
            <w:tcW w:w="8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91"/>
              </w:rPr>
              <w:t>(13)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7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5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b w:val="1"/>
                <w:bCs w:val="1"/>
                <w:color w:val="auto"/>
                <w:w w:val="99"/>
              </w:rPr>
              <w:t>—</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Reflects charges for impacts of accelerated depreciation and changes in exchange rates.</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restructuring accrual balances are reported as a component of either accrued expenses and other liabilities or other long-term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April 2019, we sold our manufacturing facility in Greenock, Scotland.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January 2020, we announced a multiyear plan to close our two remaining factories with 150-millimeter production, which are more than 50 years old and located in Sherman and Dallas, Texas. Production will be transitioned from these sites to our more advanced and cost-effective 300-millimeter wafer fabrication facilities in North Texas. We expect this transition to be completed in the next three to five years. Charges for these closures cannot be reasonably estimated until a later phase of the transition.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 (OI&amp;E)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40" w:type="dxa"/>
            <w:vAlign w:val="bottom"/>
            <w:gridSpan w:val="6"/>
          </w:tcPr>
          <w:p>
            <w:pPr>
              <w:ind w:left="60"/>
              <w:spacing w:after="0"/>
              <w:rPr>
                <w:sz w:val="20"/>
                <w:szCs w:val="20"/>
                <w:color w:val="auto"/>
              </w:rPr>
            </w:pPr>
            <w:r>
              <w:rPr>
                <w:rFonts w:ascii="Arial" w:cs="Arial" w:eastAsia="Arial" w:hAnsi="Arial"/>
                <w:sz w:val="16"/>
                <w:szCs w:val="16"/>
                <w:b w:val="1"/>
                <w:bCs w:val="1"/>
                <w:color w:val="auto"/>
                <w:w w:val="91"/>
              </w:rPr>
              <w:t>For Years Ended December 31,</w:t>
            </w:r>
          </w:p>
        </w:tc>
        <w:tc>
          <w:tcPr>
            <w:tcW w:w="820" w:type="dxa"/>
            <w:vAlign w:val="bottom"/>
          </w:tcPr>
          <w:p>
            <w:pPr>
              <w:spacing w:after="0"/>
              <w:rPr>
                <w:sz w:val="18"/>
                <w:szCs w:val="18"/>
                <w:color w:val="auto"/>
              </w:rPr>
            </w:pPr>
          </w:p>
        </w:tc>
      </w:tr>
      <w:tr>
        <w:trPr>
          <w:trHeight w:val="33"/>
        </w:trPr>
        <w:tc>
          <w:tcPr>
            <w:tcW w:w="7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7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(a)</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w:t>
            </w: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Other expense (b)</w:t>
            </w:r>
          </w:p>
        </w:tc>
        <w:tc>
          <w:tcPr>
            <w:tcW w:w="8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33"/>
        </w:trPr>
        <w:tc>
          <w:tcPr>
            <w:tcW w:w="7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income includes interest, royalty and lease income, as well as investment gains and losses.</w:t>
      </w:r>
    </w:p>
    <w:p>
      <w:pPr>
        <w:spacing w:after="0" w:line="117" w:lineRule="exact"/>
        <w:rPr>
          <w:rFonts w:ascii="Arial" w:cs="Arial" w:eastAsia="Arial" w:hAnsi="Arial"/>
          <w:sz w:val="18"/>
          <w:szCs w:val="18"/>
          <w:color w:val="auto"/>
        </w:rPr>
      </w:pPr>
    </w:p>
    <w:p>
      <w:pPr>
        <w:ind w:left="340" w:right="440" w:hanging="332"/>
        <w:spacing w:after="0" w:line="277" w:lineRule="auto"/>
        <w:tabs>
          <w:tab w:leader="none" w:pos="3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expense includes a portion of pension and other retiree benefit costs. It also includes currency gains and losses, tax interest and miscellaneous items.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Property, plant and equipment at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Land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Buildings and improvements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Machinery and equipment</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Long-term portion of transition tax on indefinitely reinvested earnings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Uncertain tax positions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compensation plans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Accumulated other comprehensive income (loss), net of taxes (AOCI)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Postretirement benefit plans: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actuarial loss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Prior service credit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 derivative instruments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2000" w:type="dxa"/>
        <w:tblCellMar>
          <w:top w:w="0" w:type="dxa"/>
          <w:left w:w="0" w:type="dxa"/>
          <w:bottom w:w="0" w:type="dxa"/>
          <w:right w:w="0" w:type="dxa"/>
        </w:tblCellMar>
      </w:tblPr>
      <w:tr>
        <w:trPr>
          <w:trHeight w:val="210"/>
        </w:trPr>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Depreciable</w:t>
            </w: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8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Lives (Years)</w:t>
            </w:r>
          </w:p>
        </w:tc>
        <w:tc>
          <w:tcPr>
            <w:tcW w:w="28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n/a</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126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90"/>
        </w:trPr>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 xml:space="preserve">5 </w:t>
            </w:r>
            <w:r>
              <w:rPr>
                <w:rFonts w:ascii="Arial" w:cs="Arial" w:eastAsia="Arial" w:hAnsi="Arial"/>
                <w:sz w:val="18"/>
                <w:szCs w:val="18"/>
                <w:color w:val="auto"/>
                <w:w w:val="92"/>
              </w:rPr>
              <w:t>–</w:t>
            </w:r>
            <w:r>
              <w:rPr>
                <w:rFonts w:ascii="Arial" w:cs="Arial" w:eastAsia="Arial" w:hAnsi="Arial"/>
                <w:sz w:val="16"/>
                <w:szCs w:val="16"/>
                <w:color w:val="auto"/>
                <w:w w:val="92"/>
              </w:rPr>
              <w:t xml:space="preserve"> 40</w:t>
            </w:r>
          </w:p>
        </w:tc>
        <w:tc>
          <w:tcPr>
            <w:tcW w:w="28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2,504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57"/>
        </w:trPr>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 xml:space="preserve">2 </w:t>
            </w:r>
            <w:r>
              <w:rPr>
                <w:rFonts w:ascii="Arial" w:cs="Arial" w:eastAsia="Arial" w:hAnsi="Arial"/>
                <w:sz w:val="18"/>
                <w:szCs w:val="18"/>
                <w:color w:val="auto"/>
                <w:w w:val="92"/>
              </w:rPr>
              <w:t>–</w:t>
            </w:r>
            <w:r>
              <w:rPr>
                <w:rFonts w:ascii="Arial" w:cs="Arial" w:eastAsia="Arial" w:hAnsi="Arial"/>
                <w:sz w:val="16"/>
                <w:szCs w:val="16"/>
                <w:color w:val="auto"/>
                <w:w w:val="92"/>
              </w:rPr>
              <w:t xml:space="preserve"> 10</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3,110</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5,740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5,425</w:t>
            </w: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-702310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-368300</wp:posOffset>
            </wp:positionV>
            <wp:extent cx="72466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37465</wp:posOffset>
            </wp:positionV>
            <wp:extent cx="16122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66" w:lineRule="exact"/>
        <w:rPr>
          <w:sz w:val="20"/>
          <w:szCs w:val="20"/>
          <w:color w:val="auto"/>
        </w:rPr>
      </w:pPr>
    </w:p>
    <w:tbl>
      <w:tblPr>
        <w:tblLayout w:type="fixed"/>
        <w:tblInd w:w="326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33"/>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506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506</w:t>
            </w:r>
          </w:p>
        </w:tc>
      </w:tr>
      <w:tr>
        <w:trPr>
          <w:trHeight w:val="257"/>
        </w:trPr>
        <w:tc>
          <w:tcPr>
            <w:tcW w:w="28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286</w:t>
            </w:r>
          </w:p>
        </w:tc>
      </w:tr>
      <w:tr>
        <w:trPr>
          <w:trHeight w:val="257"/>
        </w:trPr>
        <w:tc>
          <w:tcPr>
            <w:tcW w:w="28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246</w:t>
            </w:r>
          </w:p>
        </w:tc>
      </w:tr>
      <w:tr>
        <w:trPr>
          <w:trHeight w:val="257"/>
        </w:trPr>
        <w:tc>
          <w:tcPr>
            <w:tcW w:w="28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7"/>
        </w:trPr>
        <w:tc>
          <w:tcPr>
            <w:tcW w:w="28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152</w:t>
            </w:r>
          </w:p>
        </w:tc>
      </w:tr>
      <w:tr>
        <w:trPr>
          <w:trHeight w:val="33"/>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1,514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1,190</w:t>
            </w:r>
          </w:p>
        </w:tc>
      </w:tr>
      <w:tr>
        <w:trPr>
          <w:trHeight w:val="33"/>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-1028700</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-694055</wp:posOffset>
            </wp:positionV>
            <wp:extent cx="724662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-368300</wp:posOffset>
            </wp:positionV>
            <wp:extent cx="724662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37465</wp:posOffset>
            </wp:positionV>
            <wp:extent cx="16122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66" w:lineRule="exact"/>
        <w:rPr>
          <w:sz w:val="20"/>
          <w:szCs w:val="20"/>
          <w:color w:val="auto"/>
        </w:rPr>
      </w:pPr>
    </w:p>
    <w:tbl>
      <w:tblPr>
        <w:tblLayout w:type="fixed"/>
        <w:tblInd w:w="326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33"/>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60"/>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(347)</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(473)</w:t>
            </w:r>
          </w:p>
        </w:tc>
      </w:tr>
      <w:tr>
        <w:trPr>
          <w:trHeight w:val="257"/>
        </w:trPr>
        <w:tc>
          <w:tcPr>
            <w:tcW w:w="28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w:t>
            </w:r>
          </w:p>
        </w:tc>
      </w:tr>
      <w:tr>
        <w:trPr>
          <w:trHeight w:val="257"/>
        </w:trPr>
        <w:tc>
          <w:tcPr>
            <w:tcW w:w="28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(347)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(473)</w:t>
            </w:r>
          </w:p>
        </w:tc>
      </w:tr>
      <w:tr>
        <w:trPr>
          <w:trHeight w:val="33"/>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-857250</wp:posOffset>
            </wp:positionV>
            <wp:extent cx="72466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-530860</wp:posOffset>
            </wp:positionV>
            <wp:extent cx="72466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-205105</wp:posOffset>
            </wp:positionV>
            <wp:extent cx="724662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5000" w:space="620"/>
            <w:col w:w="5800"/>
          </w:cols>
          <w:pgMar w:left="240" w:top="111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in 2019, 2018 and 2017. The table below details where these transactions are recorded in our Consolidated Statements of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3160" w:type="dxa"/>
            <w:vAlign w:val="bottom"/>
            <w:gridSpan w:val="7"/>
          </w:tcPr>
          <w:p>
            <w:pPr>
              <w:jc w:val="right"/>
              <w:ind w:right="219"/>
              <w:spacing w:after="0"/>
              <w:rPr>
                <w:sz w:val="20"/>
                <w:szCs w:val="20"/>
                <w:color w:val="auto"/>
              </w:rPr>
            </w:pPr>
            <w:r>
              <w:rPr>
                <w:rFonts w:ascii="Arial" w:cs="Arial" w:eastAsia="Arial" w:hAnsi="Arial"/>
                <w:sz w:val="16"/>
                <w:szCs w:val="16"/>
                <w:b w:val="1"/>
                <w:bCs w:val="1"/>
                <w:color w:val="auto"/>
              </w:rPr>
              <w:t>For Years Ended December 31,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4"/>
              </w:rPr>
              <w:t>Impact to Related Statement of Income</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ind w:left="1260"/>
              <w:spacing w:after="0"/>
              <w:rPr>
                <w:sz w:val="20"/>
                <w:szCs w:val="20"/>
                <w:color w:val="auto"/>
              </w:rPr>
            </w:pPr>
            <w:r>
              <w:rPr>
                <w:rFonts w:ascii="Arial" w:cs="Arial" w:eastAsia="Arial" w:hAnsi="Arial"/>
                <w:sz w:val="16"/>
                <w:szCs w:val="16"/>
                <w:b w:val="1"/>
                <w:bCs w:val="1"/>
                <w:color w:val="auto"/>
              </w:rPr>
              <w:t>Lines</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actuarial losses of defined benefit plans:</w:t>
            </w:r>
          </w:p>
        </w:tc>
        <w:tc>
          <w:tcPr>
            <w:tcW w:w="7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120"/>
              <w:spacing w:after="0"/>
              <w:rPr>
                <w:sz w:val="20"/>
                <w:szCs w:val="20"/>
                <w:color w:val="auto"/>
              </w:rPr>
            </w:pPr>
            <w:r>
              <w:rPr>
                <w:rFonts w:ascii="Arial" w:cs="Arial" w:eastAsia="Arial" w:hAnsi="Arial"/>
                <w:sz w:val="16"/>
                <w:szCs w:val="16"/>
                <w:color w:val="auto"/>
              </w:rPr>
              <w:t>Recognized net actuarial loss and settlement losses (a)</w:t>
            </w:r>
          </w:p>
        </w:tc>
        <w:tc>
          <w:tcPr>
            <w:tcW w:w="740" w:type="dxa"/>
            <w:vAlign w:val="bottom"/>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51</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Tax effect</w:t>
            </w:r>
          </w:p>
        </w:tc>
        <w:tc>
          <w:tcPr>
            <w:tcW w:w="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91"/>
              </w:rPr>
              <w:t>(13)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1"/>
              </w:rPr>
              <w:t>(15)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1"/>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47"/>
        </w:trPr>
        <w:tc>
          <w:tcPr>
            <w:tcW w:w="4860" w:type="dxa"/>
            <w:vAlign w:val="bottom"/>
          </w:tcPr>
          <w:p>
            <w:pPr>
              <w:ind w:left="120"/>
              <w:spacing w:after="0"/>
              <w:rPr>
                <w:sz w:val="20"/>
                <w:szCs w:val="20"/>
                <w:color w:val="auto"/>
              </w:rPr>
            </w:pPr>
            <w:r>
              <w:rPr>
                <w:rFonts w:ascii="Arial" w:cs="Arial" w:eastAsia="Arial" w:hAnsi="Arial"/>
                <w:sz w:val="16"/>
                <w:szCs w:val="16"/>
                <w:color w:val="auto"/>
              </w:rPr>
              <w:t>Recognized within net income, net of taxes</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38</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6"/>
                <w:szCs w:val="16"/>
                <w:color w:val="auto"/>
              </w:rPr>
              <w:t>Prior service credit of defined benefit plans:</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Amortization of prior service credit (a)</w:t>
            </w: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9"/>
              </w:rPr>
              <w:t>—</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24"/>
        </w:trPr>
        <w:tc>
          <w:tcPr>
            <w:tcW w:w="4860" w:type="dxa"/>
            <w:vAlign w:val="bottom"/>
          </w:tcPr>
          <w:p>
            <w:pPr>
              <w:ind w:left="120"/>
              <w:spacing w:after="0"/>
              <w:rPr>
                <w:sz w:val="20"/>
                <w:szCs w:val="20"/>
                <w:color w:val="auto"/>
              </w:rPr>
            </w:pPr>
            <w:r>
              <w:rPr>
                <w:rFonts w:ascii="Arial" w:cs="Arial" w:eastAsia="Arial" w:hAnsi="Arial"/>
                <w:sz w:val="16"/>
                <w:szCs w:val="16"/>
                <w:color w:val="auto"/>
              </w:rPr>
              <w:t>Tax effect</w:t>
            </w:r>
          </w:p>
        </w:tc>
        <w:tc>
          <w:tcPr>
            <w:tcW w:w="740" w:type="dxa"/>
            <w:vAlign w:val="bottom"/>
          </w:tcPr>
          <w:p>
            <w:pPr>
              <w:spacing w:after="0"/>
              <w:rPr>
                <w:sz w:val="19"/>
                <w:szCs w:val="19"/>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w:t>
            </w:r>
          </w:p>
        </w:tc>
        <w:tc>
          <w:tcPr>
            <w:tcW w:w="720" w:type="dxa"/>
            <w:vAlign w:val="bottom"/>
          </w:tcPr>
          <w:p>
            <w:pPr>
              <w:spacing w:after="0"/>
              <w:rPr>
                <w:sz w:val="19"/>
                <w:szCs w:val="19"/>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4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Recognized within net income, net of taxes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48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9"/>
              </w:rPr>
              <w:t>—</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 instruments:</w:t>
            </w:r>
          </w:p>
        </w:tc>
        <w:tc>
          <w:tcPr>
            <w:tcW w:w="7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120"/>
              <w:spacing w:after="0"/>
              <w:rPr>
                <w:sz w:val="20"/>
                <w:szCs w:val="20"/>
                <w:color w:val="auto"/>
              </w:rPr>
            </w:pPr>
            <w:r>
              <w:rPr>
                <w:rFonts w:ascii="Arial" w:cs="Arial" w:eastAsia="Arial" w:hAnsi="Arial"/>
                <w:sz w:val="16"/>
                <w:szCs w:val="16"/>
                <w:color w:val="auto"/>
              </w:rPr>
              <w:t>Amortization of treasury-rate locks</w:t>
            </w:r>
          </w:p>
        </w:tc>
        <w:tc>
          <w:tcPr>
            <w:tcW w:w="740" w:type="dxa"/>
            <w:vAlign w:val="bottom"/>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4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Increase to interest and debt expense</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Tax effect</w:t>
            </w:r>
          </w:p>
        </w:tc>
        <w:tc>
          <w:tcPr>
            <w:tcW w:w="7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9"/>
              </w:rPr>
              <w:t>—</w:t>
            </w:r>
          </w:p>
        </w:tc>
        <w:tc>
          <w:tcPr>
            <w:tcW w:w="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47"/>
        </w:trPr>
        <w:tc>
          <w:tcPr>
            <w:tcW w:w="4860" w:type="dxa"/>
            <w:vAlign w:val="bottom"/>
          </w:tcPr>
          <w:p>
            <w:pPr>
              <w:ind w:left="120"/>
              <w:spacing w:after="0"/>
              <w:rPr>
                <w:sz w:val="20"/>
                <w:szCs w:val="20"/>
                <w:color w:val="auto"/>
              </w:rPr>
            </w:pPr>
            <w:r>
              <w:rPr>
                <w:rFonts w:ascii="Arial" w:cs="Arial" w:eastAsia="Arial" w:hAnsi="Arial"/>
                <w:sz w:val="16"/>
                <w:szCs w:val="16"/>
                <w:color w:val="auto"/>
              </w:rPr>
              <w:t>Recognized within net income, net of taxes</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8.</w:t>
      </w:r>
    </w:p>
    <w:p>
      <w:pPr>
        <w:spacing w:after="0" w:line="225"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Quarterly financial data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2019 Quarters</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2018 Quarters</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20"/>
        </w:trPr>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4th</w:t>
            </w:r>
          </w:p>
        </w:tc>
        <w:tc>
          <w:tcPr>
            <w:tcW w:w="220" w:type="dxa"/>
            <w:vAlign w:val="bottom"/>
          </w:tcPr>
          <w:p>
            <w:pPr>
              <w:spacing w:after="0"/>
              <w:rPr>
                <w:sz w:val="19"/>
                <w:szCs w:val="19"/>
                <w:color w:val="auto"/>
              </w:rPr>
            </w:pP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3rd</w:t>
            </w:r>
          </w:p>
        </w:tc>
        <w:tc>
          <w:tcPr>
            <w:tcW w:w="22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2nd</w:t>
            </w:r>
          </w:p>
        </w:tc>
        <w:tc>
          <w:tcPr>
            <w:tcW w:w="24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1st</w:t>
            </w:r>
          </w:p>
        </w:tc>
        <w:tc>
          <w:tcPr>
            <w:tcW w:w="22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4th</w:t>
            </w:r>
          </w:p>
        </w:tc>
        <w:tc>
          <w:tcPr>
            <w:tcW w:w="240" w:type="dxa"/>
            <w:vAlign w:val="bottom"/>
          </w:tcPr>
          <w:p>
            <w:pPr>
              <w:spacing w:after="0"/>
              <w:rPr>
                <w:sz w:val="19"/>
                <w:szCs w:val="19"/>
                <w:color w:val="auto"/>
              </w:rPr>
            </w:pP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3rd</w:t>
            </w:r>
          </w:p>
        </w:tc>
        <w:tc>
          <w:tcPr>
            <w:tcW w:w="22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2nd</w:t>
            </w:r>
          </w:p>
        </w:tc>
        <w:tc>
          <w:tcPr>
            <w:tcW w:w="240" w:type="dxa"/>
            <w:vAlign w:val="bottom"/>
          </w:tcPr>
          <w:p>
            <w:pPr>
              <w:spacing w:after="0"/>
              <w:rPr>
                <w:sz w:val="19"/>
                <w:szCs w:val="19"/>
                <w:color w:val="auto"/>
              </w:rPr>
            </w:pPr>
          </w:p>
        </w:tc>
        <w:tc>
          <w:tcPr>
            <w:tcW w:w="700" w:type="dxa"/>
            <w:vAlign w:val="bottom"/>
          </w:tcPr>
          <w:p>
            <w:pPr>
              <w:jc w:val="right"/>
              <w:ind w:right="299"/>
              <w:spacing w:after="0"/>
              <w:rPr>
                <w:sz w:val="20"/>
                <w:szCs w:val="20"/>
                <w:color w:val="auto"/>
              </w:rPr>
            </w:pPr>
            <w:r>
              <w:rPr>
                <w:rFonts w:ascii="Arial" w:cs="Arial" w:eastAsia="Arial" w:hAnsi="Arial"/>
                <w:sz w:val="16"/>
                <w:szCs w:val="16"/>
                <w:b w:val="1"/>
                <w:bCs w:val="1"/>
                <w:color w:val="auto"/>
              </w:rPr>
              <w:t>1st</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3,771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3,668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3,594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3,789</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2,097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2,446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2,360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2,261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2,619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2,447</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Included in operating profit:</w:t>
            </w: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24"/>
        </w:trPr>
        <w:tc>
          <w:tcPr>
            <w:tcW w:w="3100" w:type="dxa"/>
            <w:vAlign w:val="bottom"/>
          </w:tcPr>
          <w:p>
            <w:pPr>
              <w:ind w:left="120"/>
              <w:spacing w:after="0"/>
              <w:rPr>
                <w:sz w:val="20"/>
                <w:szCs w:val="20"/>
                <w:color w:val="auto"/>
              </w:rPr>
            </w:pPr>
            <w:r>
              <w:rPr>
                <w:rFonts w:ascii="Arial" w:cs="Arial" w:eastAsia="Arial" w:hAnsi="Arial"/>
                <w:sz w:val="16"/>
                <w:szCs w:val="16"/>
                <w:color w:val="auto"/>
              </w:rPr>
              <w:t>Acquisition charges</w:t>
            </w:r>
          </w:p>
        </w:tc>
        <w:tc>
          <w:tcPr>
            <w:tcW w:w="24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80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Restructuring charges/other</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1,249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1,589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1,506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1,379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1,516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1,712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1,548</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1,366</w:t>
            </w: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1.12</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1.49</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1.36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1.26</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55" w:name="page56"/>
    <w:bookmarkEnd w:id="55"/>
    <w:p>
      <w:pPr>
        <w:ind w:left="3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audited the accompanying consolidated balance sheets of Texas Instruments Incorporated (the Company) as of December 31, 2019 and 2018, the related consolidated statements of income, comprehensive income, shareholders’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20,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Critical a</w:t>
      </w:r>
      <w:r>
        <w:rPr>
          <w:rFonts w:ascii="Arial" w:cs="Arial" w:eastAsia="Arial" w:hAnsi="Arial"/>
          <w:sz w:val="18"/>
          <w:szCs w:val="18"/>
          <w:b w:val="1"/>
          <w:bCs w:val="1"/>
          <w:color w:val="000000"/>
        </w:rPr>
        <w:t>udit</w:t>
      </w:r>
      <w:r>
        <w:rPr>
          <w:rFonts w:ascii="Arial" w:cs="Arial" w:eastAsia="Arial" w:hAnsi="Arial"/>
          <w:sz w:val="18"/>
          <w:szCs w:val="18"/>
          <w:b w:val="1"/>
          <w:bCs w:val="1"/>
          <w:color w:val="333333"/>
        </w:rPr>
        <w:t xml:space="preserve"> matter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07" w:right="35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333333"/>
        </w:rPr>
        <w:t>Uncertain tax positions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As discussed in Note 4 to the consolidated financial statements, the Company operates in the United States and multiple international tax jurisdictions, and its income tax returns are subject to examination by tax authorities in those jurisdictions who may challenge any tax position on these returns. Uncertainty in a tax position may arise because tax laws are subject to interpretation. The Company uses significant judgment to (1) determine whether, based on the technical merits, a tax position is more likely than not to be sustained and (2) measure the amount of tax benefit that qualifies for recognition. Auditing management’s estimate of the amount of tax benefit that qualifies for recognition involved auditor judgment because management’s estimate is complex, requires a high degree of judgment and is based on interpretations of tax laws and legal rulings.</w:t>
      </w:r>
    </w:p>
    <w:p>
      <w:pPr>
        <w:spacing w:after="0" w:line="176" w:lineRule="exact"/>
        <w:rPr>
          <w:sz w:val="20"/>
          <w:szCs w:val="20"/>
          <w:color w:val="auto"/>
        </w:rPr>
      </w:pPr>
    </w:p>
    <w:p>
      <w:pPr>
        <w:sectPr>
          <w:pgSz w:w="11900" w:h="16838" w:orient="portrait"/>
          <w:cols w:equalWidth="0" w:num="2">
            <w:col w:w="1840" w:space="460"/>
            <w:col w:w="9060"/>
          </w:cols>
          <w:pgMar w:left="240" w:top="1107" w:right="299" w:bottom="1440" w:gutter="0" w:footer="0" w:header="0"/>
        </w:sectPr>
      </w:pPr>
    </w:p>
    <w:p>
      <w:pPr>
        <w:spacing w:after="0" w:line="14" w:lineRule="exact"/>
        <w:rPr>
          <w:sz w:val="20"/>
          <w:szCs w:val="20"/>
          <w:color w:val="auto"/>
        </w:rPr>
      </w:pPr>
    </w:p>
    <w:p>
      <w:pPr>
        <w:ind w:left="20"/>
        <w:spacing w:after="0" w:line="277" w:lineRule="auto"/>
        <w:rPr>
          <w:sz w:val="20"/>
          <w:szCs w:val="20"/>
          <w:color w:val="auto"/>
        </w:rPr>
      </w:pPr>
      <w:r>
        <w:rPr>
          <w:rFonts w:ascii="Arial" w:cs="Arial" w:eastAsia="Arial" w:hAnsi="Arial"/>
          <w:sz w:val="18"/>
          <w:szCs w:val="18"/>
          <w:i w:val="1"/>
          <w:iCs w:val="1"/>
          <w:color w:val="333333"/>
        </w:rPr>
        <w:t>How we addressed the matter in our audit</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accounting process for uncertain tax positions. For example, this included controls over the Company’s assessment of the technical merits of tax positions and management’s process to measure the benefit of those tax positions. Among other procedures performed, we involved our tax professionals to assess the technical merits of the Company’s tax positions. This included assessing the Company’s correspondence with the relevant tax authorities and evaluating income tax opinions or other third-party advice obtained by the Company. We also evaluated the appropriateness of the Company’s accounting for its tax positions taking into consideration relevant international and local income tax laws and legal rulings. We analyzed the Company’s assumptions and data used to determine the amount of tax benefit to recognize and tested the accuracy of the calculations. We also evaluated the adequacy of the Company’s financial statement disclosures in Note 4 to the consolidated financial statements related to these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106680</wp:posOffset>
            </wp:positionV>
            <wp:extent cx="1629410" cy="4286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941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140"/>
            <w:col w:w="9060"/>
          </w:cols>
          <w:pgMar w:left="240" w:top="1107"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07" w:right="29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w:t>
      </w:r>
      <w:r>
        <w:rPr>
          <w:rFonts w:ascii="Arial" w:cs="Arial" w:eastAsia="Arial" w:hAnsi="Arial"/>
          <w:sz w:val="18"/>
          <w:szCs w:val="18"/>
          <w:u w:val="single" w:color="auto"/>
          <w:color w:val="auto"/>
        </w:rPr>
        <w:t>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225" w:lineRule="exact"/>
        <w:rPr>
          <w:sz w:val="20"/>
          <w:szCs w:val="20"/>
          <w:color w:val="auto"/>
        </w:rPr>
      </w:pPr>
    </w:p>
    <w:p>
      <w:pPr>
        <w:jc w:val="both"/>
        <w:ind w:right="360"/>
        <w:spacing w:after="0" w:line="276" w:lineRule="auto"/>
        <w:rPr>
          <w:sz w:val="20"/>
          <w:szCs w:val="20"/>
          <w:color w:val="auto"/>
        </w:rPr>
      </w:pPr>
      <w:r>
        <w:rPr>
          <w:rFonts w:ascii="Arial" w:cs="Arial" w:eastAsia="Arial" w:hAnsi="Arial"/>
          <w:sz w:val="17"/>
          <w:szCs w:val="17"/>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2019 that has materially affected, or is reasonably likely to materially affect, our internal control over financial reporting.</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2019. In making this assessment, we used the criteria set forth by the Committee of Sponsoring Organizations of the Treadway Commission (2013 framework) (the COSO criteria) in Internal Control − Integrated Framework. Based on our assessment, we believe that, as of December 31, 2019, our internal control over financial reporting is effective based on the COSO criteria.</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07"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Report of independent registered public accounting firm on internal control over financial reporting</w:t>
      </w:r>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audited Texas Instruments Incorporated’s internal control over financial reporting as of December 31, 2019, based on criteria established in Internal Control—Integrated Framework issued by the Committee of Sponsoring Organizations of the Treadway Commission (2013 framework) (the COSO criteria). In our opinion, Texas Instruments Incorporated (the Company) maintained, in all material respects, effective internal control over financial reporting as of December 31, 2019, based on the COSO criteria.</w:t>
      </w:r>
    </w:p>
    <w:p>
      <w:pPr>
        <w:spacing w:after="0" w:line="18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income, comprehensive income, shareholders’ equity and cash flows for each of the three years in the period ended December 31, 2019, and the related notes, and our report dated February 20,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21590</wp:posOffset>
            </wp:positionV>
            <wp:extent cx="1629410" cy="4286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294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information with respect to directors’ names, ages, positions, term of office, periods of service and business experience, which is contained under the caption “Election of directors” in our proxy statement for the 2020 annual meeting of stockholders, is incorporated herein by reference to such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have adopted the Code of Ethics for TI Chief Executive Officer and Senior Finance Officers. A copy of the Code can be found on our website at www.ti.com/corporategovernance. We intend to satisfy the disclosure requirements of the SEC regarding amendments to, or waivers from, the Code by posting such information on the same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2020 annual meeting of stockholders is incorporated herein by reference to such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2020 annual meeting of stockholders is incorporated herein by reference to such proxy statement, provided that the Compensation Committee report shall not be deemed filed with this Form 10-K.</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2020 annual meeting of stockholders is incorporated herein by reference to such proxy statement.</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07"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2019.</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Number of Securities</w:t>
            </w:r>
          </w:p>
        </w:tc>
      </w:tr>
      <w:tr>
        <w:trPr>
          <w:trHeight w:val="203"/>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Remaining Available for</w:t>
            </w:r>
          </w:p>
        </w:tc>
      </w:tr>
      <w:tr>
        <w:trPr>
          <w:trHeight w:val="203"/>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Number of Securities to be</w:t>
            </w:r>
          </w:p>
        </w:tc>
        <w:tc>
          <w:tcPr>
            <w:tcW w:w="100" w:type="dxa"/>
            <w:vAlign w:val="bottom"/>
          </w:tcPr>
          <w:p>
            <w:pPr>
              <w:spacing w:after="0"/>
              <w:rPr>
                <w:sz w:val="17"/>
                <w:szCs w:val="17"/>
                <w:color w:val="auto"/>
              </w:rPr>
            </w:pPr>
          </w:p>
        </w:tc>
        <w:tc>
          <w:tcPr>
            <w:tcW w:w="1500" w:type="dxa"/>
            <w:vAlign w:val="bottom"/>
          </w:tcPr>
          <w:p>
            <w:pPr>
              <w:jc w:val="center"/>
              <w:ind w:left="139"/>
              <w:spacing w:after="0"/>
              <w:rPr>
                <w:sz w:val="20"/>
                <w:szCs w:val="20"/>
                <w:color w:val="auto"/>
              </w:rPr>
            </w:pPr>
            <w:r>
              <w:rPr>
                <w:rFonts w:ascii="Arial" w:cs="Arial" w:eastAsia="Arial" w:hAnsi="Arial"/>
                <w:sz w:val="16"/>
                <w:szCs w:val="16"/>
                <w:b w:val="1"/>
                <w:bCs w:val="1"/>
                <w:color w:val="auto"/>
                <w:w w:val="91"/>
              </w:rPr>
              <w:t>Weighted-Average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Future Issuance under</w:t>
            </w:r>
          </w:p>
        </w:tc>
      </w:tr>
      <w:tr>
        <w:trPr>
          <w:trHeight w:val="203"/>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Issued Upon Exercise of</w:t>
            </w:r>
          </w:p>
        </w:tc>
        <w:tc>
          <w:tcPr>
            <w:tcW w:w="100" w:type="dxa"/>
            <w:vAlign w:val="bottom"/>
          </w:tcPr>
          <w:p>
            <w:pPr>
              <w:spacing w:after="0"/>
              <w:rPr>
                <w:sz w:val="17"/>
                <w:szCs w:val="17"/>
                <w:color w:val="auto"/>
              </w:rPr>
            </w:pPr>
          </w:p>
        </w:tc>
        <w:tc>
          <w:tcPr>
            <w:tcW w:w="1500" w:type="dxa"/>
            <w:vAlign w:val="bottom"/>
          </w:tcPr>
          <w:p>
            <w:pPr>
              <w:jc w:val="center"/>
              <w:ind w:left="139"/>
              <w:spacing w:after="0"/>
              <w:rPr>
                <w:sz w:val="20"/>
                <w:szCs w:val="20"/>
                <w:color w:val="auto"/>
              </w:rPr>
            </w:pPr>
            <w:r>
              <w:rPr>
                <w:rFonts w:ascii="Arial" w:cs="Arial" w:eastAsia="Arial" w:hAnsi="Arial"/>
                <w:sz w:val="16"/>
                <w:szCs w:val="16"/>
                <w:b w:val="1"/>
                <w:bCs w:val="1"/>
                <w:color w:val="auto"/>
                <w:w w:val="89"/>
              </w:rPr>
              <w:t>Exercise Price of</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Equity Compensation</w:t>
            </w:r>
          </w:p>
        </w:tc>
      </w:tr>
      <w:tr>
        <w:trPr>
          <w:trHeight w:val="203"/>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Outstanding Options,</w:t>
            </w:r>
          </w:p>
        </w:tc>
        <w:tc>
          <w:tcPr>
            <w:tcW w:w="100" w:type="dxa"/>
            <w:vAlign w:val="bottom"/>
          </w:tcPr>
          <w:p>
            <w:pPr>
              <w:spacing w:after="0"/>
              <w:rPr>
                <w:sz w:val="17"/>
                <w:szCs w:val="17"/>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Outstanding Options,</w:t>
            </w: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Plans (excluding securities</w:t>
            </w:r>
          </w:p>
        </w:tc>
      </w:tr>
      <w:tr>
        <w:trPr>
          <w:trHeight w:val="210"/>
        </w:trPr>
        <w:tc>
          <w:tcPr>
            <w:tcW w:w="5420" w:type="dxa"/>
            <w:vAlign w:val="bottom"/>
            <w:gridSpan w:val="2"/>
          </w:tcPr>
          <w:p>
            <w:pPr>
              <w:ind w:left="20"/>
              <w:spacing w:after="0"/>
              <w:rPr>
                <w:sz w:val="20"/>
                <w:szCs w:val="20"/>
                <w:color w:val="auto"/>
              </w:rPr>
            </w:pPr>
            <w:r>
              <w:rPr>
                <w:rFonts w:ascii="Arial" w:cs="Arial" w:eastAsia="Arial" w:hAnsi="Arial"/>
                <w:sz w:val="16"/>
                <w:szCs w:val="16"/>
                <w:b w:val="1"/>
                <w:bCs w:val="1"/>
                <w:color w:val="auto"/>
              </w:rPr>
              <w:t>Plan Category</w:t>
            </w:r>
          </w:p>
        </w:tc>
        <w:tc>
          <w:tcPr>
            <w:tcW w:w="2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Warrants and Rights (1)</w:t>
            </w:r>
          </w:p>
        </w:tc>
        <w:tc>
          <w:tcPr>
            <w:tcW w:w="100" w:type="dxa"/>
            <w:vAlign w:val="bottom"/>
          </w:tcPr>
          <w:p>
            <w:pPr>
              <w:spacing w:after="0"/>
              <w:rPr>
                <w:sz w:val="18"/>
                <w:szCs w:val="18"/>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Warrants and Rights (2)</w:t>
            </w: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reflected in column (1)) (3)</w:t>
            </w:r>
          </w:p>
        </w:tc>
      </w:tr>
      <w:tr>
        <w:trPr>
          <w:trHeight w:val="33"/>
        </w:trPr>
        <w:tc>
          <w:tcPr>
            <w:tcW w:w="53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0"/>
        </w:trPr>
        <w:tc>
          <w:tcPr>
            <w:tcW w:w="54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38,656,075</w:t>
            </w:r>
          </w:p>
        </w:tc>
        <w:tc>
          <w:tcPr>
            <w:tcW w:w="52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6"/>
                <w:szCs w:val="16"/>
                <w:color w:val="auto"/>
              </w:rPr>
              <w:t>(a)</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66.80</w:t>
            </w:r>
          </w:p>
        </w:tc>
        <w:tc>
          <w:tcPr>
            <w:tcW w:w="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(b)</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78,894,707</w:t>
            </w:r>
          </w:p>
        </w:tc>
        <w:tc>
          <w:tcPr>
            <w:tcW w:w="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(c)</w:t>
            </w:r>
          </w:p>
        </w:tc>
      </w:tr>
      <w:tr>
        <w:trPr>
          <w:trHeight w:val="224"/>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r>
      <w:tr>
        <w:trPr>
          <w:trHeight w:val="33"/>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24"/>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38,656,075</w:t>
            </w: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(d)</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66.80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78,894,707</w:t>
            </w:r>
          </w:p>
        </w:tc>
        <w:tc>
          <w:tcPr>
            <w:tcW w:w="420" w:type="dxa"/>
            <w:vAlign w:val="bottom"/>
            <w:shd w:val="clear" w:color="auto" w:fill="CFF0FC"/>
          </w:tcPr>
          <w:p>
            <w:pPr>
              <w:spacing w:after="0"/>
              <w:rPr>
                <w:sz w:val="19"/>
                <w:szCs w:val="19"/>
                <w:color w:val="auto"/>
              </w:rPr>
            </w:pPr>
          </w:p>
        </w:tc>
      </w:tr>
      <w:tr>
        <w:trPr>
          <w:trHeight w:val="33"/>
        </w:trPr>
        <w:tc>
          <w:tcPr>
            <w:tcW w:w="53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340" w:right="80" w:hanging="332"/>
        <w:spacing w:after="0" w:line="312" w:lineRule="auto"/>
        <w:tabs>
          <w:tab w:leader="none" w:pos="337"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shares of TI common stock to be issued under the Texas Instruments 2003 Director Compensation Plan, the Texas Instruments 2009 Long-Term Incentive Plan (the “2009 LTIP”) and predecessor stockholder-approved plans, the Texas Instruments 2009 Director Compensation Plan, the TI Employees 2014 Stock Purchase Plan (the “2014 ESPP”) and the Texas Instruments 2018 Director Compensation Plan (the “2018 Director Plan”).</w:t>
      </w:r>
    </w:p>
    <w:p>
      <w:pPr>
        <w:spacing w:after="0" w:line="38" w:lineRule="exact"/>
        <w:rPr>
          <w:rFonts w:ascii="Arial" w:cs="Arial" w:eastAsia="Arial" w:hAnsi="Arial"/>
          <w:sz w:val="16"/>
          <w:szCs w:val="16"/>
          <w:color w:val="auto"/>
        </w:rPr>
      </w:pPr>
    </w:p>
    <w:p>
      <w:pPr>
        <w:ind w:left="340" w:right="300" w:hanging="332"/>
        <w:spacing w:after="0" w:line="277" w:lineRule="auto"/>
        <w:tabs>
          <w:tab w:leader="none" w:pos="3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62" w:lineRule="exact"/>
        <w:rPr>
          <w:rFonts w:ascii="Arial" w:cs="Arial" w:eastAsia="Arial" w:hAnsi="Arial"/>
          <w:sz w:val="18"/>
          <w:szCs w:val="18"/>
          <w:color w:val="auto"/>
        </w:rPr>
      </w:pPr>
    </w:p>
    <w:p>
      <w:pPr>
        <w:ind w:left="340" w:right="40" w:hanging="332"/>
        <w:spacing w:after="0" w:line="259" w:lineRule="auto"/>
        <w:tabs>
          <w:tab w:leader="none" w:pos="3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TI common stock available for future issuance under the 2009 LTIP, the 2014 ESPP and the 2018 Director Plan. 43,155,445 shares remain available for future issuance under the 2009 LTIP and 1,926,980 shares remain available for future issuance under the 2018 Director Plan. Under the 2009 LTIP and the 2018 Director Plan, awards may be granted in the form of restricted stock units, options or other stock-based awards such as restricted stock.</w:t>
      </w:r>
    </w:p>
    <w:p>
      <w:pPr>
        <w:spacing w:after="0" w:line="78" w:lineRule="exact"/>
        <w:rPr>
          <w:rFonts w:ascii="Arial" w:cs="Arial" w:eastAsia="Arial" w:hAnsi="Arial"/>
          <w:sz w:val="18"/>
          <w:szCs w:val="18"/>
          <w:color w:val="auto"/>
        </w:rPr>
      </w:pPr>
    </w:p>
    <w:p>
      <w:pPr>
        <w:ind w:left="340" w:right="100" w:hanging="332"/>
        <w:spacing w:after="0" w:line="264" w:lineRule="auto"/>
        <w:tabs>
          <w:tab w:leader="none" w:pos="3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32,493,944 shares for issuance upon exercise of outstanding grants of options, 5,897,800 shares for issuance upon vesting of outstanding grants of restricted stock units, 173,849 shares for issuance under the 2014 ESPP and 90,482 shares for issuance in settlement of directors’ deferred compensation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The information that is contained under the captions “Security ownership of certain beneficial owners” and “Security ownership of directors and management” in our proxy statement for the 2020 annual meeting of stockholders is incorporated herein by reference to such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contained under the captions “Related person transactions” and “Director independence” in our proxy statement for the 2020 annual meeting of stockholders is incorporated herein by reference to such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in our proxy statement for the 2020 annual meeting of stockholders is incorporated herein by reference to such proxy statement.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listed in the index included in Item 8, “Financial statements and supplementary data.”</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200" w:type="dxa"/>
            <w:vAlign w:val="bottom"/>
            <w:tcBorders>
              <w:top w:val="single" w:sz="8" w:color="auto"/>
              <w:left w:val="single" w:sz="8" w:color="auto"/>
              <w:right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80" w:type="dxa"/>
            <w:vAlign w:val="bottom"/>
            <w:tcBorders>
              <w:top w:val="single" w:sz="8" w:color="auto"/>
              <w:right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spacing w:after="0"/>
              <w:rPr>
                <w:sz w:val="23"/>
                <w:szCs w:val="23"/>
                <w:color w:val="auto"/>
              </w:rPr>
            </w:pPr>
          </w:p>
        </w:tc>
        <w:tc>
          <w:tcPr>
            <w:tcW w:w="19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w w:val="94"/>
              </w:rPr>
              <w:t>Incorporated by Reference</w:t>
            </w:r>
          </w:p>
        </w:tc>
        <w:tc>
          <w:tcPr>
            <w:tcW w:w="1580" w:type="dxa"/>
            <w:vAlign w:val="bottom"/>
            <w:tcBorders>
              <w:top w:val="single" w:sz="8" w:color="auto"/>
              <w:bottom w:val="single" w:sz="8" w:color="auto"/>
              <w:right w:val="single" w:sz="8" w:color="auto"/>
            </w:tcBorders>
          </w:tcPr>
          <w:p>
            <w:pPr>
              <w:spacing w:after="0"/>
              <w:rPr>
                <w:sz w:val="23"/>
                <w:szCs w:val="23"/>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Filed or</w:t>
            </w:r>
          </w:p>
        </w:tc>
        <w:tc>
          <w:tcPr>
            <w:tcW w:w="0" w:type="dxa"/>
            <w:vAlign w:val="bottom"/>
          </w:tcPr>
          <w:p>
            <w:pPr>
              <w:spacing w:after="0"/>
              <w:rPr>
                <w:sz w:val="1"/>
                <w:szCs w:val="1"/>
                <w:color w:val="auto"/>
              </w:rPr>
            </w:pPr>
          </w:p>
        </w:tc>
      </w:tr>
      <w:tr>
        <w:trPr>
          <w:trHeight w:val="196"/>
        </w:trPr>
        <w:tc>
          <w:tcPr>
            <w:tcW w:w="1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Designation of</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Furnished</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8"/>
                <w:szCs w:val="18"/>
                <w:color w:val="auto"/>
              </w:rPr>
            </w:pPr>
          </w:p>
        </w:tc>
        <w:tc>
          <w:tcPr>
            <w:tcW w:w="4100" w:type="dxa"/>
            <w:vAlign w:val="bottom"/>
            <w:tcBorders>
              <w:right w:val="single" w:sz="8" w:color="auto"/>
            </w:tcBorders>
            <w:gridSpan w:val="27"/>
          </w:tcPr>
          <w:p>
            <w:pPr>
              <w:spacing w:after="0"/>
              <w:rPr>
                <w:sz w:val="20"/>
                <w:szCs w:val="20"/>
                <w:color w:val="auto"/>
              </w:rPr>
            </w:pPr>
            <w:r>
              <w:rPr>
                <w:rFonts w:ascii="Arial" w:cs="Arial" w:eastAsia="Arial" w:hAnsi="Arial"/>
                <w:sz w:val="16"/>
                <w:szCs w:val="16"/>
                <w:b w:val="1"/>
                <w:bCs w:val="1"/>
                <w:color w:val="auto"/>
              </w:rPr>
              <w:t>Description of Exhibit</w:t>
            </w:r>
          </w:p>
        </w:tc>
        <w:tc>
          <w:tcPr>
            <w:tcW w:w="660" w:type="dxa"/>
            <w:vAlign w:val="bottom"/>
          </w:tcPr>
          <w:p>
            <w:pPr>
              <w:ind w:left="20"/>
              <w:spacing w:after="0"/>
              <w:rPr>
                <w:sz w:val="20"/>
                <w:szCs w:val="20"/>
                <w:color w:val="auto"/>
              </w:rPr>
            </w:pPr>
            <w:r>
              <w:rPr>
                <w:rFonts w:ascii="Arial" w:cs="Arial" w:eastAsia="Arial" w:hAnsi="Arial"/>
                <w:sz w:val="16"/>
                <w:szCs w:val="16"/>
                <w:b w:val="1"/>
                <w:bCs w:val="1"/>
                <w:color w:val="auto"/>
              </w:rPr>
              <w:t>Form</w:t>
            </w:r>
          </w:p>
        </w:tc>
        <w:tc>
          <w:tcPr>
            <w:tcW w:w="920" w:type="dxa"/>
            <w:vAlign w:val="bottom"/>
          </w:tcPr>
          <w:p>
            <w:pPr>
              <w:ind w:left="20"/>
              <w:spacing w:after="0"/>
              <w:rPr>
                <w:sz w:val="20"/>
                <w:szCs w:val="20"/>
                <w:color w:val="auto"/>
              </w:rPr>
            </w:pPr>
            <w:r>
              <w:rPr>
                <w:rFonts w:ascii="Arial" w:cs="Arial" w:eastAsia="Arial" w:hAnsi="Arial"/>
                <w:sz w:val="16"/>
                <w:szCs w:val="16"/>
                <w:b w:val="1"/>
                <w:bCs w:val="1"/>
                <w:color w:val="auto"/>
                <w:w w:val="95"/>
              </w:rPr>
              <w:t>File Number</w:t>
            </w:r>
          </w:p>
        </w:tc>
        <w:tc>
          <w:tcPr>
            <w:tcW w:w="1980" w:type="dxa"/>
            <w:vAlign w:val="bottom"/>
          </w:tcPr>
          <w:p>
            <w:pPr>
              <w:ind w:left="320"/>
              <w:spacing w:after="0"/>
              <w:rPr>
                <w:sz w:val="20"/>
                <w:szCs w:val="20"/>
                <w:color w:val="auto"/>
              </w:rPr>
            </w:pPr>
            <w:r>
              <w:rPr>
                <w:rFonts w:ascii="Arial" w:cs="Arial" w:eastAsia="Arial" w:hAnsi="Arial"/>
                <w:sz w:val="16"/>
                <w:szCs w:val="16"/>
                <w:b w:val="1"/>
                <w:bCs w:val="1"/>
                <w:color w:val="auto"/>
              </w:rPr>
              <w:t>Date of Filing</w:t>
            </w: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Exhibit Number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33"/>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3(a)</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w w:val="95"/>
              </w:rPr>
            </w:pPr>
            <w:hyperlink r:id="rId118">
              <w:r>
                <w:rPr>
                  <w:rFonts w:ascii="Arial" w:cs="Arial" w:eastAsia="Arial" w:hAnsi="Arial"/>
                  <w:sz w:val="16"/>
                  <w:szCs w:val="16"/>
                  <w:color w:val="0000FF"/>
                  <w:w w:val="95"/>
                </w:rPr>
                <w:t>Restated Certificate of Incorporation of the Registrant, dated</w:t>
              </w:r>
            </w:hyperlink>
          </w:p>
        </w:tc>
        <w:tc>
          <w:tcPr>
            <w:tcW w:w="6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10-K</w:t>
            </w:r>
          </w:p>
        </w:tc>
        <w:tc>
          <w:tcPr>
            <w:tcW w:w="9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shd w:val="clear" w:color="auto" w:fill="CCEEFF"/>
          </w:tcPr>
          <w:p>
            <w:pPr>
              <w:ind w:left="320"/>
              <w:spacing w:after="0" w:line="155" w:lineRule="exact"/>
              <w:rPr>
                <w:sz w:val="20"/>
                <w:szCs w:val="20"/>
                <w:color w:val="auto"/>
              </w:rPr>
            </w:pPr>
            <w:r>
              <w:rPr>
                <w:rFonts w:ascii="Arial" w:cs="Arial" w:eastAsia="Arial" w:hAnsi="Arial"/>
                <w:sz w:val="16"/>
                <w:szCs w:val="16"/>
                <w:color w:val="auto"/>
              </w:rPr>
              <w:t>February 24, 2015</w:t>
            </w:r>
          </w:p>
        </w:tc>
        <w:tc>
          <w:tcPr>
            <w:tcW w:w="1580" w:type="dxa"/>
            <w:vAlign w:val="bottom"/>
            <w:tcBorders>
              <w:right w:val="single" w:sz="8" w:color="auto"/>
            </w:tcBorders>
            <w:shd w:val="clear" w:color="auto" w:fill="CCEEFF"/>
          </w:tcPr>
          <w:p>
            <w:pPr>
              <w:ind w:left="60"/>
              <w:spacing w:after="0" w:line="155" w:lineRule="exact"/>
              <w:rPr>
                <w:sz w:val="20"/>
                <w:szCs w:val="20"/>
                <w:color w:val="auto"/>
              </w:rPr>
            </w:pPr>
            <w:r>
              <w:rPr>
                <w:rFonts w:ascii="Arial" w:cs="Arial" w:eastAsia="Arial" w:hAnsi="Arial"/>
                <w:sz w:val="16"/>
                <w:szCs w:val="16"/>
                <w:color w:val="auto"/>
              </w:rPr>
              <w:t>3(a)</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3920" w:type="dxa"/>
            <w:vAlign w:val="bottom"/>
            <w:tcBorders>
              <w:top w:val="single" w:sz="8" w:color="0000FF"/>
              <w:bottom w:val="single" w:sz="8" w:color="auto"/>
            </w:tcBorders>
            <w:gridSpan w:val="26"/>
            <w:shd w:val="clear" w:color="auto" w:fill="CCEEFF"/>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April 18, 1985, as amended</w:t>
              </w:r>
            </w:hyperlink>
          </w:p>
        </w:tc>
        <w:tc>
          <w:tcPr>
            <w:tcW w:w="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660" w:type="dxa"/>
            <w:vAlign w:val="bottom"/>
            <w:tcBorders>
              <w:top w:val="single" w:sz="8" w:color="CCEEFF"/>
              <w:bottom w:val="single" w:sz="8" w:color="auto"/>
            </w:tcBorders>
            <w:shd w:val="clear" w:color="auto" w:fill="CCEEFF"/>
          </w:tcPr>
          <w:p>
            <w:pPr>
              <w:spacing w:after="0"/>
              <w:rPr>
                <w:sz w:val="15"/>
                <w:szCs w:val="15"/>
                <w:color w:val="auto"/>
              </w:rPr>
            </w:pPr>
          </w:p>
        </w:tc>
        <w:tc>
          <w:tcPr>
            <w:tcW w:w="920" w:type="dxa"/>
            <w:vAlign w:val="bottom"/>
            <w:tcBorders>
              <w:top w:val="single" w:sz="8" w:color="CCEEFF"/>
              <w:bottom w:val="single" w:sz="8" w:color="auto"/>
            </w:tcBorders>
            <w:shd w:val="clear" w:color="auto" w:fill="CCEEFF"/>
          </w:tcPr>
          <w:p>
            <w:pPr>
              <w:spacing w:after="0"/>
              <w:rPr>
                <w:sz w:val="15"/>
                <w:szCs w:val="15"/>
                <w:color w:val="auto"/>
              </w:rPr>
            </w:pPr>
          </w:p>
        </w:tc>
        <w:tc>
          <w:tcPr>
            <w:tcW w:w="1980" w:type="dxa"/>
            <w:vAlign w:val="bottom"/>
            <w:tcBorders>
              <w:top w:val="single" w:sz="8" w:color="CCEEFF"/>
              <w:bottom w:val="single" w:sz="8" w:color="auto"/>
            </w:tcBorders>
            <w:shd w:val="clear" w:color="auto" w:fill="CCEEFF"/>
          </w:tcPr>
          <w:p>
            <w:pPr>
              <w:spacing w:after="0"/>
              <w:rPr>
                <w:sz w:val="15"/>
                <w:szCs w:val="1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b w:val="1"/>
                <w:bCs w:val="1"/>
                <w:color w:val="auto"/>
              </w:rPr>
              <w:t>3(b)</w:t>
            </w:r>
          </w:p>
        </w:tc>
        <w:tc>
          <w:tcPr>
            <w:tcW w:w="20" w:type="dxa"/>
            <w:vAlign w:val="bottom"/>
          </w:tcPr>
          <w:p>
            <w:pPr>
              <w:spacing w:after="0"/>
              <w:rPr>
                <w:sz w:val="14"/>
                <w:szCs w:val="14"/>
                <w:color w:val="auto"/>
              </w:rPr>
            </w:pPr>
          </w:p>
        </w:tc>
        <w:tc>
          <w:tcPr>
            <w:tcW w:w="4100" w:type="dxa"/>
            <w:vAlign w:val="bottom"/>
            <w:tcBorders>
              <w:right w:val="single" w:sz="8" w:color="auto"/>
            </w:tcBorders>
            <w:gridSpan w:val="27"/>
          </w:tcPr>
          <w:p>
            <w:pPr>
              <w:spacing w:after="0" w:line="155" w:lineRule="exact"/>
              <w:rPr>
                <w:rFonts w:ascii="Arial" w:cs="Arial" w:eastAsia="Arial" w:hAnsi="Arial"/>
                <w:sz w:val="16"/>
                <w:szCs w:val="16"/>
                <w:color w:val="0000FF"/>
              </w:rPr>
            </w:pPr>
            <w:hyperlink r:id="rId119">
              <w:r>
                <w:rPr>
                  <w:rFonts w:ascii="Arial" w:cs="Arial" w:eastAsia="Arial" w:hAnsi="Arial"/>
                  <w:sz w:val="16"/>
                  <w:szCs w:val="16"/>
                  <w:color w:val="0000FF"/>
                </w:rPr>
                <w:t>By-Laws of the Registrant</w:t>
              </w:r>
            </w:hyperlink>
          </w:p>
        </w:tc>
        <w:tc>
          <w:tcPr>
            <w:tcW w:w="660" w:type="dxa"/>
            <w:vAlign w:val="bottom"/>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tcPr>
          <w:p>
            <w:pPr>
              <w:ind w:left="320"/>
              <w:spacing w:after="0" w:line="155" w:lineRule="exact"/>
              <w:rPr>
                <w:sz w:val="20"/>
                <w:szCs w:val="20"/>
                <w:color w:val="auto"/>
              </w:rPr>
            </w:pPr>
            <w:r>
              <w:rPr>
                <w:rFonts w:ascii="Arial" w:cs="Arial" w:eastAsia="Arial" w:hAnsi="Arial"/>
                <w:sz w:val="16"/>
                <w:szCs w:val="16"/>
                <w:color w:val="auto"/>
              </w:rPr>
              <w:t>December 12, 2016</w:t>
            </w:r>
          </w:p>
        </w:tc>
        <w:tc>
          <w:tcPr>
            <w:tcW w:w="15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3</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4(a)</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rPr>
            </w:pPr>
            <w:hyperlink r:id="rId120">
              <w:r>
                <w:rPr>
                  <w:rFonts w:ascii="Arial" w:cs="Arial" w:eastAsia="Arial" w:hAnsi="Arial"/>
                  <w:sz w:val="16"/>
                  <w:szCs w:val="16"/>
                  <w:color w:val="0000FF"/>
                </w:rPr>
                <w:t>Indenture</w:t>
              </w:r>
            </w:hyperlink>
          </w:p>
        </w:tc>
        <w:tc>
          <w:tcPr>
            <w:tcW w:w="6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shd w:val="clear" w:color="auto" w:fill="CCEEFF"/>
          </w:tcPr>
          <w:p>
            <w:pPr>
              <w:ind w:left="320"/>
              <w:spacing w:after="0" w:line="155" w:lineRule="exact"/>
              <w:rPr>
                <w:sz w:val="20"/>
                <w:szCs w:val="20"/>
                <w:color w:val="auto"/>
              </w:rPr>
            </w:pPr>
            <w:r>
              <w:rPr>
                <w:rFonts w:ascii="Arial" w:cs="Arial" w:eastAsia="Arial" w:hAnsi="Arial"/>
                <w:sz w:val="16"/>
                <w:szCs w:val="16"/>
                <w:color w:val="auto"/>
              </w:rPr>
              <w:t>May 23, 2011</w:t>
            </w:r>
          </w:p>
        </w:tc>
        <w:tc>
          <w:tcPr>
            <w:tcW w:w="1580" w:type="dxa"/>
            <w:vAlign w:val="bottom"/>
            <w:tcBorders>
              <w:right w:val="single" w:sz="8" w:color="auto"/>
            </w:tcBorders>
            <w:shd w:val="clear" w:color="auto" w:fill="CCEEFF"/>
          </w:tcPr>
          <w:p>
            <w:pPr>
              <w:ind w:left="60"/>
              <w:spacing w:after="0" w:line="155" w:lineRule="exact"/>
              <w:rPr>
                <w:sz w:val="20"/>
                <w:szCs w:val="20"/>
                <w:color w:val="auto"/>
              </w:rPr>
            </w:pPr>
            <w:r>
              <w:rPr>
                <w:rFonts w:ascii="Arial" w:cs="Arial" w:eastAsia="Arial" w:hAnsi="Arial"/>
                <w:sz w:val="16"/>
                <w:szCs w:val="16"/>
                <w:color w:val="auto"/>
              </w:rPr>
              <w:t>4.2</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60" w:type="dxa"/>
            <w:vAlign w:val="bottom"/>
            <w:tcBorders>
              <w:top w:val="single" w:sz="8" w:color="0000FF"/>
              <w:bottom w:val="single" w:sz="8" w:color="auto"/>
            </w:tcBorders>
            <w:shd w:val="clear" w:color="auto" w:fill="CCEEFF"/>
          </w:tcPr>
          <w:p>
            <w:pPr>
              <w:spacing w:after="0"/>
              <w:rPr>
                <w:sz w:val="5"/>
                <w:szCs w:val="5"/>
                <w:color w:val="auto"/>
              </w:rPr>
            </w:pPr>
          </w:p>
        </w:tc>
        <w:tc>
          <w:tcPr>
            <w:tcW w:w="16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CCEEFF"/>
              <w:bottom w:val="single" w:sz="8" w:color="auto"/>
            </w:tcBorders>
            <w:shd w:val="clear" w:color="auto" w:fill="CCEEFF"/>
          </w:tcPr>
          <w:p>
            <w:pPr>
              <w:spacing w:after="0"/>
              <w:rPr>
                <w:sz w:val="5"/>
                <w:szCs w:val="5"/>
                <w:color w:val="auto"/>
              </w:rPr>
            </w:pPr>
          </w:p>
        </w:tc>
        <w:tc>
          <w:tcPr>
            <w:tcW w:w="28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20" w:type="dxa"/>
            <w:vAlign w:val="bottom"/>
            <w:tcBorders>
              <w:top w:val="single" w:sz="8" w:color="CCEEFF"/>
              <w:bottom w:val="single" w:sz="8" w:color="auto"/>
            </w:tcBorders>
            <w:shd w:val="clear" w:color="auto" w:fill="CCEEFF"/>
          </w:tcPr>
          <w:p>
            <w:pPr>
              <w:spacing w:after="0"/>
              <w:rPr>
                <w:sz w:val="5"/>
                <w:szCs w:val="5"/>
                <w:color w:val="auto"/>
              </w:rPr>
            </w:pPr>
          </w:p>
        </w:tc>
        <w:tc>
          <w:tcPr>
            <w:tcW w:w="6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00" w:type="dxa"/>
            <w:vAlign w:val="bottom"/>
            <w:tcBorders>
              <w:top w:val="single" w:sz="8" w:color="CCEEFF"/>
              <w:bottom w:val="single" w:sz="8" w:color="auto"/>
            </w:tcBorders>
            <w:shd w:val="clear" w:color="auto" w:fill="CCEEFF"/>
          </w:tcPr>
          <w:p>
            <w:pPr>
              <w:spacing w:after="0"/>
              <w:rPr>
                <w:sz w:val="5"/>
                <w:szCs w:val="5"/>
                <w:color w:val="auto"/>
              </w:rPr>
            </w:pPr>
          </w:p>
        </w:tc>
        <w:tc>
          <w:tcPr>
            <w:tcW w:w="440" w:type="dxa"/>
            <w:vAlign w:val="bottom"/>
            <w:tcBorders>
              <w:top w:val="single" w:sz="8" w:color="CCEEFF"/>
              <w:bottom w:val="single" w:sz="8" w:color="auto"/>
            </w:tcBorders>
            <w:shd w:val="clear" w:color="auto" w:fill="CCEEFF"/>
          </w:tcPr>
          <w:p>
            <w:pPr>
              <w:spacing w:after="0"/>
              <w:rPr>
                <w:sz w:val="5"/>
                <w:szCs w:val="5"/>
                <w:color w:val="auto"/>
              </w:rPr>
            </w:pPr>
          </w:p>
        </w:tc>
        <w:tc>
          <w:tcPr>
            <w:tcW w:w="620" w:type="dxa"/>
            <w:vAlign w:val="bottom"/>
            <w:tcBorders>
              <w:top w:val="single" w:sz="8" w:color="CCEEFF"/>
              <w:bottom w:val="single" w:sz="8" w:color="auto"/>
            </w:tcBorders>
            <w:shd w:val="clear" w:color="auto" w:fill="CCEEFF"/>
          </w:tcPr>
          <w:p>
            <w:pPr>
              <w:spacing w:after="0"/>
              <w:rPr>
                <w:sz w:val="5"/>
                <w:szCs w:val="5"/>
                <w:color w:val="auto"/>
              </w:rPr>
            </w:pPr>
          </w:p>
        </w:tc>
        <w:tc>
          <w:tcPr>
            <w:tcW w:w="40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660" w:type="dxa"/>
            <w:vAlign w:val="bottom"/>
            <w:tcBorders>
              <w:top w:val="single" w:sz="8" w:color="CCEEFF"/>
              <w:bottom w:val="single" w:sz="8" w:color="auto"/>
            </w:tcBorders>
            <w:shd w:val="clear" w:color="auto" w:fill="CCEEFF"/>
          </w:tcPr>
          <w:p>
            <w:pPr>
              <w:spacing w:after="0"/>
              <w:rPr>
                <w:sz w:val="5"/>
                <w:szCs w:val="5"/>
                <w:color w:val="auto"/>
              </w:rPr>
            </w:pPr>
          </w:p>
        </w:tc>
        <w:tc>
          <w:tcPr>
            <w:tcW w:w="920" w:type="dxa"/>
            <w:vAlign w:val="bottom"/>
            <w:tcBorders>
              <w:top w:val="single" w:sz="8" w:color="CCEEFF"/>
              <w:bottom w:val="single" w:sz="8" w:color="auto"/>
            </w:tcBorders>
            <w:shd w:val="clear" w:color="auto" w:fill="CCEEFF"/>
          </w:tcPr>
          <w:p>
            <w:pPr>
              <w:spacing w:after="0"/>
              <w:rPr>
                <w:sz w:val="5"/>
                <w:szCs w:val="5"/>
                <w:color w:val="auto"/>
              </w:rPr>
            </w:pPr>
          </w:p>
        </w:tc>
        <w:tc>
          <w:tcPr>
            <w:tcW w:w="1980" w:type="dxa"/>
            <w:vAlign w:val="bottom"/>
            <w:tcBorders>
              <w:top w:val="single" w:sz="8" w:color="CCEEFF"/>
              <w:bottom w:val="single" w:sz="8" w:color="auto"/>
            </w:tcBorders>
            <w:shd w:val="clear" w:color="auto" w:fill="CCEEFF"/>
          </w:tcPr>
          <w:p>
            <w:pPr>
              <w:spacing w:after="0"/>
              <w:rPr>
                <w:sz w:val="5"/>
                <w:szCs w:val="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b w:val="1"/>
                <w:bCs w:val="1"/>
                <w:color w:val="auto"/>
              </w:rPr>
              <w:t>4(b)</w:t>
            </w:r>
          </w:p>
        </w:tc>
        <w:tc>
          <w:tcPr>
            <w:tcW w:w="20" w:type="dxa"/>
            <w:vAlign w:val="bottom"/>
          </w:tcPr>
          <w:p>
            <w:pPr>
              <w:spacing w:after="0"/>
              <w:rPr>
                <w:sz w:val="14"/>
                <w:szCs w:val="14"/>
                <w:color w:val="auto"/>
              </w:rPr>
            </w:pPr>
          </w:p>
        </w:tc>
        <w:tc>
          <w:tcPr>
            <w:tcW w:w="4100" w:type="dxa"/>
            <w:vAlign w:val="bottom"/>
            <w:tcBorders>
              <w:right w:val="single" w:sz="8" w:color="auto"/>
            </w:tcBorders>
            <w:gridSpan w:val="27"/>
          </w:tcPr>
          <w:p>
            <w:pPr>
              <w:spacing w:after="0" w:line="155" w:lineRule="exact"/>
              <w:rPr>
                <w:rFonts w:ascii="Arial" w:cs="Arial" w:eastAsia="Arial" w:hAnsi="Arial"/>
                <w:sz w:val="16"/>
                <w:szCs w:val="16"/>
                <w:color w:val="0000FF"/>
              </w:rPr>
            </w:pPr>
            <w:hyperlink r:id="rId121">
              <w:r>
                <w:rPr>
                  <w:rFonts w:ascii="Arial" w:cs="Arial" w:eastAsia="Arial" w:hAnsi="Arial"/>
                  <w:sz w:val="16"/>
                  <w:szCs w:val="16"/>
                  <w:color w:val="0000FF"/>
                </w:rPr>
                <w:t>Officer’s Certificate</w:t>
              </w:r>
            </w:hyperlink>
          </w:p>
        </w:tc>
        <w:tc>
          <w:tcPr>
            <w:tcW w:w="660" w:type="dxa"/>
            <w:vAlign w:val="bottom"/>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tcPr>
          <w:p>
            <w:pPr>
              <w:ind w:left="320"/>
              <w:spacing w:after="0" w:line="155" w:lineRule="exact"/>
              <w:rPr>
                <w:sz w:val="20"/>
                <w:szCs w:val="20"/>
                <w:color w:val="auto"/>
              </w:rPr>
            </w:pPr>
            <w:r>
              <w:rPr>
                <w:rFonts w:ascii="Arial" w:cs="Arial" w:eastAsia="Arial" w:hAnsi="Arial"/>
                <w:sz w:val="16"/>
                <w:szCs w:val="16"/>
                <w:color w:val="auto"/>
              </w:rPr>
              <w:t>May 8, 2013</w:t>
            </w:r>
          </w:p>
        </w:tc>
        <w:tc>
          <w:tcPr>
            <w:tcW w:w="15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4.2</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4(c)</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rPr>
            </w:pPr>
            <w:hyperlink r:id="rId122">
              <w:r>
                <w:rPr>
                  <w:rFonts w:ascii="Arial" w:cs="Arial" w:eastAsia="Arial" w:hAnsi="Arial"/>
                  <w:sz w:val="16"/>
                  <w:szCs w:val="16"/>
                  <w:color w:val="0000FF"/>
                </w:rPr>
                <w:t>Officer’s Certificate</w:t>
              </w:r>
            </w:hyperlink>
          </w:p>
        </w:tc>
        <w:tc>
          <w:tcPr>
            <w:tcW w:w="6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shd w:val="clear" w:color="auto" w:fill="CCEEFF"/>
          </w:tcPr>
          <w:p>
            <w:pPr>
              <w:ind w:left="320"/>
              <w:spacing w:after="0" w:line="155" w:lineRule="exact"/>
              <w:rPr>
                <w:sz w:val="20"/>
                <w:szCs w:val="20"/>
                <w:color w:val="auto"/>
              </w:rPr>
            </w:pPr>
            <w:r>
              <w:rPr>
                <w:rFonts w:ascii="Arial" w:cs="Arial" w:eastAsia="Arial" w:hAnsi="Arial"/>
                <w:sz w:val="16"/>
                <w:szCs w:val="16"/>
                <w:color w:val="auto"/>
              </w:rPr>
              <w:t>March 12, 2014</w:t>
            </w:r>
          </w:p>
        </w:tc>
        <w:tc>
          <w:tcPr>
            <w:tcW w:w="1580" w:type="dxa"/>
            <w:vAlign w:val="bottom"/>
            <w:tcBorders>
              <w:right w:val="single" w:sz="8" w:color="auto"/>
            </w:tcBorders>
            <w:shd w:val="clear" w:color="auto" w:fill="CCEEFF"/>
          </w:tcPr>
          <w:p>
            <w:pPr>
              <w:ind w:left="60"/>
              <w:spacing w:after="0" w:line="155" w:lineRule="exact"/>
              <w:rPr>
                <w:sz w:val="20"/>
                <w:szCs w:val="20"/>
                <w:color w:val="auto"/>
              </w:rPr>
            </w:pPr>
            <w:r>
              <w:rPr>
                <w:rFonts w:ascii="Arial" w:cs="Arial" w:eastAsia="Arial" w:hAnsi="Arial"/>
                <w:sz w:val="16"/>
                <w:szCs w:val="16"/>
                <w:color w:val="auto"/>
              </w:rPr>
              <w:t>4.2</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60" w:type="dxa"/>
            <w:vAlign w:val="bottom"/>
            <w:tcBorders>
              <w:top w:val="single" w:sz="8" w:color="0000FF"/>
              <w:bottom w:val="single" w:sz="8" w:color="auto"/>
            </w:tcBorders>
            <w:shd w:val="clear" w:color="auto" w:fill="CCEEFF"/>
          </w:tcPr>
          <w:p>
            <w:pPr>
              <w:spacing w:after="0"/>
              <w:rPr>
                <w:sz w:val="5"/>
                <w:szCs w:val="5"/>
                <w:color w:val="auto"/>
              </w:rPr>
            </w:pPr>
          </w:p>
        </w:tc>
        <w:tc>
          <w:tcPr>
            <w:tcW w:w="16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0000FF"/>
              <w:bottom w:val="single" w:sz="8" w:color="auto"/>
            </w:tcBorders>
            <w:shd w:val="clear" w:color="auto" w:fill="CCEEFF"/>
          </w:tcPr>
          <w:p>
            <w:pPr>
              <w:spacing w:after="0"/>
              <w:rPr>
                <w:sz w:val="5"/>
                <w:szCs w:val="5"/>
                <w:color w:val="auto"/>
              </w:rPr>
            </w:pPr>
          </w:p>
        </w:tc>
        <w:tc>
          <w:tcPr>
            <w:tcW w:w="280" w:type="dxa"/>
            <w:vAlign w:val="bottom"/>
            <w:tcBorders>
              <w:top w:val="single" w:sz="8" w:color="0000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20" w:type="dxa"/>
            <w:vAlign w:val="bottom"/>
            <w:tcBorders>
              <w:top w:val="single" w:sz="8" w:color="CCEEFF"/>
              <w:bottom w:val="single" w:sz="8" w:color="auto"/>
            </w:tcBorders>
            <w:shd w:val="clear" w:color="auto" w:fill="CCEEFF"/>
          </w:tcPr>
          <w:p>
            <w:pPr>
              <w:spacing w:after="0"/>
              <w:rPr>
                <w:sz w:val="5"/>
                <w:szCs w:val="5"/>
                <w:color w:val="auto"/>
              </w:rPr>
            </w:pPr>
          </w:p>
        </w:tc>
        <w:tc>
          <w:tcPr>
            <w:tcW w:w="6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00" w:type="dxa"/>
            <w:vAlign w:val="bottom"/>
            <w:tcBorders>
              <w:top w:val="single" w:sz="8" w:color="CCEEFF"/>
              <w:bottom w:val="single" w:sz="8" w:color="auto"/>
            </w:tcBorders>
            <w:shd w:val="clear" w:color="auto" w:fill="CCEEFF"/>
          </w:tcPr>
          <w:p>
            <w:pPr>
              <w:spacing w:after="0"/>
              <w:rPr>
                <w:sz w:val="5"/>
                <w:szCs w:val="5"/>
                <w:color w:val="auto"/>
              </w:rPr>
            </w:pPr>
          </w:p>
        </w:tc>
        <w:tc>
          <w:tcPr>
            <w:tcW w:w="440" w:type="dxa"/>
            <w:vAlign w:val="bottom"/>
            <w:tcBorders>
              <w:top w:val="single" w:sz="8" w:color="CCEEFF"/>
              <w:bottom w:val="single" w:sz="8" w:color="auto"/>
            </w:tcBorders>
            <w:shd w:val="clear" w:color="auto" w:fill="CCEEFF"/>
          </w:tcPr>
          <w:p>
            <w:pPr>
              <w:spacing w:after="0"/>
              <w:rPr>
                <w:sz w:val="5"/>
                <w:szCs w:val="5"/>
                <w:color w:val="auto"/>
              </w:rPr>
            </w:pPr>
          </w:p>
        </w:tc>
        <w:tc>
          <w:tcPr>
            <w:tcW w:w="620" w:type="dxa"/>
            <w:vAlign w:val="bottom"/>
            <w:tcBorders>
              <w:top w:val="single" w:sz="8" w:color="CCEEFF"/>
              <w:bottom w:val="single" w:sz="8" w:color="auto"/>
            </w:tcBorders>
            <w:shd w:val="clear" w:color="auto" w:fill="CCEEFF"/>
          </w:tcPr>
          <w:p>
            <w:pPr>
              <w:spacing w:after="0"/>
              <w:rPr>
                <w:sz w:val="5"/>
                <w:szCs w:val="5"/>
                <w:color w:val="auto"/>
              </w:rPr>
            </w:pPr>
          </w:p>
        </w:tc>
        <w:tc>
          <w:tcPr>
            <w:tcW w:w="40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660" w:type="dxa"/>
            <w:vAlign w:val="bottom"/>
            <w:tcBorders>
              <w:top w:val="single" w:sz="8" w:color="CCEEFF"/>
              <w:bottom w:val="single" w:sz="8" w:color="auto"/>
            </w:tcBorders>
            <w:shd w:val="clear" w:color="auto" w:fill="CCEEFF"/>
          </w:tcPr>
          <w:p>
            <w:pPr>
              <w:spacing w:after="0"/>
              <w:rPr>
                <w:sz w:val="5"/>
                <w:szCs w:val="5"/>
                <w:color w:val="auto"/>
              </w:rPr>
            </w:pPr>
          </w:p>
        </w:tc>
        <w:tc>
          <w:tcPr>
            <w:tcW w:w="920" w:type="dxa"/>
            <w:vAlign w:val="bottom"/>
            <w:tcBorders>
              <w:top w:val="single" w:sz="8" w:color="CCEEFF"/>
              <w:bottom w:val="single" w:sz="8" w:color="auto"/>
            </w:tcBorders>
            <w:shd w:val="clear" w:color="auto" w:fill="CCEEFF"/>
          </w:tcPr>
          <w:p>
            <w:pPr>
              <w:spacing w:after="0"/>
              <w:rPr>
                <w:sz w:val="5"/>
                <w:szCs w:val="5"/>
                <w:color w:val="auto"/>
              </w:rPr>
            </w:pPr>
          </w:p>
        </w:tc>
        <w:tc>
          <w:tcPr>
            <w:tcW w:w="1980" w:type="dxa"/>
            <w:vAlign w:val="bottom"/>
            <w:tcBorders>
              <w:top w:val="single" w:sz="8" w:color="CCEEFF"/>
              <w:bottom w:val="single" w:sz="8" w:color="auto"/>
            </w:tcBorders>
            <w:shd w:val="clear" w:color="auto" w:fill="CCEEFF"/>
          </w:tcPr>
          <w:p>
            <w:pPr>
              <w:spacing w:after="0"/>
              <w:rPr>
                <w:sz w:val="5"/>
                <w:szCs w:val="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b w:val="1"/>
                <w:bCs w:val="1"/>
                <w:color w:val="auto"/>
              </w:rPr>
              <w:t>4(d)</w:t>
            </w:r>
          </w:p>
        </w:tc>
        <w:tc>
          <w:tcPr>
            <w:tcW w:w="20" w:type="dxa"/>
            <w:vAlign w:val="bottom"/>
          </w:tcPr>
          <w:p>
            <w:pPr>
              <w:spacing w:after="0"/>
              <w:rPr>
                <w:sz w:val="14"/>
                <w:szCs w:val="14"/>
                <w:color w:val="auto"/>
              </w:rPr>
            </w:pPr>
          </w:p>
        </w:tc>
        <w:tc>
          <w:tcPr>
            <w:tcW w:w="4100" w:type="dxa"/>
            <w:vAlign w:val="bottom"/>
            <w:tcBorders>
              <w:right w:val="single" w:sz="8" w:color="auto"/>
            </w:tcBorders>
            <w:gridSpan w:val="27"/>
          </w:tcPr>
          <w:p>
            <w:pPr>
              <w:spacing w:after="0" w:line="155" w:lineRule="exact"/>
              <w:rPr>
                <w:rFonts w:ascii="Arial" w:cs="Arial" w:eastAsia="Arial" w:hAnsi="Arial"/>
                <w:sz w:val="16"/>
                <w:szCs w:val="16"/>
                <w:color w:val="0000FF"/>
              </w:rPr>
            </w:pPr>
            <w:hyperlink r:id="rId123">
              <w:r>
                <w:rPr>
                  <w:rFonts w:ascii="Arial" w:cs="Arial" w:eastAsia="Arial" w:hAnsi="Arial"/>
                  <w:sz w:val="16"/>
                  <w:szCs w:val="16"/>
                  <w:color w:val="0000FF"/>
                </w:rPr>
                <w:t>Officer’s Certificate</w:t>
              </w:r>
            </w:hyperlink>
          </w:p>
        </w:tc>
        <w:tc>
          <w:tcPr>
            <w:tcW w:w="660" w:type="dxa"/>
            <w:vAlign w:val="bottom"/>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tcPr>
          <w:p>
            <w:pPr>
              <w:ind w:left="320"/>
              <w:spacing w:after="0" w:line="155" w:lineRule="exact"/>
              <w:rPr>
                <w:sz w:val="20"/>
                <w:szCs w:val="20"/>
                <w:color w:val="auto"/>
              </w:rPr>
            </w:pPr>
            <w:r>
              <w:rPr>
                <w:rFonts w:ascii="Arial" w:cs="Arial" w:eastAsia="Arial" w:hAnsi="Arial"/>
                <w:sz w:val="16"/>
                <w:szCs w:val="16"/>
                <w:color w:val="auto"/>
              </w:rPr>
              <w:t>May 6, 2015</w:t>
            </w:r>
          </w:p>
        </w:tc>
        <w:tc>
          <w:tcPr>
            <w:tcW w:w="15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4.1</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4(e)</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rPr>
            </w:pPr>
            <w:hyperlink r:id="rId124">
              <w:r>
                <w:rPr>
                  <w:rFonts w:ascii="Arial" w:cs="Arial" w:eastAsia="Arial" w:hAnsi="Arial"/>
                  <w:sz w:val="16"/>
                  <w:szCs w:val="16"/>
                  <w:color w:val="0000FF"/>
                </w:rPr>
                <w:t>Officer’s Certificate</w:t>
              </w:r>
            </w:hyperlink>
          </w:p>
        </w:tc>
        <w:tc>
          <w:tcPr>
            <w:tcW w:w="6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shd w:val="clear" w:color="auto" w:fill="CCEEFF"/>
          </w:tcPr>
          <w:p>
            <w:pPr>
              <w:ind w:left="320"/>
              <w:spacing w:after="0" w:line="155" w:lineRule="exact"/>
              <w:rPr>
                <w:sz w:val="20"/>
                <w:szCs w:val="20"/>
                <w:color w:val="auto"/>
              </w:rPr>
            </w:pPr>
            <w:r>
              <w:rPr>
                <w:rFonts w:ascii="Arial" w:cs="Arial" w:eastAsia="Arial" w:hAnsi="Arial"/>
                <w:sz w:val="16"/>
                <w:szCs w:val="16"/>
                <w:color w:val="auto"/>
              </w:rPr>
              <w:t>May 6, 2016</w:t>
            </w:r>
          </w:p>
        </w:tc>
        <w:tc>
          <w:tcPr>
            <w:tcW w:w="1580" w:type="dxa"/>
            <w:vAlign w:val="bottom"/>
            <w:tcBorders>
              <w:right w:val="single" w:sz="8" w:color="auto"/>
            </w:tcBorders>
            <w:shd w:val="clear" w:color="auto" w:fill="CCEEFF"/>
          </w:tcPr>
          <w:p>
            <w:pPr>
              <w:ind w:left="60"/>
              <w:spacing w:after="0" w:line="155" w:lineRule="exact"/>
              <w:rPr>
                <w:sz w:val="20"/>
                <w:szCs w:val="20"/>
                <w:color w:val="auto"/>
              </w:rPr>
            </w:pPr>
            <w:r>
              <w:rPr>
                <w:rFonts w:ascii="Arial" w:cs="Arial" w:eastAsia="Arial" w:hAnsi="Arial"/>
                <w:sz w:val="16"/>
                <w:szCs w:val="16"/>
                <w:color w:val="auto"/>
              </w:rPr>
              <w:t>4.1</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60" w:type="dxa"/>
            <w:vAlign w:val="bottom"/>
            <w:tcBorders>
              <w:top w:val="single" w:sz="8" w:color="0000FF"/>
              <w:bottom w:val="single" w:sz="8" w:color="auto"/>
            </w:tcBorders>
            <w:shd w:val="clear" w:color="auto" w:fill="CCEEFF"/>
          </w:tcPr>
          <w:p>
            <w:pPr>
              <w:spacing w:after="0"/>
              <w:rPr>
                <w:sz w:val="5"/>
                <w:szCs w:val="5"/>
                <w:color w:val="auto"/>
              </w:rPr>
            </w:pPr>
          </w:p>
        </w:tc>
        <w:tc>
          <w:tcPr>
            <w:tcW w:w="16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0000FF"/>
              <w:bottom w:val="single" w:sz="8" w:color="auto"/>
            </w:tcBorders>
            <w:shd w:val="clear" w:color="auto" w:fill="CCEEFF"/>
          </w:tcPr>
          <w:p>
            <w:pPr>
              <w:spacing w:after="0"/>
              <w:rPr>
                <w:sz w:val="5"/>
                <w:szCs w:val="5"/>
                <w:color w:val="auto"/>
              </w:rPr>
            </w:pPr>
          </w:p>
        </w:tc>
        <w:tc>
          <w:tcPr>
            <w:tcW w:w="280" w:type="dxa"/>
            <w:vAlign w:val="bottom"/>
            <w:tcBorders>
              <w:top w:val="single" w:sz="8" w:color="0000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20" w:type="dxa"/>
            <w:vAlign w:val="bottom"/>
            <w:tcBorders>
              <w:top w:val="single" w:sz="8" w:color="CCEEFF"/>
              <w:bottom w:val="single" w:sz="8" w:color="auto"/>
            </w:tcBorders>
            <w:shd w:val="clear" w:color="auto" w:fill="CCEEFF"/>
          </w:tcPr>
          <w:p>
            <w:pPr>
              <w:spacing w:after="0"/>
              <w:rPr>
                <w:sz w:val="5"/>
                <w:szCs w:val="5"/>
                <w:color w:val="auto"/>
              </w:rPr>
            </w:pPr>
          </w:p>
        </w:tc>
        <w:tc>
          <w:tcPr>
            <w:tcW w:w="6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00" w:type="dxa"/>
            <w:vAlign w:val="bottom"/>
            <w:tcBorders>
              <w:top w:val="single" w:sz="8" w:color="CCEEFF"/>
              <w:bottom w:val="single" w:sz="8" w:color="auto"/>
            </w:tcBorders>
            <w:shd w:val="clear" w:color="auto" w:fill="CCEEFF"/>
          </w:tcPr>
          <w:p>
            <w:pPr>
              <w:spacing w:after="0"/>
              <w:rPr>
                <w:sz w:val="5"/>
                <w:szCs w:val="5"/>
                <w:color w:val="auto"/>
              </w:rPr>
            </w:pPr>
          </w:p>
        </w:tc>
        <w:tc>
          <w:tcPr>
            <w:tcW w:w="440" w:type="dxa"/>
            <w:vAlign w:val="bottom"/>
            <w:tcBorders>
              <w:top w:val="single" w:sz="8" w:color="CCEEFF"/>
              <w:bottom w:val="single" w:sz="8" w:color="auto"/>
            </w:tcBorders>
            <w:shd w:val="clear" w:color="auto" w:fill="CCEEFF"/>
          </w:tcPr>
          <w:p>
            <w:pPr>
              <w:spacing w:after="0"/>
              <w:rPr>
                <w:sz w:val="5"/>
                <w:szCs w:val="5"/>
                <w:color w:val="auto"/>
              </w:rPr>
            </w:pPr>
          </w:p>
        </w:tc>
        <w:tc>
          <w:tcPr>
            <w:tcW w:w="620" w:type="dxa"/>
            <w:vAlign w:val="bottom"/>
            <w:tcBorders>
              <w:top w:val="single" w:sz="8" w:color="CCEEFF"/>
              <w:bottom w:val="single" w:sz="8" w:color="auto"/>
            </w:tcBorders>
            <w:shd w:val="clear" w:color="auto" w:fill="CCEEFF"/>
          </w:tcPr>
          <w:p>
            <w:pPr>
              <w:spacing w:after="0"/>
              <w:rPr>
                <w:sz w:val="5"/>
                <w:szCs w:val="5"/>
                <w:color w:val="auto"/>
              </w:rPr>
            </w:pPr>
          </w:p>
        </w:tc>
        <w:tc>
          <w:tcPr>
            <w:tcW w:w="40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660" w:type="dxa"/>
            <w:vAlign w:val="bottom"/>
            <w:tcBorders>
              <w:top w:val="single" w:sz="8" w:color="CCEEFF"/>
              <w:bottom w:val="single" w:sz="8" w:color="auto"/>
            </w:tcBorders>
            <w:shd w:val="clear" w:color="auto" w:fill="CCEEFF"/>
          </w:tcPr>
          <w:p>
            <w:pPr>
              <w:spacing w:after="0"/>
              <w:rPr>
                <w:sz w:val="5"/>
                <w:szCs w:val="5"/>
                <w:color w:val="auto"/>
              </w:rPr>
            </w:pPr>
          </w:p>
        </w:tc>
        <w:tc>
          <w:tcPr>
            <w:tcW w:w="920" w:type="dxa"/>
            <w:vAlign w:val="bottom"/>
            <w:tcBorders>
              <w:top w:val="single" w:sz="8" w:color="CCEEFF"/>
              <w:bottom w:val="single" w:sz="8" w:color="auto"/>
            </w:tcBorders>
            <w:shd w:val="clear" w:color="auto" w:fill="CCEEFF"/>
          </w:tcPr>
          <w:p>
            <w:pPr>
              <w:spacing w:after="0"/>
              <w:rPr>
                <w:sz w:val="5"/>
                <w:szCs w:val="5"/>
                <w:color w:val="auto"/>
              </w:rPr>
            </w:pPr>
          </w:p>
        </w:tc>
        <w:tc>
          <w:tcPr>
            <w:tcW w:w="1980" w:type="dxa"/>
            <w:vAlign w:val="bottom"/>
            <w:tcBorders>
              <w:top w:val="single" w:sz="8" w:color="CCEEFF"/>
              <w:bottom w:val="single" w:sz="8" w:color="auto"/>
            </w:tcBorders>
            <w:shd w:val="clear" w:color="auto" w:fill="CCEEFF"/>
          </w:tcPr>
          <w:p>
            <w:pPr>
              <w:spacing w:after="0"/>
              <w:rPr>
                <w:sz w:val="5"/>
                <w:szCs w:val="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b w:val="1"/>
                <w:bCs w:val="1"/>
                <w:color w:val="auto"/>
              </w:rPr>
              <w:t>4(f)</w:t>
            </w:r>
          </w:p>
        </w:tc>
        <w:tc>
          <w:tcPr>
            <w:tcW w:w="20" w:type="dxa"/>
            <w:vAlign w:val="bottom"/>
          </w:tcPr>
          <w:p>
            <w:pPr>
              <w:spacing w:after="0"/>
              <w:rPr>
                <w:sz w:val="14"/>
                <w:szCs w:val="14"/>
                <w:color w:val="auto"/>
              </w:rPr>
            </w:pPr>
          </w:p>
        </w:tc>
        <w:tc>
          <w:tcPr>
            <w:tcW w:w="4100" w:type="dxa"/>
            <w:vAlign w:val="bottom"/>
            <w:tcBorders>
              <w:right w:val="single" w:sz="8" w:color="auto"/>
            </w:tcBorders>
            <w:gridSpan w:val="27"/>
          </w:tcPr>
          <w:p>
            <w:pPr>
              <w:spacing w:after="0" w:line="155" w:lineRule="exact"/>
              <w:rPr>
                <w:rFonts w:ascii="Arial" w:cs="Arial" w:eastAsia="Arial" w:hAnsi="Arial"/>
                <w:sz w:val="16"/>
                <w:szCs w:val="16"/>
                <w:color w:val="0000FF"/>
              </w:rPr>
            </w:pPr>
            <w:hyperlink r:id="rId125">
              <w:r>
                <w:rPr>
                  <w:rFonts w:ascii="Arial" w:cs="Arial" w:eastAsia="Arial" w:hAnsi="Arial"/>
                  <w:sz w:val="16"/>
                  <w:szCs w:val="16"/>
                  <w:color w:val="0000FF"/>
                </w:rPr>
                <w:t>Officer’s Certificate</w:t>
              </w:r>
            </w:hyperlink>
          </w:p>
        </w:tc>
        <w:tc>
          <w:tcPr>
            <w:tcW w:w="660" w:type="dxa"/>
            <w:vAlign w:val="bottom"/>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tcPr>
          <w:p>
            <w:pPr>
              <w:ind w:left="320"/>
              <w:spacing w:after="0" w:line="155" w:lineRule="exact"/>
              <w:rPr>
                <w:sz w:val="20"/>
                <w:szCs w:val="20"/>
                <w:color w:val="auto"/>
              </w:rPr>
            </w:pPr>
            <w:r>
              <w:rPr>
                <w:rFonts w:ascii="Arial" w:cs="Arial" w:eastAsia="Arial" w:hAnsi="Arial"/>
                <w:sz w:val="16"/>
                <w:szCs w:val="16"/>
                <w:color w:val="auto"/>
              </w:rPr>
              <w:t>May 4, 2017</w:t>
            </w:r>
          </w:p>
        </w:tc>
        <w:tc>
          <w:tcPr>
            <w:tcW w:w="15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4.1</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4(g)</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rPr>
            </w:pPr>
            <w:hyperlink r:id="rId126">
              <w:r>
                <w:rPr>
                  <w:rFonts w:ascii="Arial" w:cs="Arial" w:eastAsia="Arial" w:hAnsi="Arial"/>
                  <w:sz w:val="16"/>
                  <w:szCs w:val="16"/>
                  <w:color w:val="0000FF"/>
                </w:rPr>
                <w:t>Officer’s Certificate</w:t>
              </w:r>
            </w:hyperlink>
          </w:p>
        </w:tc>
        <w:tc>
          <w:tcPr>
            <w:tcW w:w="6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shd w:val="clear" w:color="auto" w:fill="CCEEFF"/>
          </w:tcPr>
          <w:p>
            <w:pPr>
              <w:ind w:left="320"/>
              <w:spacing w:after="0" w:line="155" w:lineRule="exact"/>
              <w:rPr>
                <w:sz w:val="20"/>
                <w:szCs w:val="20"/>
                <w:color w:val="auto"/>
              </w:rPr>
            </w:pPr>
            <w:r>
              <w:rPr>
                <w:rFonts w:ascii="Arial" w:cs="Arial" w:eastAsia="Arial" w:hAnsi="Arial"/>
                <w:sz w:val="16"/>
                <w:szCs w:val="16"/>
                <w:color w:val="auto"/>
              </w:rPr>
              <w:t>November 3, 2017</w:t>
            </w:r>
          </w:p>
        </w:tc>
        <w:tc>
          <w:tcPr>
            <w:tcW w:w="1580" w:type="dxa"/>
            <w:vAlign w:val="bottom"/>
            <w:tcBorders>
              <w:right w:val="single" w:sz="8" w:color="auto"/>
            </w:tcBorders>
            <w:shd w:val="clear" w:color="auto" w:fill="CCEEFF"/>
          </w:tcPr>
          <w:p>
            <w:pPr>
              <w:ind w:left="60"/>
              <w:spacing w:after="0" w:line="155" w:lineRule="exact"/>
              <w:rPr>
                <w:sz w:val="20"/>
                <w:szCs w:val="20"/>
                <w:color w:val="auto"/>
              </w:rPr>
            </w:pPr>
            <w:r>
              <w:rPr>
                <w:rFonts w:ascii="Arial" w:cs="Arial" w:eastAsia="Arial" w:hAnsi="Arial"/>
                <w:sz w:val="16"/>
                <w:szCs w:val="16"/>
                <w:color w:val="auto"/>
              </w:rPr>
              <w:t>4.1</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60" w:type="dxa"/>
            <w:vAlign w:val="bottom"/>
            <w:tcBorders>
              <w:top w:val="single" w:sz="8" w:color="0000FF"/>
              <w:bottom w:val="single" w:sz="8" w:color="auto"/>
            </w:tcBorders>
            <w:shd w:val="clear" w:color="auto" w:fill="CCEEFF"/>
          </w:tcPr>
          <w:p>
            <w:pPr>
              <w:spacing w:after="0"/>
              <w:rPr>
                <w:sz w:val="5"/>
                <w:szCs w:val="5"/>
                <w:color w:val="auto"/>
              </w:rPr>
            </w:pPr>
          </w:p>
        </w:tc>
        <w:tc>
          <w:tcPr>
            <w:tcW w:w="16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0000FF"/>
              <w:bottom w:val="single" w:sz="8" w:color="auto"/>
            </w:tcBorders>
            <w:shd w:val="clear" w:color="auto" w:fill="CCEEFF"/>
          </w:tcPr>
          <w:p>
            <w:pPr>
              <w:spacing w:after="0"/>
              <w:rPr>
                <w:sz w:val="5"/>
                <w:szCs w:val="5"/>
                <w:color w:val="auto"/>
              </w:rPr>
            </w:pPr>
          </w:p>
        </w:tc>
        <w:tc>
          <w:tcPr>
            <w:tcW w:w="280" w:type="dxa"/>
            <w:vAlign w:val="bottom"/>
            <w:tcBorders>
              <w:top w:val="single" w:sz="8" w:color="0000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20" w:type="dxa"/>
            <w:vAlign w:val="bottom"/>
            <w:tcBorders>
              <w:top w:val="single" w:sz="8" w:color="CCEEFF"/>
              <w:bottom w:val="single" w:sz="8" w:color="auto"/>
            </w:tcBorders>
            <w:shd w:val="clear" w:color="auto" w:fill="CCEEFF"/>
          </w:tcPr>
          <w:p>
            <w:pPr>
              <w:spacing w:after="0"/>
              <w:rPr>
                <w:sz w:val="5"/>
                <w:szCs w:val="5"/>
                <w:color w:val="auto"/>
              </w:rPr>
            </w:pPr>
          </w:p>
        </w:tc>
        <w:tc>
          <w:tcPr>
            <w:tcW w:w="6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00" w:type="dxa"/>
            <w:vAlign w:val="bottom"/>
            <w:tcBorders>
              <w:top w:val="single" w:sz="8" w:color="CCEEFF"/>
              <w:bottom w:val="single" w:sz="8" w:color="auto"/>
            </w:tcBorders>
            <w:shd w:val="clear" w:color="auto" w:fill="CCEEFF"/>
          </w:tcPr>
          <w:p>
            <w:pPr>
              <w:spacing w:after="0"/>
              <w:rPr>
                <w:sz w:val="5"/>
                <w:szCs w:val="5"/>
                <w:color w:val="auto"/>
              </w:rPr>
            </w:pPr>
          </w:p>
        </w:tc>
        <w:tc>
          <w:tcPr>
            <w:tcW w:w="440" w:type="dxa"/>
            <w:vAlign w:val="bottom"/>
            <w:tcBorders>
              <w:top w:val="single" w:sz="8" w:color="CCEEFF"/>
              <w:bottom w:val="single" w:sz="8" w:color="auto"/>
            </w:tcBorders>
            <w:shd w:val="clear" w:color="auto" w:fill="CCEEFF"/>
          </w:tcPr>
          <w:p>
            <w:pPr>
              <w:spacing w:after="0"/>
              <w:rPr>
                <w:sz w:val="5"/>
                <w:szCs w:val="5"/>
                <w:color w:val="auto"/>
              </w:rPr>
            </w:pPr>
          </w:p>
        </w:tc>
        <w:tc>
          <w:tcPr>
            <w:tcW w:w="620" w:type="dxa"/>
            <w:vAlign w:val="bottom"/>
            <w:tcBorders>
              <w:top w:val="single" w:sz="8" w:color="CCEEFF"/>
              <w:bottom w:val="single" w:sz="8" w:color="auto"/>
            </w:tcBorders>
            <w:shd w:val="clear" w:color="auto" w:fill="CCEEFF"/>
          </w:tcPr>
          <w:p>
            <w:pPr>
              <w:spacing w:after="0"/>
              <w:rPr>
                <w:sz w:val="5"/>
                <w:szCs w:val="5"/>
                <w:color w:val="auto"/>
              </w:rPr>
            </w:pPr>
          </w:p>
        </w:tc>
        <w:tc>
          <w:tcPr>
            <w:tcW w:w="40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660" w:type="dxa"/>
            <w:vAlign w:val="bottom"/>
            <w:tcBorders>
              <w:top w:val="single" w:sz="8" w:color="CCEEFF"/>
              <w:bottom w:val="single" w:sz="8" w:color="auto"/>
            </w:tcBorders>
            <w:shd w:val="clear" w:color="auto" w:fill="CCEEFF"/>
          </w:tcPr>
          <w:p>
            <w:pPr>
              <w:spacing w:after="0"/>
              <w:rPr>
                <w:sz w:val="5"/>
                <w:szCs w:val="5"/>
                <w:color w:val="auto"/>
              </w:rPr>
            </w:pPr>
          </w:p>
        </w:tc>
        <w:tc>
          <w:tcPr>
            <w:tcW w:w="920" w:type="dxa"/>
            <w:vAlign w:val="bottom"/>
            <w:tcBorders>
              <w:top w:val="single" w:sz="8" w:color="CCEEFF"/>
              <w:bottom w:val="single" w:sz="8" w:color="auto"/>
            </w:tcBorders>
            <w:shd w:val="clear" w:color="auto" w:fill="CCEEFF"/>
          </w:tcPr>
          <w:p>
            <w:pPr>
              <w:spacing w:after="0"/>
              <w:rPr>
                <w:sz w:val="5"/>
                <w:szCs w:val="5"/>
                <w:color w:val="auto"/>
              </w:rPr>
            </w:pPr>
          </w:p>
        </w:tc>
        <w:tc>
          <w:tcPr>
            <w:tcW w:w="1980" w:type="dxa"/>
            <w:vAlign w:val="bottom"/>
            <w:tcBorders>
              <w:top w:val="single" w:sz="8" w:color="CCEEFF"/>
              <w:bottom w:val="single" w:sz="8" w:color="auto"/>
            </w:tcBorders>
            <w:shd w:val="clear" w:color="auto" w:fill="CCEEFF"/>
          </w:tcPr>
          <w:p>
            <w:pPr>
              <w:spacing w:after="0"/>
              <w:rPr>
                <w:sz w:val="5"/>
                <w:szCs w:val="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b w:val="1"/>
                <w:bCs w:val="1"/>
                <w:color w:val="auto"/>
              </w:rPr>
              <w:t>4(h)</w:t>
            </w:r>
          </w:p>
        </w:tc>
        <w:tc>
          <w:tcPr>
            <w:tcW w:w="20" w:type="dxa"/>
            <w:vAlign w:val="bottom"/>
          </w:tcPr>
          <w:p>
            <w:pPr>
              <w:spacing w:after="0"/>
              <w:rPr>
                <w:sz w:val="14"/>
                <w:szCs w:val="14"/>
                <w:color w:val="auto"/>
              </w:rPr>
            </w:pPr>
          </w:p>
        </w:tc>
        <w:tc>
          <w:tcPr>
            <w:tcW w:w="4100" w:type="dxa"/>
            <w:vAlign w:val="bottom"/>
            <w:tcBorders>
              <w:right w:val="single" w:sz="8" w:color="auto"/>
            </w:tcBorders>
            <w:gridSpan w:val="27"/>
          </w:tcPr>
          <w:p>
            <w:pPr>
              <w:spacing w:after="0" w:line="155" w:lineRule="exact"/>
              <w:rPr>
                <w:rFonts w:ascii="Arial" w:cs="Arial" w:eastAsia="Arial" w:hAnsi="Arial"/>
                <w:sz w:val="16"/>
                <w:szCs w:val="16"/>
                <w:color w:val="0000FF"/>
              </w:rPr>
            </w:pPr>
            <w:hyperlink r:id="rId127">
              <w:r>
                <w:rPr>
                  <w:rFonts w:ascii="Arial" w:cs="Arial" w:eastAsia="Arial" w:hAnsi="Arial"/>
                  <w:sz w:val="16"/>
                  <w:szCs w:val="16"/>
                  <w:color w:val="0000FF"/>
                </w:rPr>
                <w:t>Officer’s Certificate</w:t>
              </w:r>
            </w:hyperlink>
          </w:p>
        </w:tc>
        <w:tc>
          <w:tcPr>
            <w:tcW w:w="660" w:type="dxa"/>
            <w:vAlign w:val="bottom"/>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tcPr>
          <w:p>
            <w:pPr>
              <w:ind w:left="320"/>
              <w:spacing w:after="0" w:line="155" w:lineRule="exact"/>
              <w:rPr>
                <w:sz w:val="20"/>
                <w:szCs w:val="20"/>
                <w:color w:val="auto"/>
              </w:rPr>
            </w:pPr>
            <w:r>
              <w:rPr>
                <w:rFonts w:ascii="Arial" w:cs="Arial" w:eastAsia="Arial" w:hAnsi="Arial"/>
                <w:sz w:val="16"/>
                <w:szCs w:val="16"/>
                <w:color w:val="auto"/>
              </w:rPr>
              <w:t>May 7, 2018</w:t>
            </w:r>
          </w:p>
        </w:tc>
        <w:tc>
          <w:tcPr>
            <w:tcW w:w="15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4.1</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4(i)</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rPr>
            </w:pPr>
            <w:hyperlink r:id="rId128">
              <w:r>
                <w:rPr>
                  <w:rFonts w:ascii="Arial" w:cs="Arial" w:eastAsia="Arial" w:hAnsi="Arial"/>
                  <w:sz w:val="16"/>
                  <w:szCs w:val="16"/>
                  <w:color w:val="0000FF"/>
                </w:rPr>
                <w:t>Officer’s Certificate</w:t>
              </w:r>
            </w:hyperlink>
          </w:p>
        </w:tc>
        <w:tc>
          <w:tcPr>
            <w:tcW w:w="6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shd w:val="clear" w:color="auto" w:fill="CCEEFF"/>
          </w:tcPr>
          <w:p>
            <w:pPr>
              <w:ind w:left="320"/>
              <w:spacing w:after="0" w:line="155" w:lineRule="exact"/>
              <w:rPr>
                <w:sz w:val="20"/>
                <w:szCs w:val="20"/>
                <w:color w:val="auto"/>
              </w:rPr>
            </w:pPr>
            <w:r>
              <w:rPr>
                <w:rFonts w:ascii="Arial" w:cs="Arial" w:eastAsia="Arial" w:hAnsi="Arial"/>
                <w:sz w:val="16"/>
                <w:szCs w:val="16"/>
                <w:color w:val="auto"/>
              </w:rPr>
              <w:t>June 8, 2018</w:t>
            </w:r>
          </w:p>
        </w:tc>
        <w:tc>
          <w:tcPr>
            <w:tcW w:w="1580" w:type="dxa"/>
            <w:vAlign w:val="bottom"/>
            <w:tcBorders>
              <w:right w:val="single" w:sz="8" w:color="auto"/>
            </w:tcBorders>
            <w:shd w:val="clear" w:color="auto" w:fill="CCEEFF"/>
          </w:tcPr>
          <w:p>
            <w:pPr>
              <w:ind w:left="60"/>
              <w:spacing w:after="0" w:line="155" w:lineRule="exact"/>
              <w:rPr>
                <w:sz w:val="20"/>
                <w:szCs w:val="20"/>
                <w:color w:val="auto"/>
              </w:rPr>
            </w:pPr>
            <w:r>
              <w:rPr>
                <w:rFonts w:ascii="Arial" w:cs="Arial" w:eastAsia="Arial" w:hAnsi="Arial"/>
                <w:sz w:val="16"/>
                <w:szCs w:val="16"/>
                <w:color w:val="auto"/>
              </w:rPr>
              <w:t>4.1</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60" w:type="dxa"/>
            <w:vAlign w:val="bottom"/>
            <w:tcBorders>
              <w:top w:val="single" w:sz="8" w:color="0000FF"/>
              <w:bottom w:val="single" w:sz="8" w:color="auto"/>
            </w:tcBorders>
            <w:shd w:val="clear" w:color="auto" w:fill="CCEEFF"/>
          </w:tcPr>
          <w:p>
            <w:pPr>
              <w:spacing w:after="0"/>
              <w:rPr>
                <w:sz w:val="5"/>
                <w:szCs w:val="5"/>
                <w:color w:val="auto"/>
              </w:rPr>
            </w:pPr>
          </w:p>
        </w:tc>
        <w:tc>
          <w:tcPr>
            <w:tcW w:w="16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0000FF"/>
              <w:bottom w:val="single" w:sz="8" w:color="auto"/>
            </w:tcBorders>
            <w:shd w:val="clear" w:color="auto" w:fill="CCEEFF"/>
          </w:tcPr>
          <w:p>
            <w:pPr>
              <w:spacing w:after="0"/>
              <w:rPr>
                <w:sz w:val="5"/>
                <w:szCs w:val="5"/>
                <w:color w:val="auto"/>
              </w:rPr>
            </w:pPr>
          </w:p>
        </w:tc>
        <w:tc>
          <w:tcPr>
            <w:tcW w:w="280" w:type="dxa"/>
            <w:vAlign w:val="bottom"/>
            <w:tcBorders>
              <w:top w:val="single" w:sz="8" w:color="0000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20" w:type="dxa"/>
            <w:vAlign w:val="bottom"/>
            <w:tcBorders>
              <w:top w:val="single" w:sz="8" w:color="CCEEFF"/>
              <w:bottom w:val="single" w:sz="8" w:color="auto"/>
            </w:tcBorders>
            <w:shd w:val="clear" w:color="auto" w:fill="CCEEFF"/>
          </w:tcPr>
          <w:p>
            <w:pPr>
              <w:spacing w:after="0"/>
              <w:rPr>
                <w:sz w:val="5"/>
                <w:szCs w:val="5"/>
                <w:color w:val="auto"/>
              </w:rPr>
            </w:pPr>
          </w:p>
        </w:tc>
        <w:tc>
          <w:tcPr>
            <w:tcW w:w="6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00" w:type="dxa"/>
            <w:vAlign w:val="bottom"/>
            <w:tcBorders>
              <w:top w:val="single" w:sz="8" w:color="CCEEFF"/>
              <w:bottom w:val="single" w:sz="8" w:color="auto"/>
            </w:tcBorders>
            <w:shd w:val="clear" w:color="auto" w:fill="CCEEFF"/>
          </w:tcPr>
          <w:p>
            <w:pPr>
              <w:spacing w:after="0"/>
              <w:rPr>
                <w:sz w:val="5"/>
                <w:szCs w:val="5"/>
                <w:color w:val="auto"/>
              </w:rPr>
            </w:pPr>
          </w:p>
        </w:tc>
        <w:tc>
          <w:tcPr>
            <w:tcW w:w="440" w:type="dxa"/>
            <w:vAlign w:val="bottom"/>
            <w:tcBorders>
              <w:top w:val="single" w:sz="8" w:color="CCEEFF"/>
              <w:bottom w:val="single" w:sz="8" w:color="auto"/>
            </w:tcBorders>
            <w:shd w:val="clear" w:color="auto" w:fill="CCEEFF"/>
          </w:tcPr>
          <w:p>
            <w:pPr>
              <w:spacing w:after="0"/>
              <w:rPr>
                <w:sz w:val="5"/>
                <w:szCs w:val="5"/>
                <w:color w:val="auto"/>
              </w:rPr>
            </w:pPr>
          </w:p>
        </w:tc>
        <w:tc>
          <w:tcPr>
            <w:tcW w:w="620" w:type="dxa"/>
            <w:vAlign w:val="bottom"/>
            <w:tcBorders>
              <w:top w:val="single" w:sz="8" w:color="CCEEFF"/>
              <w:bottom w:val="single" w:sz="8" w:color="auto"/>
            </w:tcBorders>
            <w:shd w:val="clear" w:color="auto" w:fill="CCEEFF"/>
          </w:tcPr>
          <w:p>
            <w:pPr>
              <w:spacing w:after="0"/>
              <w:rPr>
                <w:sz w:val="5"/>
                <w:szCs w:val="5"/>
                <w:color w:val="auto"/>
              </w:rPr>
            </w:pPr>
          </w:p>
        </w:tc>
        <w:tc>
          <w:tcPr>
            <w:tcW w:w="40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660" w:type="dxa"/>
            <w:vAlign w:val="bottom"/>
            <w:tcBorders>
              <w:top w:val="single" w:sz="8" w:color="CCEEFF"/>
              <w:bottom w:val="single" w:sz="8" w:color="auto"/>
            </w:tcBorders>
            <w:shd w:val="clear" w:color="auto" w:fill="CCEEFF"/>
          </w:tcPr>
          <w:p>
            <w:pPr>
              <w:spacing w:after="0"/>
              <w:rPr>
                <w:sz w:val="5"/>
                <w:szCs w:val="5"/>
                <w:color w:val="auto"/>
              </w:rPr>
            </w:pPr>
          </w:p>
        </w:tc>
        <w:tc>
          <w:tcPr>
            <w:tcW w:w="920" w:type="dxa"/>
            <w:vAlign w:val="bottom"/>
            <w:tcBorders>
              <w:top w:val="single" w:sz="8" w:color="CCEEFF"/>
              <w:bottom w:val="single" w:sz="8" w:color="auto"/>
            </w:tcBorders>
            <w:shd w:val="clear" w:color="auto" w:fill="CCEEFF"/>
          </w:tcPr>
          <w:p>
            <w:pPr>
              <w:spacing w:after="0"/>
              <w:rPr>
                <w:sz w:val="5"/>
                <w:szCs w:val="5"/>
                <w:color w:val="auto"/>
              </w:rPr>
            </w:pPr>
          </w:p>
        </w:tc>
        <w:tc>
          <w:tcPr>
            <w:tcW w:w="1980" w:type="dxa"/>
            <w:vAlign w:val="bottom"/>
            <w:tcBorders>
              <w:top w:val="single" w:sz="8" w:color="CCEEFF"/>
              <w:bottom w:val="single" w:sz="8" w:color="auto"/>
            </w:tcBorders>
            <w:shd w:val="clear" w:color="auto" w:fill="CCEEFF"/>
          </w:tcPr>
          <w:p>
            <w:pPr>
              <w:spacing w:after="0"/>
              <w:rPr>
                <w:sz w:val="5"/>
                <w:szCs w:val="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b w:val="1"/>
                <w:bCs w:val="1"/>
                <w:color w:val="auto"/>
              </w:rPr>
              <w:t>4(j)</w:t>
            </w:r>
          </w:p>
        </w:tc>
        <w:tc>
          <w:tcPr>
            <w:tcW w:w="20" w:type="dxa"/>
            <w:vAlign w:val="bottom"/>
          </w:tcPr>
          <w:p>
            <w:pPr>
              <w:spacing w:after="0"/>
              <w:rPr>
                <w:sz w:val="14"/>
                <w:szCs w:val="14"/>
                <w:color w:val="auto"/>
              </w:rPr>
            </w:pPr>
          </w:p>
        </w:tc>
        <w:tc>
          <w:tcPr>
            <w:tcW w:w="4100" w:type="dxa"/>
            <w:vAlign w:val="bottom"/>
            <w:tcBorders>
              <w:right w:val="single" w:sz="8" w:color="auto"/>
            </w:tcBorders>
            <w:gridSpan w:val="27"/>
          </w:tcPr>
          <w:p>
            <w:pPr>
              <w:spacing w:after="0" w:line="155" w:lineRule="exact"/>
              <w:rPr>
                <w:rFonts w:ascii="Arial" w:cs="Arial" w:eastAsia="Arial" w:hAnsi="Arial"/>
                <w:sz w:val="16"/>
                <w:szCs w:val="16"/>
                <w:color w:val="0000FF"/>
              </w:rPr>
            </w:pPr>
            <w:hyperlink r:id="rId129">
              <w:r>
                <w:rPr>
                  <w:rFonts w:ascii="Arial" w:cs="Arial" w:eastAsia="Arial" w:hAnsi="Arial"/>
                  <w:sz w:val="16"/>
                  <w:szCs w:val="16"/>
                  <w:color w:val="0000FF"/>
                </w:rPr>
                <w:t>Officer’s Certificate</w:t>
              </w:r>
            </w:hyperlink>
          </w:p>
        </w:tc>
        <w:tc>
          <w:tcPr>
            <w:tcW w:w="660" w:type="dxa"/>
            <w:vAlign w:val="bottom"/>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tcPr>
          <w:p>
            <w:pPr>
              <w:ind w:left="320"/>
              <w:spacing w:after="0" w:line="155" w:lineRule="exact"/>
              <w:rPr>
                <w:sz w:val="20"/>
                <w:szCs w:val="20"/>
                <w:color w:val="auto"/>
              </w:rPr>
            </w:pPr>
            <w:r>
              <w:rPr>
                <w:rFonts w:ascii="Arial" w:cs="Arial" w:eastAsia="Arial" w:hAnsi="Arial"/>
                <w:sz w:val="16"/>
                <w:szCs w:val="16"/>
                <w:color w:val="auto"/>
              </w:rPr>
              <w:t>March 11, 2019</w:t>
            </w:r>
          </w:p>
        </w:tc>
        <w:tc>
          <w:tcPr>
            <w:tcW w:w="15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4.1</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4(k)</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rPr>
            </w:pPr>
            <w:hyperlink r:id="rId130">
              <w:r>
                <w:rPr>
                  <w:rFonts w:ascii="Arial" w:cs="Arial" w:eastAsia="Arial" w:hAnsi="Arial"/>
                  <w:sz w:val="16"/>
                  <w:szCs w:val="16"/>
                  <w:color w:val="0000FF"/>
                </w:rPr>
                <w:t>Officer’s Certificate</w:t>
              </w:r>
            </w:hyperlink>
          </w:p>
        </w:tc>
        <w:tc>
          <w:tcPr>
            <w:tcW w:w="6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8-K</w:t>
            </w:r>
          </w:p>
        </w:tc>
        <w:tc>
          <w:tcPr>
            <w:tcW w:w="9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shd w:val="clear" w:color="auto" w:fill="CCEEFF"/>
          </w:tcPr>
          <w:p>
            <w:pPr>
              <w:ind w:left="320"/>
              <w:spacing w:after="0" w:line="155" w:lineRule="exact"/>
              <w:rPr>
                <w:sz w:val="20"/>
                <w:szCs w:val="20"/>
                <w:color w:val="auto"/>
              </w:rPr>
            </w:pPr>
            <w:r>
              <w:rPr>
                <w:rFonts w:ascii="Arial" w:cs="Arial" w:eastAsia="Arial" w:hAnsi="Arial"/>
                <w:sz w:val="16"/>
                <w:szCs w:val="16"/>
                <w:color w:val="auto"/>
              </w:rPr>
              <w:t>September 4, 2019</w:t>
            </w:r>
          </w:p>
        </w:tc>
        <w:tc>
          <w:tcPr>
            <w:tcW w:w="1580" w:type="dxa"/>
            <w:vAlign w:val="bottom"/>
            <w:tcBorders>
              <w:right w:val="single" w:sz="8" w:color="auto"/>
            </w:tcBorders>
            <w:shd w:val="clear" w:color="auto" w:fill="CCEEFF"/>
          </w:tcPr>
          <w:p>
            <w:pPr>
              <w:ind w:left="60"/>
              <w:spacing w:after="0" w:line="155" w:lineRule="exact"/>
              <w:rPr>
                <w:sz w:val="20"/>
                <w:szCs w:val="20"/>
                <w:color w:val="auto"/>
              </w:rPr>
            </w:pPr>
            <w:r>
              <w:rPr>
                <w:rFonts w:ascii="Arial" w:cs="Arial" w:eastAsia="Arial" w:hAnsi="Arial"/>
                <w:sz w:val="16"/>
                <w:szCs w:val="16"/>
                <w:color w:val="auto"/>
              </w:rPr>
              <w:t>4.1</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60" w:type="dxa"/>
            <w:vAlign w:val="bottom"/>
            <w:tcBorders>
              <w:top w:val="single" w:sz="8" w:color="0000FF"/>
              <w:bottom w:val="single" w:sz="8" w:color="auto"/>
            </w:tcBorders>
            <w:shd w:val="clear" w:color="auto" w:fill="CCEEFF"/>
          </w:tcPr>
          <w:p>
            <w:pPr>
              <w:spacing w:after="0"/>
              <w:rPr>
                <w:sz w:val="5"/>
                <w:szCs w:val="5"/>
                <w:color w:val="auto"/>
              </w:rPr>
            </w:pPr>
          </w:p>
        </w:tc>
        <w:tc>
          <w:tcPr>
            <w:tcW w:w="16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0000FF"/>
              <w:bottom w:val="single" w:sz="8" w:color="auto"/>
            </w:tcBorders>
            <w:shd w:val="clear" w:color="auto" w:fill="CCEEFF"/>
          </w:tcPr>
          <w:p>
            <w:pPr>
              <w:spacing w:after="0"/>
              <w:rPr>
                <w:sz w:val="5"/>
                <w:szCs w:val="5"/>
                <w:color w:val="auto"/>
              </w:rPr>
            </w:pPr>
          </w:p>
        </w:tc>
        <w:tc>
          <w:tcPr>
            <w:tcW w:w="280" w:type="dxa"/>
            <w:vAlign w:val="bottom"/>
            <w:tcBorders>
              <w:top w:val="single" w:sz="8" w:color="0000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20" w:type="dxa"/>
            <w:vAlign w:val="bottom"/>
            <w:tcBorders>
              <w:top w:val="single" w:sz="8" w:color="CCEEFF"/>
              <w:bottom w:val="single" w:sz="8" w:color="auto"/>
            </w:tcBorders>
            <w:shd w:val="clear" w:color="auto" w:fill="CCEEFF"/>
          </w:tcPr>
          <w:p>
            <w:pPr>
              <w:spacing w:after="0"/>
              <w:rPr>
                <w:sz w:val="5"/>
                <w:szCs w:val="5"/>
                <w:color w:val="auto"/>
              </w:rPr>
            </w:pPr>
          </w:p>
        </w:tc>
        <w:tc>
          <w:tcPr>
            <w:tcW w:w="6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00" w:type="dxa"/>
            <w:vAlign w:val="bottom"/>
            <w:tcBorders>
              <w:top w:val="single" w:sz="8" w:color="CCEEFF"/>
              <w:bottom w:val="single" w:sz="8" w:color="auto"/>
            </w:tcBorders>
            <w:shd w:val="clear" w:color="auto" w:fill="CCEEFF"/>
          </w:tcPr>
          <w:p>
            <w:pPr>
              <w:spacing w:after="0"/>
              <w:rPr>
                <w:sz w:val="5"/>
                <w:szCs w:val="5"/>
                <w:color w:val="auto"/>
              </w:rPr>
            </w:pPr>
          </w:p>
        </w:tc>
        <w:tc>
          <w:tcPr>
            <w:tcW w:w="440" w:type="dxa"/>
            <w:vAlign w:val="bottom"/>
            <w:tcBorders>
              <w:top w:val="single" w:sz="8" w:color="CCEEFF"/>
              <w:bottom w:val="single" w:sz="8" w:color="auto"/>
            </w:tcBorders>
            <w:shd w:val="clear" w:color="auto" w:fill="CCEEFF"/>
          </w:tcPr>
          <w:p>
            <w:pPr>
              <w:spacing w:after="0"/>
              <w:rPr>
                <w:sz w:val="5"/>
                <w:szCs w:val="5"/>
                <w:color w:val="auto"/>
              </w:rPr>
            </w:pPr>
          </w:p>
        </w:tc>
        <w:tc>
          <w:tcPr>
            <w:tcW w:w="620" w:type="dxa"/>
            <w:vAlign w:val="bottom"/>
            <w:tcBorders>
              <w:top w:val="single" w:sz="8" w:color="CCEEFF"/>
              <w:bottom w:val="single" w:sz="8" w:color="auto"/>
            </w:tcBorders>
            <w:shd w:val="clear" w:color="auto" w:fill="CCEEFF"/>
          </w:tcPr>
          <w:p>
            <w:pPr>
              <w:spacing w:after="0"/>
              <w:rPr>
                <w:sz w:val="5"/>
                <w:szCs w:val="5"/>
                <w:color w:val="auto"/>
              </w:rPr>
            </w:pPr>
          </w:p>
        </w:tc>
        <w:tc>
          <w:tcPr>
            <w:tcW w:w="40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660" w:type="dxa"/>
            <w:vAlign w:val="bottom"/>
            <w:tcBorders>
              <w:top w:val="single" w:sz="8" w:color="CCEEFF"/>
              <w:bottom w:val="single" w:sz="8" w:color="auto"/>
            </w:tcBorders>
            <w:shd w:val="clear" w:color="auto" w:fill="CCEEFF"/>
          </w:tcPr>
          <w:p>
            <w:pPr>
              <w:spacing w:after="0"/>
              <w:rPr>
                <w:sz w:val="5"/>
                <w:szCs w:val="5"/>
                <w:color w:val="auto"/>
              </w:rPr>
            </w:pPr>
          </w:p>
        </w:tc>
        <w:tc>
          <w:tcPr>
            <w:tcW w:w="920" w:type="dxa"/>
            <w:vAlign w:val="bottom"/>
            <w:tcBorders>
              <w:top w:val="single" w:sz="8" w:color="CCEEFF"/>
              <w:bottom w:val="single" w:sz="8" w:color="auto"/>
            </w:tcBorders>
            <w:shd w:val="clear" w:color="auto" w:fill="CCEEFF"/>
          </w:tcPr>
          <w:p>
            <w:pPr>
              <w:spacing w:after="0"/>
              <w:rPr>
                <w:sz w:val="5"/>
                <w:szCs w:val="5"/>
                <w:color w:val="auto"/>
              </w:rPr>
            </w:pPr>
          </w:p>
        </w:tc>
        <w:tc>
          <w:tcPr>
            <w:tcW w:w="1980" w:type="dxa"/>
            <w:vAlign w:val="bottom"/>
            <w:tcBorders>
              <w:top w:val="single" w:sz="8" w:color="CCEEFF"/>
              <w:bottom w:val="single" w:sz="8" w:color="auto"/>
            </w:tcBorders>
            <w:shd w:val="clear" w:color="auto" w:fill="CCEEFF"/>
          </w:tcPr>
          <w:p>
            <w:pPr>
              <w:spacing w:after="0"/>
              <w:rPr>
                <w:sz w:val="5"/>
                <w:szCs w:val="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b w:val="1"/>
                <w:bCs w:val="1"/>
                <w:color w:val="auto"/>
              </w:rPr>
              <w:t>4(l)</w:t>
            </w:r>
          </w:p>
        </w:tc>
        <w:tc>
          <w:tcPr>
            <w:tcW w:w="20" w:type="dxa"/>
            <w:vAlign w:val="bottom"/>
          </w:tcPr>
          <w:p>
            <w:pPr>
              <w:spacing w:after="0"/>
              <w:rPr>
                <w:sz w:val="14"/>
                <w:szCs w:val="14"/>
                <w:color w:val="auto"/>
              </w:rPr>
            </w:pPr>
          </w:p>
        </w:tc>
        <w:tc>
          <w:tcPr>
            <w:tcW w:w="1600" w:type="dxa"/>
            <w:vAlign w:val="bottom"/>
            <w:tcBorders>
              <w:bottom w:val="single" w:sz="8" w:color="0000FF"/>
            </w:tcBorders>
            <w:gridSpan w:val="6"/>
          </w:tcPr>
          <w:p>
            <w:pPr>
              <w:spacing w:after="0" w:line="155" w:lineRule="exact"/>
              <w:rPr>
                <w:rFonts w:ascii="Arial" w:cs="Arial" w:eastAsia="Arial" w:hAnsi="Arial"/>
                <w:sz w:val="16"/>
                <w:szCs w:val="16"/>
                <w:color w:val="0000FF"/>
                <w:w w:val="91"/>
              </w:rPr>
            </w:pPr>
            <w:hyperlink w:anchor="page68">
              <w:r>
                <w:rPr>
                  <w:rFonts w:ascii="Arial" w:cs="Arial" w:eastAsia="Arial" w:hAnsi="Arial"/>
                  <w:sz w:val="16"/>
                  <w:szCs w:val="16"/>
                  <w:color w:val="0000FF"/>
                  <w:w w:val="91"/>
                </w:rPr>
                <w:t>Description of Securities</w:t>
              </w:r>
            </w:hyperlink>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right w:val="single" w:sz="8" w:color="auto"/>
            </w:tcBorders>
            <w:gridSpan w:val="2"/>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61"/>
        </w:trPr>
        <w:tc>
          <w:tcPr>
            <w:tcW w:w="120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10(a)</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rPr>
            </w:pPr>
            <w:hyperlink r:id="rId131">
              <w:r>
                <w:rPr>
                  <w:rFonts w:ascii="Arial" w:cs="Arial" w:eastAsia="Arial" w:hAnsi="Arial"/>
                  <w:sz w:val="16"/>
                  <w:szCs w:val="16"/>
                  <w:color w:val="0000FF"/>
                </w:rPr>
                <w:t>TI Deferred Compensation Plan, as amended*</w:t>
              </w:r>
            </w:hyperlink>
          </w:p>
        </w:tc>
        <w:tc>
          <w:tcPr>
            <w:tcW w:w="6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10-K</w:t>
            </w:r>
          </w:p>
        </w:tc>
        <w:tc>
          <w:tcPr>
            <w:tcW w:w="9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shd w:val="clear" w:color="auto" w:fill="CCEEFF"/>
          </w:tcPr>
          <w:p>
            <w:pPr>
              <w:ind w:left="320"/>
              <w:spacing w:after="0" w:line="155" w:lineRule="exact"/>
              <w:rPr>
                <w:sz w:val="20"/>
                <w:szCs w:val="20"/>
                <w:color w:val="auto"/>
              </w:rPr>
            </w:pPr>
            <w:r>
              <w:rPr>
                <w:rFonts w:ascii="Arial" w:cs="Arial" w:eastAsia="Arial" w:hAnsi="Arial"/>
                <w:sz w:val="16"/>
                <w:szCs w:val="16"/>
                <w:color w:val="auto"/>
              </w:rPr>
              <w:t>February 24, 2016</w:t>
            </w:r>
          </w:p>
        </w:tc>
        <w:tc>
          <w:tcPr>
            <w:tcW w:w="1580" w:type="dxa"/>
            <w:vAlign w:val="bottom"/>
            <w:tcBorders>
              <w:right w:val="single" w:sz="8" w:color="auto"/>
            </w:tcBorders>
            <w:shd w:val="clear" w:color="auto" w:fill="CCEEFF"/>
          </w:tcPr>
          <w:p>
            <w:pPr>
              <w:ind w:left="60"/>
              <w:spacing w:after="0" w:line="155" w:lineRule="exact"/>
              <w:rPr>
                <w:sz w:val="20"/>
                <w:szCs w:val="20"/>
                <w:color w:val="auto"/>
              </w:rPr>
            </w:pPr>
            <w:r>
              <w:rPr>
                <w:rFonts w:ascii="Arial" w:cs="Arial" w:eastAsia="Arial" w:hAnsi="Arial"/>
                <w:sz w:val="16"/>
                <w:szCs w:val="16"/>
                <w:color w:val="auto"/>
              </w:rPr>
              <w:t>10(a)</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60" w:type="dxa"/>
            <w:vAlign w:val="bottom"/>
            <w:tcBorders>
              <w:top w:val="single" w:sz="8" w:color="0000FF"/>
              <w:bottom w:val="single" w:sz="8" w:color="auto"/>
            </w:tcBorders>
            <w:shd w:val="clear" w:color="auto" w:fill="CCEEFF"/>
          </w:tcPr>
          <w:p>
            <w:pPr>
              <w:spacing w:after="0"/>
              <w:rPr>
                <w:sz w:val="5"/>
                <w:szCs w:val="5"/>
                <w:color w:val="auto"/>
              </w:rPr>
            </w:pPr>
          </w:p>
        </w:tc>
        <w:tc>
          <w:tcPr>
            <w:tcW w:w="16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0000FF"/>
              <w:bottom w:val="single" w:sz="8" w:color="auto"/>
            </w:tcBorders>
            <w:shd w:val="clear" w:color="auto" w:fill="CCEEFF"/>
          </w:tcPr>
          <w:p>
            <w:pPr>
              <w:spacing w:after="0"/>
              <w:rPr>
                <w:sz w:val="5"/>
                <w:szCs w:val="5"/>
                <w:color w:val="auto"/>
              </w:rPr>
            </w:pPr>
          </w:p>
        </w:tc>
        <w:tc>
          <w:tcPr>
            <w:tcW w:w="280" w:type="dxa"/>
            <w:vAlign w:val="bottom"/>
            <w:tcBorders>
              <w:top w:val="single" w:sz="8" w:color="0000FF"/>
              <w:bottom w:val="single" w:sz="8" w:color="auto"/>
            </w:tcBorders>
            <w:shd w:val="clear" w:color="auto" w:fill="CCEEFF"/>
          </w:tcPr>
          <w:p>
            <w:pPr>
              <w:spacing w:after="0"/>
              <w:rPr>
                <w:sz w:val="5"/>
                <w:szCs w:val="5"/>
                <w:color w:val="auto"/>
              </w:rPr>
            </w:pPr>
          </w:p>
        </w:tc>
        <w:tc>
          <w:tcPr>
            <w:tcW w:w="80" w:type="dxa"/>
            <w:vAlign w:val="bottom"/>
            <w:tcBorders>
              <w:top w:val="single" w:sz="8" w:color="0000FF"/>
              <w:bottom w:val="single" w:sz="8" w:color="auto"/>
            </w:tcBorders>
            <w:shd w:val="clear" w:color="auto" w:fill="CCEEFF"/>
          </w:tcPr>
          <w:p>
            <w:pPr>
              <w:spacing w:after="0"/>
              <w:rPr>
                <w:sz w:val="5"/>
                <w:szCs w:val="5"/>
                <w:color w:val="auto"/>
              </w:rPr>
            </w:pPr>
          </w:p>
        </w:tc>
        <w:tc>
          <w:tcPr>
            <w:tcW w:w="220" w:type="dxa"/>
            <w:vAlign w:val="bottom"/>
            <w:tcBorders>
              <w:top w:val="single" w:sz="8" w:color="0000FF"/>
              <w:bottom w:val="single" w:sz="8" w:color="auto"/>
            </w:tcBorders>
            <w:shd w:val="clear" w:color="auto" w:fill="CCEEFF"/>
          </w:tcPr>
          <w:p>
            <w:pPr>
              <w:spacing w:after="0"/>
              <w:rPr>
                <w:sz w:val="5"/>
                <w:szCs w:val="5"/>
                <w:color w:val="auto"/>
              </w:rPr>
            </w:pPr>
          </w:p>
        </w:tc>
        <w:tc>
          <w:tcPr>
            <w:tcW w:w="6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0000FF"/>
              <w:bottom w:val="single" w:sz="8" w:color="auto"/>
            </w:tcBorders>
            <w:shd w:val="clear" w:color="auto" w:fill="CCEEFF"/>
          </w:tcPr>
          <w:p>
            <w:pPr>
              <w:spacing w:after="0"/>
              <w:rPr>
                <w:sz w:val="5"/>
                <w:szCs w:val="5"/>
                <w:color w:val="auto"/>
              </w:rPr>
            </w:pPr>
          </w:p>
        </w:tc>
        <w:tc>
          <w:tcPr>
            <w:tcW w:w="100" w:type="dxa"/>
            <w:vAlign w:val="bottom"/>
            <w:tcBorders>
              <w:top w:val="single" w:sz="8" w:color="0000FF"/>
              <w:bottom w:val="single" w:sz="8" w:color="auto"/>
            </w:tcBorders>
            <w:shd w:val="clear" w:color="auto" w:fill="CCEEFF"/>
          </w:tcPr>
          <w:p>
            <w:pPr>
              <w:spacing w:after="0"/>
              <w:rPr>
                <w:sz w:val="5"/>
                <w:szCs w:val="5"/>
                <w:color w:val="auto"/>
              </w:rPr>
            </w:pPr>
          </w:p>
        </w:tc>
        <w:tc>
          <w:tcPr>
            <w:tcW w:w="440" w:type="dxa"/>
            <w:vAlign w:val="bottom"/>
            <w:tcBorders>
              <w:top w:val="single" w:sz="8" w:color="0000FF"/>
              <w:bottom w:val="single" w:sz="8" w:color="auto"/>
            </w:tcBorders>
            <w:shd w:val="clear" w:color="auto" w:fill="CCEEFF"/>
          </w:tcPr>
          <w:p>
            <w:pPr>
              <w:spacing w:after="0"/>
              <w:rPr>
                <w:sz w:val="5"/>
                <w:szCs w:val="5"/>
                <w:color w:val="auto"/>
              </w:rPr>
            </w:pPr>
          </w:p>
        </w:tc>
        <w:tc>
          <w:tcPr>
            <w:tcW w:w="62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660" w:type="dxa"/>
            <w:vAlign w:val="bottom"/>
            <w:tcBorders>
              <w:top w:val="single" w:sz="8" w:color="CCEEFF"/>
              <w:bottom w:val="single" w:sz="8" w:color="auto"/>
            </w:tcBorders>
            <w:shd w:val="clear" w:color="auto" w:fill="CCEEFF"/>
          </w:tcPr>
          <w:p>
            <w:pPr>
              <w:spacing w:after="0"/>
              <w:rPr>
                <w:sz w:val="5"/>
                <w:szCs w:val="5"/>
                <w:color w:val="auto"/>
              </w:rPr>
            </w:pPr>
          </w:p>
        </w:tc>
        <w:tc>
          <w:tcPr>
            <w:tcW w:w="920" w:type="dxa"/>
            <w:vAlign w:val="bottom"/>
            <w:tcBorders>
              <w:top w:val="single" w:sz="8" w:color="CCEEFF"/>
              <w:bottom w:val="single" w:sz="8" w:color="auto"/>
            </w:tcBorders>
            <w:shd w:val="clear" w:color="auto" w:fill="CCEEFF"/>
          </w:tcPr>
          <w:p>
            <w:pPr>
              <w:spacing w:after="0"/>
              <w:rPr>
                <w:sz w:val="5"/>
                <w:szCs w:val="5"/>
                <w:color w:val="auto"/>
              </w:rPr>
            </w:pPr>
          </w:p>
        </w:tc>
        <w:tc>
          <w:tcPr>
            <w:tcW w:w="1980" w:type="dxa"/>
            <w:vAlign w:val="bottom"/>
            <w:tcBorders>
              <w:top w:val="single" w:sz="8" w:color="CCEEFF"/>
              <w:bottom w:val="single" w:sz="8" w:color="auto"/>
            </w:tcBorders>
            <w:shd w:val="clear" w:color="auto" w:fill="CCEEFF"/>
          </w:tcPr>
          <w:p>
            <w:pPr>
              <w:spacing w:after="0"/>
              <w:rPr>
                <w:sz w:val="5"/>
                <w:szCs w:val="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b w:val="1"/>
                <w:bCs w:val="1"/>
                <w:color w:val="auto"/>
              </w:rPr>
              <w:t>10(b)</w:t>
            </w:r>
          </w:p>
        </w:tc>
        <w:tc>
          <w:tcPr>
            <w:tcW w:w="20" w:type="dxa"/>
            <w:vAlign w:val="bottom"/>
          </w:tcPr>
          <w:p>
            <w:pPr>
              <w:spacing w:after="0"/>
              <w:rPr>
                <w:sz w:val="14"/>
                <w:szCs w:val="14"/>
                <w:color w:val="auto"/>
              </w:rPr>
            </w:pPr>
          </w:p>
        </w:tc>
        <w:tc>
          <w:tcPr>
            <w:tcW w:w="4100" w:type="dxa"/>
            <w:vAlign w:val="bottom"/>
            <w:tcBorders>
              <w:right w:val="single" w:sz="8" w:color="auto"/>
            </w:tcBorders>
            <w:gridSpan w:val="27"/>
          </w:tcPr>
          <w:p>
            <w:pPr>
              <w:spacing w:after="0" w:line="155" w:lineRule="exact"/>
              <w:rPr>
                <w:rFonts w:ascii="Arial" w:cs="Arial" w:eastAsia="Arial" w:hAnsi="Arial"/>
                <w:sz w:val="16"/>
                <w:szCs w:val="16"/>
                <w:color w:val="0000FF"/>
              </w:rPr>
            </w:pPr>
            <w:hyperlink r:id="rId132">
              <w:r>
                <w:rPr>
                  <w:rFonts w:ascii="Arial" w:cs="Arial" w:eastAsia="Arial" w:hAnsi="Arial"/>
                  <w:sz w:val="16"/>
                  <w:szCs w:val="16"/>
                  <w:color w:val="0000FF"/>
                </w:rPr>
                <w:t>TI Employees Non-Qualified Pension Plan, effective</w:t>
              </w:r>
            </w:hyperlink>
          </w:p>
        </w:tc>
        <w:tc>
          <w:tcPr>
            <w:tcW w:w="660" w:type="dxa"/>
            <w:vAlign w:val="bottom"/>
          </w:tcPr>
          <w:p>
            <w:pPr>
              <w:ind w:left="20"/>
              <w:spacing w:after="0" w:line="155" w:lineRule="exact"/>
              <w:rPr>
                <w:sz w:val="20"/>
                <w:szCs w:val="20"/>
                <w:color w:val="auto"/>
              </w:rPr>
            </w:pPr>
            <w:r>
              <w:rPr>
                <w:rFonts w:ascii="Arial" w:cs="Arial" w:eastAsia="Arial" w:hAnsi="Arial"/>
                <w:sz w:val="16"/>
                <w:szCs w:val="16"/>
                <w:color w:val="auto"/>
              </w:rPr>
              <w:t>10-K</w:t>
            </w:r>
          </w:p>
        </w:tc>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tcPr>
          <w:p>
            <w:pPr>
              <w:ind w:left="320"/>
              <w:spacing w:after="0" w:line="155" w:lineRule="exact"/>
              <w:rPr>
                <w:sz w:val="20"/>
                <w:szCs w:val="20"/>
                <w:color w:val="auto"/>
              </w:rPr>
            </w:pPr>
            <w:r>
              <w:rPr>
                <w:rFonts w:ascii="Arial" w:cs="Arial" w:eastAsia="Arial" w:hAnsi="Arial"/>
                <w:sz w:val="16"/>
                <w:szCs w:val="16"/>
                <w:color w:val="auto"/>
              </w:rPr>
              <w:t>February 24, 2016</w:t>
            </w:r>
          </w:p>
        </w:tc>
        <w:tc>
          <w:tcPr>
            <w:tcW w:w="15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10(b)</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January 1, 2009, as amended*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right w:val="single" w:sz="8" w:color="auto"/>
            </w:tcBorders>
            <w:gridSpan w:val="2"/>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bottom w:val="single" w:sz="8" w:color="CCEEFF"/>
              <w:right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10(c)</w:t>
            </w:r>
          </w:p>
        </w:tc>
        <w:tc>
          <w:tcPr>
            <w:tcW w:w="20" w:type="dxa"/>
            <w:vAlign w:val="bottom"/>
            <w:tcBorders>
              <w:bottom w:val="single" w:sz="8" w:color="CCEEFF"/>
            </w:tcBorders>
            <w:shd w:val="clear" w:color="auto" w:fill="CCEEFF"/>
          </w:tcPr>
          <w:p>
            <w:pPr>
              <w:spacing w:after="0"/>
              <w:rPr>
                <w:sz w:val="14"/>
                <w:szCs w:val="14"/>
                <w:color w:val="auto"/>
              </w:rPr>
            </w:pPr>
          </w:p>
        </w:tc>
        <w:tc>
          <w:tcPr>
            <w:tcW w:w="3000" w:type="dxa"/>
            <w:vAlign w:val="bottom"/>
            <w:tcBorders>
              <w:bottom w:val="single" w:sz="8" w:color="0000FF"/>
            </w:tcBorders>
            <w:gridSpan w:val="15"/>
            <w:shd w:val="clear" w:color="auto" w:fill="CCEEFF"/>
          </w:tcPr>
          <w:p>
            <w:pPr>
              <w:spacing w:after="0" w:line="155" w:lineRule="exact"/>
              <w:rPr>
                <w:rFonts w:ascii="Arial" w:cs="Arial" w:eastAsia="Arial" w:hAnsi="Arial"/>
                <w:sz w:val="16"/>
                <w:szCs w:val="16"/>
                <w:color w:val="0000FF"/>
                <w:w w:val="93"/>
              </w:rPr>
            </w:pPr>
            <w:hyperlink r:id="rId133">
              <w:r>
                <w:rPr>
                  <w:rFonts w:ascii="Arial" w:cs="Arial" w:eastAsia="Arial" w:hAnsi="Arial"/>
                  <w:sz w:val="16"/>
                  <w:szCs w:val="16"/>
                  <w:color w:val="0000FF"/>
                  <w:w w:val="93"/>
                </w:rPr>
                <w:t>TI Employees Non-Qualified Pension Plan II*</w:t>
              </w:r>
            </w:hyperlink>
          </w:p>
        </w:tc>
        <w:tc>
          <w:tcPr>
            <w:tcW w:w="4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auto"/>
            </w:tcBorders>
            <w:gridSpan w:val="2"/>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ind w:left="20"/>
              <w:spacing w:after="0" w:line="169" w:lineRule="exact"/>
              <w:rPr>
                <w:sz w:val="20"/>
                <w:szCs w:val="20"/>
                <w:color w:val="auto"/>
              </w:rPr>
            </w:pPr>
            <w:r>
              <w:rPr>
                <w:rFonts w:ascii="Arial" w:cs="Arial" w:eastAsia="Arial" w:hAnsi="Arial"/>
                <w:sz w:val="16"/>
                <w:szCs w:val="16"/>
                <w:color w:val="auto"/>
              </w:rPr>
              <w:t>10-K</w:t>
            </w:r>
          </w:p>
        </w:tc>
        <w:tc>
          <w:tcPr>
            <w:tcW w:w="920" w:type="dxa"/>
            <w:vAlign w:val="bottom"/>
            <w:tcBorders>
              <w:bottom w:val="single" w:sz="8" w:color="CCEEFF"/>
            </w:tcBorders>
            <w:shd w:val="clear" w:color="auto" w:fill="CCEEFF"/>
          </w:tcPr>
          <w:p>
            <w:pPr>
              <w:ind w:left="20"/>
              <w:spacing w:after="0" w:line="169" w:lineRule="exact"/>
              <w:rPr>
                <w:sz w:val="20"/>
                <w:szCs w:val="20"/>
                <w:color w:val="auto"/>
              </w:rPr>
            </w:pPr>
            <w:r>
              <w:rPr>
                <w:rFonts w:ascii="Arial" w:cs="Arial" w:eastAsia="Arial" w:hAnsi="Arial"/>
                <w:sz w:val="16"/>
                <w:szCs w:val="16"/>
                <w:color w:val="auto"/>
              </w:rPr>
              <w:t>001-3761</w:t>
            </w:r>
          </w:p>
        </w:tc>
        <w:tc>
          <w:tcPr>
            <w:tcW w:w="1980" w:type="dxa"/>
            <w:vAlign w:val="bottom"/>
            <w:tcBorders>
              <w:bottom w:val="single" w:sz="8" w:color="CCEEFF"/>
            </w:tcBorders>
            <w:shd w:val="clear" w:color="auto" w:fill="CCEEFF"/>
          </w:tcPr>
          <w:p>
            <w:pPr>
              <w:ind w:left="320"/>
              <w:spacing w:after="0" w:line="169" w:lineRule="exact"/>
              <w:rPr>
                <w:sz w:val="20"/>
                <w:szCs w:val="20"/>
                <w:color w:val="auto"/>
              </w:rPr>
            </w:pPr>
            <w:r>
              <w:rPr>
                <w:rFonts w:ascii="Arial" w:cs="Arial" w:eastAsia="Arial" w:hAnsi="Arial"/>
                <w:sz w:val="16"/>
                <w:szCs w:val="16"/>
                <w:color w:val="auto"/>
              </w:rPr>
              <w:t>February 24, 2016</w:t>
            </w:r>
          </w:p>
        </w:tc>
        <w:tc>
          <w:tcPr>
            <w:tcW w:w="1580" w:type="dxa"/>
            <w:vAlign w:val="bottom"/>
            <w:tcBorders>
              <w:bottom w:val="single" w:sz="8" w:color="CCEEFF"/>
              <w:right w:val="single" w:sz="8" w:color="auto"/>
            </w:tcBorders>
            <w:shd w:val="clear" w:color="auto" w:fill="CCEEFF"/>
          </w:tcPr>
          <w:p>
            <w:pPr>
              <w:ind w:left="60"/>
              <w:spacing w:after="0" w:line="169" w:lineRule="exact"/>
              <w:rPr>
                <w:sz w:val="20"/>
                <w:szCs w:val="20"/>
                <w:color w:val="auto"/>
              </w:rPr>
            </w:pPr>
            <w:r>
              <w:rPr>
                <w:rFonts w:ascii="Arial" w:cs="Arial" w:eastAsia="Arial" w:hAnsi="Arial"/>
                <w:sz w:val="16"/>
                <w:szCs w:val="16"/>
                <w:color w:val="auto"/>
              </w:rPr>
              <w:t>10(c)</w:t>
            </w:r>
          </w:p>
        </w:tc>
        <w:tc>
          <w:tcPr>
            <w:tcW w:w="980" w:type="dxa"/>
            <w:vAlign w:val="bottom"/>
            <w:tcBorders>
              <w:bottom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0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right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198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right w:val="single" w:sz="8" w:color="auto"/>
            </w:tcBorders>
            <w:shd w:val="clear" w:color="auto" w:fill="CCEEFF"/>
          </w:tcPr>
          <w:p>
            <w:pPr>
              <w:spacing w:after="0"/>
              <w:rPr>
                <w:sz w:val="5"/>
                <w:szCs w:val="5"/>
                <w:color w:val="auto"/>
              </w:rPr>
            </w:pPr>
          </w:p>
        </w:tc>
        <w:tc>
          <w:tcPr>
            <w:tcW w:w="98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b w:val="1"/>
                <w:bCs w:val="1"/>
                <w:color w:val="auto"/>
              </w:rPr>
              <w:t>10(d)</w:t>
            </w:r>
          </w:p>
        </w:tc>
        <w:tc>
          <w:tcPr>
            <w:tcW w:w="20" w:type="dxa"/>
            <w:vAlign w:val="bottom"/>
          </w:tcPr>
          <w:p>
            <w:pPr>
              <w:spacing w:after="0"/>
              <w:rPr>
                <w:sz w:val="14"/>
                <w:szCs w:val="14"/>
                <w:color w:val="auto"/>
              </w:rPr>
            </w:pPr>
          </w:p>
        </w:tc>
        <w:tc>
          <w:tcPr>
            <w:tcW w:w="3520" w:type="dxa"/>
            <w:vAlign w:val="bottom"/>
            <w:tcBorders>
              <w:bottom w:val="single" w:sz="8" w:color="0000FF"/>
            </w:tcBorders>
            <w:gridSpan w:val="21"/>
          </w:tcPr>
          <w:p>
            <w:pPr>
              <w:spacing w:after="0" w:line="155" w:lineRule="exact"/>
              <w:rPr>
                <w:rFonts w:ascii="Arial" w:cs="Arial" w:eastAsia="Arial" w:hAnsi="Arial"/>
                <w:sz w:val="16"/>
                <w:szCs w:val="16"/>
                <w:color w:val="0000FF"/>
                <w:w w:val="90"/>
              </w:rPr>
            </w:pPr>
            <w:hyperlink r:id="rId134">
              <w:r>
                <w:rPr>
                  <w:rFonts w:ascii="Arial" w:cs="Arial" w:eastAsia="Arial" w:hAnsi="Arial"/>
                  <w:sz w:val="16"/>
                  <w:szCs w:val="16"/>
                  <w:color w:val="0000FF"/>
                  <w:w w:val="90"/>
                </w:rPr>
                <w:t>Texas Instruments Long-Term Incentive Plan, adopted</w:t>
              </w:r>
            </w:hyperlink>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right w:val="single" w:sz="8" w:color="auto"/>
            </w:tcBorders>
            <w:gridSpan w:val="2"/>
          </w:tcPr>
          <w:p>
            <w:pPr>
              <w:spacing w:after="0"/>
              <w:rPr>
                <w:sz w:val="14"/>
                <w:szCs w:val="14"/>
                <w:color w:val="auto"/>
              </w:rPr>
            </w:pPr>
          </w:p>
        </w:tc>
        <w:tc>
          <w:tcPr>
            <w:tcW w:w="660" w:type="dxa"/>
            <w:vAlign w:val="bottom"/>
          </w:tcPr>
          <w:p>
            <w:pPr>
              <w:ind w:left="20"/>
              <w:spacing w:after="0" w:line="169" w:lineRule="exact"/>
              <w:rPr>
                <w:sz w:val="20"/>
                <w:szCs w:val="20"/>
                <w:color w:val="auto"/>
              </w:rPr>
            </w:pPr>
            <w:r>
              <w:rPr>
                <w:rFonts w:ascii="Arial" w:cs="Arial" w:eastAsia="Arial" w:hAnsi="Arial"/>
                <w:sz w:val="16"/>
                <w:szCs w:val="16"/>
                <w:color w:val="auto"/>
              </w:rPr>
              <w:t>10-K</w:t>
            </w:r>
          </w:p>
        </w:tc>
        <w:tc>
          <w:tcPr>
            <w:tcW w:w="920" w:type="dxa"/>
            <w:vAlign w:val="bottom"/>
          </w:tcPr>
          <w:p>
            <w:pPr>
              <w:ind w:left="20"/>
              <w:spacing w:after="0" w:line="169" w:lineRule="exact"/>
              <w:rPr>
                <w:sz w:val="20"/>
                <w:szCs w:val="20"/>
                <w:color w:val="auto"/>
              </w:rPr>
            </w:pPr>
            <w:r>
              <w:rPr>
                <w:rFonts w:ascii="Arial" w:cs="Arial" w:eastAsia="Arial" w:hAnsi="Arial"/>
                <w:sz w:val="16"/>
                <w:szCs w:val="16"/>
                <w:color w:val="auto"/>
              </w:rPr>
              <w:t>001-3761</w:t>
            </w:r>
          </w:p>
        </w:tc>
        <w:tc>
          <w:tcPr>
            <w:tcW w:w="1980" w:type="dxa"/>
            <w:vAlign w:val="bottom"/>
          </w:tcPr>
          <w:p>
            <w:pPr>
              <w:ind w:left="320"/>
              <w:spacing w:after="0" w:line="169" w:lineRule="exact"/>
              <w:rPr>
                <w:sz w:val="20"/>
                <w:szCs w:val="20"/>
                <w:color w:val="auto"/>
              </w:rPr>
            </w:pPr>
            <w:r>
              <w:rPr>
                <w:rFonts w:ascii="Arial" w:cs="Arial" w:eastAsia="Arial" w:hAnsi="Arial"/>
                <w:sz w:val="16"/>
                <w:szCs w:val="16"/>
                <w:color w:val="auto"/>
              </w:rPr>
              <w:t>February 24, 2012</w:t>
            </w:r>
          </w:p>
        </w:tc>
        <w:tc>
          <w:tcPr>
            <w:tcW w:w="1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6"/>
                <w:szCs w:val="16"/>
                <w:color w:val="auto"/>
              </w:rPr>
              <w:t>10(c)</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gridSpan w:val="21"/>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April 15, 1993*</w:t>
              </w:r>
            </w:hyperlink>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right w:val="single" w:sz="8" w:color="auto"/>
            </w:tcBorders>
            <w:gridSpan w:val="2"/>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10(e)</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rPr>
            </w:pPr>
            <w:hyperlink r:id="rId135">
              <w:r>
                <w:rPr>
                  <w:rFonts w:ascii="Arial" w:cs="Arial" w:eastAsia="Arial" w:hAnsi="Arial"/>
                  <w:sz w:val="16"/>
                  <w:szCs w:val="16"/>
                  <w:color w:val="0000FF"/>
                </w:rPr>
                <w:t>Texas Instruments 2000 Long-Term Incentive Plan as</w:t>
              </w:r>
            </w:hyperlink>
          </w:p>
        </w:tc>
        <w:tc>
          <w:tcPr>
            <w:tcW w:w="6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10-K</w:t>
            </w:r>
          </w:p>
        </w:tc>
        <w:tc>
          <w:tcPr>
            <w:tcW w:w="9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shd w:val="clear" w:color="auto" w:fill="CCEEFF"/>
          </w:tcPr>
          <w:p>
            <w:pPr>
              <w:ind w:left="320"/>
              <w:spacing w:after="0" w:line="155" w:lineRule="exact"/>
              <w:rPr>
                <w:sz w:val="20"/>
                <w:szCs w:val="20"/>
                <w:color w:val="auto"/>
              </w:rPr>
            </w:pPr>
            <w:r>
              <w:rPr>
                <w:rFonts w:ascii="Arial" w:cs="Arial" w:eastAsia="Arial" w:hAnsi="Arial"/>
                <w:sz w:val="16"/>
                <w:szCs w:val="16"/>
                <w:color w:val="auto"/>
              </w:rPr>
              <w:t>February 24, 2015</w:t>
            </w:r>
          </w:p>
        </w:tc>
        <w:tc>
          <w:tcPr>
            <w:tcW w:w="1580" w:type="dxa"/>
            <w:vAlign w:val="bottom"/>
            <w:tcBorders>
              <w:right w:val="single" w:sz="8" w:color="auto"/>
            </w:tcBorders>
            <w:shd w:val="clear" w:color="auto" w:fill="CCEEFF"/>
          </w:tcPr>
          <w:p>
            <w:pPr>
              <w:ind w:left="60"/>
              <w:spacing w:after="0" w:line="155" w:lineRule="exact"/>
              <w:rPr>
                <w:sz w:val="20"/>
                <w:szCs w:val="20"/>
                <w:color w:val="auto"/>
              </w:rPr>
            </w:pPr>
            <w:r>
              <w:rPr>
                <w:rFonts w:ascii="Arial" w:cs="Arial" w:eastAsia="Arial" w:hAnsi="Arial"/>
                <w:sz w:val="16"/>
                <w:szCs w:val="16"/>
                <w:color w:val="auto"/>
              </w:rPr>
              <w:t>10(e)</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3460" w:type="dxa"/>
            <w:vAlign w:val="bottom"/>
            <w:tcBorders>
              <w:top w:val="single" w:sz="8" w:color="0000FF"/>
              <w:bottom w:val="single" w:sz="8" w:color="auto"/>
            </w:tcBorders>
            <w:gridSpan w:val="19"/>
            <w:shd w:val="clear" w:color="auto" w:fill="CCEEFF"/>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amended October 16, 2008*</w:t>
              </w:r>
            </w:hyperlink>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gridSpan w:val="2"/>
            <w:shd w:val="clear" w:color="auto" w:fill="CCEEFF"/>
          </w:tcPr>
          <w:p>
            <w:pPr>
              <w:spacing w:after="0"/>
              <w:rPr>
                <w:sz w:val="15"/>
                <w:szCs w:val="15"/>
                <w:color w:val="auto"/>
              </w:rPr>
            </w:pPr>
          </w:p>
        </w:tc>
        <w:tc>
          <w:tcPr>
            <w:tcW w:w="240" w:type="dxa"/>
            <w:vAlign w:val="bottom"/>
            <w:tcBorders>
              <w:top w:val="single" w:sz="8" w:color="CCEEFF"/>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0" w:type="dxa"/>
            <w:vAlign w:val="bottom"/>
            <w:tcBorders>
              <w:top w:val="single" w:sz="8" w:color="CCEEFF"/>
              <w:bottom w:val="single" w:sz="8" w:color="auto"/>
              <w:right w:val="single" w:sz="8" w:color="auto"/>
            </w:tcBorders>
            <w:gridSpan w:val="2"/>
            <w:shd w:val="clear" w:color="auto" w:fill="CCEEFF"/>
          </w:tcPr>
          <w:p>
            <w:pPr>
              <w:spacing w:after="0"/>
              <w:rPr>
                <w:sz w:val="15"/>
                <w:szCs w:val="15"/>
                <w:color w:val="auto"/>
              </w:rPr>
            </w:pPr>
          </w:p>
        </w:tc>
        <w:tc>
          <w:tcPr>
            <w:tcW w:w="660" w:type="dxa"/>
            <w:vAlign w:val="bottom"/>
            <w:tcBorders>
              <w:top w:val="single" w:sz="8" w:color="CCEEFF"/>
              <w:bottom w:val="single" w:sz="8" w:color="auto"/>
            </w:tcBorders>
            <w:shd w:val="clear" w:color="auto" w:fill="CCEEFF"/>
          </w:tcPr>
          <w:p>
            <w:pPr>
              <w:spacing w:after="0"/>
              <w:rPr>
                <w:sz w:val="15"/>
                <w:szCs w:val="15"/>
                <w:color w:val="auto"/>
              </w:rPr>
            </w:pPr>
          </w:p>
        </w:tc>
        <w:tc>
          <w:tcPr>
            <w:tcW w:w="920" w:type="dxa"/>
            <w:vAlign w:val="bottom"/>
            <w:tcBorders>
              <w:top w:val="single" w:sz="8" w:color="CCEEFF"/>
              <w:bottom w:val="single" w:sz="8" w:color="auto"/>
            </w:tcBorders>
            <w:shd w:val="clear" w:color="auto" w:fill="CCEEFF"/>
          </w:tcPr>
          <w:p>
            <w:pPr>
              <w:spacing w:after="0"/>
              <w:rPr>
                <w:sz w:val="15"/>
                <w:szCs w:val="15"/>
                <w:color w:val="auto"/>
              </w:rPr>
            </w:pPr>
          </w:p>
        </w:tc>
        <w:tc>
          <w:tcPr>
            <w:tcW w:w="1980" w:type="dxa"/>
            <w:vAlign w:val="bottom"/>
            <w:tcBorders>
              <w:top w:val="single" w:sz="8" w:color="CCEEFF"/>
              <w:bottom w:val="single" w:sz="8" w:color="auto"/>
            </w:tcBorders>
            <w:shd w:val="clear" w:color="auto" w:fill="CCEEFF"/>
          </w:tcPr>
          <w:p>
            <w:pPr>
              <w:spacing w:after="0"/>
              <w:rPr>
                <w:sz w:val="15"/>
                <w:szCs w:val="1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b w:val="1"/>
                <w:bCs w:val="1"/>
                <w:color w:val="auto"/>
              </w:rPr>
              <w:t>10(f)</w:t>
            </w:r>
          </w:p>
        </w:tc>
        <w:tc>
          <w:tcPr>
            <w:tcW w:w="20" w:type="dxa"/>
            <w:vAlign w:val="bottom"/>
          </w:tcPr>
          <w:p>
            <w:pPr>
              <w:spacing w:after="0"/>
              <w:rPr>
                <w:sz w:val="14"/>
                <w:szCs w:val="14"/>
                <w:color w:val="auto"/>
              </w:rPr>
            </w:pPr>
          </w:p>
        </w:tc>
        <w:tc>
          <w:tcPr>
            <w:tcW w:w="4100" w:type="dxa"/>
            <w:vAlign w:val="bottom"/>
            <w:tcBorders>
              <w:right w:val="single" w:sz="8" w:color="auto"/>
            </w:tcBorders>
            <w:gridSpan w:val="27"/>
          </w:tcPr>
          <w:p>
            <w:pPr>
              <w:spacing w:after="0" w:line="155" w:lineRule="exact"/>
              <w:rPr>
                <w:rFonts w:ascii="Arial" w:cs="Arial" w:eastAsia="Arial" w:hAnsi="Arial"/>
                <w:sz w:val="16"/>
                <w:szCs w:val="16"/>
                <w:color w:val="0000FF"/>
              </w:rPr>
            </w:pPr>
            <w:hyperlink r:id="rId136">
              <w:r>
                <w:rPr>
                  <w:rFonts w:ascii="Arial" w:cs="Arial" w:eastAsia="Arial" w:hAnsi="Arial"/>
                  <w:sz w:val="16"/>
                  <w:szCs w:val="16"/>
                  <w:color w:val="0000FF"/>
                </w:rPr>
                <w:t>Texas Instruments 2003 Director Compensation Plan as</w:t>
              </w:r>
            </w:hyperlink>
          </w:p>
        </w:tc>
        <w:tc>
          <w:tcPr>
            <w:tcW w:w="660" w:type="dxa"/>
            <w:vAlign w:val="bottom"/>
          </w:tcPr>
          <w:p>
            <w:pPr>
              <w:ind w:left="20"/>
              <w:spacing w:after="0" w:line="155" w:lineRule="exact"/>
              <w:rPr>
                <w:sz w:val="20"/>
                <w:szCs w:val="20"/>
                <w:color w:val="auto"/>
              </w:rPr>
            </w:pPr>
            <w:r>
              <w:rPr>
                <w:rFonts w:ascii="Arial" w:cs="Arial" w:eastAsia="Arial" w:hAnsi="Arial"/>
                <w:sz w:val="16"/>
                <w:szCs w:val="16"/>
                <w:color w:val="auto"/>
              </w:rPr>
              <w:t>10-K</w:t>
            </w:r>
          </w:p>
        </w:tc>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tcPr>
          <w:p>
            <w:pPr>
              <w:ind w:left="320"/>
              <w:spacing w:after="0" w:line="155" w:lineRule="exact"/>
              <w:rPr>
                <w:sz w:val="20"/>
                <w:szCs w:val="20"/>
                <w:color w:val="auto"/>
              </w:rPr>
            </w:pPr>
            <w:r>
              <w:rPr>
                <w:rFonts w:ascii="Arial" w:cs="Arial" w:eastAsia="Arial" w:hAnsi="Arial"/>
                <w:sz w:val="16"/>
                <w:szCs w:val="16"/>
                <w:color w:val="auto"/>
              </w:rPr>
              <w:t>February 24, 2015</w:t>
            </w:r>
          </w:p>
        </w:tc>
        <w:tc>
          <w:tcPr>
            <w:tcW w:w="15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10(j)</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amended January 19, 2012</w:t>
              </w:r>
            </w:hyperlink>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right w:val="single" w:sz="8" w:color="auto"/>
            </w:tcBorders>
            <w:gridSpan w:val="2"/>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10(g)</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rPr>
            </w:pPr>
            <w:hyperlink r:id="rId137">
              <w:r>
                <w:rPr>
                  <w:rFonts w:ascii="Arial" w:cs="Arial" w:eastAsia="Arial" w:hAnsi="Arial"/>
                  <w:sz w:val="16"/>
                  <w:szCs w:val="16"/>
                  <w:color w:val="0000FF"/>
                </w:rPr>
                <w:t>Form of Non-Qualified Stock Option Agreement for</w:t>
              </w:r>
            </w:hyperlink>
          </w:p>
        </w:tc>
        <w:tc>
          <w:tcPr>
            <w:tcW w:w="6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10-K</w:t>
            </w:r>
          </w:p>
        </w:tc>
        <w:tc>
          <w:tcPr>
            <w:tcW w:w="9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shd w:val="clear" w:color="auto" w:fill="CCEEFF"/>
          </w:tcPr>
          <w:p>
            <w:pPr>
              <w:ind w:left="320"/>
              <w:spacing w:after="0" w:line="155" w:lineRule="exact"/>
              <w:rPr>
                <w:sz w:val="20"/>
                <w:szCs w:val="20"/>
                <w:color w:val="auto"/>
              </w:rPr>
            </w:pPr>
            <w:r>
              <w:rPr>
                <w:rFonts w:ascii="Arial" w:cs="Arial" w:eastAsia="Arial" w:hAnsi="Arial"/>
                <w:sz w:val="16"/>
                <w:szCs w:val="16"/>
                <w:color w:val="auto"/>
              </w:rPr>
              <w:t>February 23, 2017</w:t>
            </w:r>
          </w:p>
        </w:tc>
        <w:tc>
          <w:tcPr>
            <w:tcW w:w="1580" w:type="dxa"/>
            <w:vAlign w:val="bottom"/>
            <w:tcBorders>
              <w:right w:val="single" w:sz="8" w:color="auto"/>
            </w:tcBorders>
            <w:shd w:val="clear" w:color="auto" w:fill="CCEEFF"/>
          </w:tcPr>
          <w:p>
            <w:pPr>
              <w:ind w:left="60"/>
              <w:spacing w:after="0" w:line="155" w:lineRule="exact"/>
              <w:rPr>
                <w:sz w:val="20"/>
                <w:szCs w:val="20"/>
                <w:color w:val="auto"/>
              </w:rPr>
            </w:pPr>
            <w:r>
              <w:rPr>
                <w:rFonts w:ascii="Arial" w:cs="Arial" w:eastAsia="Arial" w:hAnsi="Arial"/>
                <w:sz w:val="16"/>
                <w:szCs w:val="16"/>
                <w:color w:val="auto"/>
              </w:rPr>
              <w:t>10(k)</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left w:val="single" w:sz="8" w:color="auto"/>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0" w:type="dxa"/>
            <w:vAlign w:val="bottom"/>
            <w:tcBorders>
              <w:top w:val="single" w:sz="8" w:color="0000FF"/>
            </w:tcBorders>
            <w:gridSpan w:val="16"/>
            <w:shd w:val="clear" w:color="auto" w:fill="CCEEFF"/>
          </w:tcPr>
          <w:p>
            <w:pPr>
              <w:spacing w:after="0" w:line="142" w:lineRule="exact"/>
              <w:rPr>
                <w:rFonts w:ascii="Arial" w:cs="Arial" w:eastAsia="Arial" w:hAnsi="Arial"/>
                <w:sz w:val="16"/>
                <w:szCs w:val="16"/>
                <w:color w:val="0000FF"/>
                <w:w w:val="89"/>
              </w:rPr>
            </w:pPr>
            <w:hyperlink r:id="rId137">
              <w:r>
                <w:rPr>
                  <w:rFonts w:ascii="Arial" w:cs="Arial" w:eastAsia="Arial" w:hAnsi="Arial"/>
                  <w:sz w:val="16"/>
                  <w:szCs w:val="16"/>
                  <w:color w:val="0000FF"/>
                  <w:w w:val="89"/>
                </w:rPr>
                <w:t>Executive Officers under the Texas Instruments 2009</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right w:val="single" w:sz="8" w:color="auto"/>
            </w:tcBorders>
            <w:gridSpan w:val="7"/>
            <w:shd w:val="clear" w:color="auto" w:fill="CCEEFF"/>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Long-</w:t>
              </w:r>
            </w:hyperlink>
          </w:p>
        </w:tc>
        <w:tc>
          <w:tcPr>
            <w:tcW w:w="6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9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right w:val="single" w:sz="8" w:color="auto"/>
            </w:tcBorders>
            <w:shd w:val="clear" w:color="auto" w:fill="CCEEFF"/>
          </w:tcPr>
          <w:p>
            <w:pPr>
              <w:spacing w:after="0"/>
              <w:rPr>
                <w:sz w:val="12"/>
                <w:szCs w:val="12"/>
                <w:color w:val="auto"/>
              </w:rPr>
            </w:pPr>
          </w:p>
        </w:tc>
        <w:tc>
          <w:tcPr>
            <w:tcW w:w="980" w:type="dxa"/>
            <w:vAlign w:val="bottom"/>
            <w:tcBorders>
              <w:top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3880" w:type="dxa"/>
            <w:vAlign w:val="bottom"/>
            <w:tcBorders>
              <w:top w:val="single" w:sz="8" w:color="0000FF"/>
              <w:bottom w:val="single" w:sz="8" w:color="auto"/>
            </w:tcBorders>
            <w:gridSpan w:val="24"/>
            <w:shd w:val="clear" w:color="auto" w:fill="CCEEFF"/>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Term Incentive Plan*</w:t>
              </w:r>
            </w:hyperlink>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0" w:type="dxa"/>
            <w:vAlign w:val="bottom"/>
            <w:tcBorders>
              <w:top w:val="single" w:sz="8" w:color="CCEEFF"/>
              <w:bottom w:val="single" w:sz="8" w:color="auto"/>
              <w:right w:val="single" w:sz="8" w:color="auto"/>
            </w:tcBorders>
            <w:gridSpan w:val="2"/>
            <w:shd w:val="clear" w:color="auto" w:fill="CCEEFF"/>
          </w:tcPr>
          <w:p>
            <w:pPr>
              <w:spacing w:after="0"/>
              <w:rPr>
                <w:sz w:val="15"/>
                <w:szCs w:val="15"/>
                <w:color w:val="auto"/>
              </w:rPr>
            </w:pPr>
          </w:p>
        </w:tc>
        <w:tc>
          <w:tcPr>
            <w:tcW w:w="660" w:type="dxa"/>
            <w:vAlign w:val="bottom"/>
            <w:tcBorders>
              <w:top w:val="single" w:sz="8" w:color="CCEEFF"/>
              <w:bottom w:val="single" w:sz="8" w:color="auto"/>
            </w:tcBorders>
            <w:shd w:val="clear" w:color="auto" w:fill="CCEEFF"/>
          </w:tcPr>
          <w:p>
            <w:pPr>
              <w:spacing w:after="0"/>
              <w:rPr>
                <w:sz w:val="15"/>
                <w:szCs w:val="15"/>
                <w:color w:val="auto"/>
              </w:rPr>
            </w:pPr>
          </w:p>
        </w:tc>
        <w:tc>
          <w:tcPr>
            <w:tcW w:w="920" w:type="dxa"/>
            <w:vAlign w:val="bottom"/>
            <w:tcBorders>
              <w:top w:val="single" w:sz="8" w:color="CCEEFF"/>
              <w:bottom w:val="single" w:sz="8" w:color="auto"/>
            </w:tcBorders>
            <w:shd w:val="clear" w:color="auto" w:fill="CCEEFF"/>
          </w:tcPr>
          <w:p>
            <w:pPr>
              <w:spacing w:after="0"/>
              <w:rPr>
                <w:sz w:val="15"/>
                <w:szCs w:val="15"/>
                <w:color w:val="auto"/>
              </w:rPr>
            </w:pPr>
          </w:p>
        </w:tc>
        <w:tc>
          <w:tcPr>
            <w:tcW w:w="1980" w:type="dxa"/>
            <w:vAlign w:val="bottom"/>
            <w:tcBorders>
              <w:top w:val="single" w:sz="8" w:color="CCEEFF"/>
              <w:bottom w:val="single" w:sz="8" w:color="auto"/>
            </w:tcBorders>
            <w:shd w:val="clear" w:color="auto" w:fill="CCEEFF"/>
          </w:tcPr>
          <w:p>
            <w:pPr>
              <w:spacing w:after="0"/>
              <w:rPr>
                <w:sz w:val="15"/>
                <w:szCs w:val="1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b w:val="1"/>
                <w:bCs w:val="1"/>
                <w:color w:val="auto"/>
              </w:rPr>
              <w:t>10(h)</w:t>
            </w:r>
          </w:p>
        </w:tc>
        <w:tc>
          <w:tcPr>
            <w:tcW w:w="20" w:type="dxa"/>
            <w:vAlign w:val="bottom"/>
          </w:tcPr>
          <w:p>
            <w:pPr>
              <w:spacing w:after="0"/>
              <w:rPr>
                <w:sz w:val="14"/>
                <w:szCs w:val="14"/>
                <w:color w:val="auto"/>
              </w:rPr>
            </w:pPr>
          </w:p>
        </w:tc>
        <w:tc>
          <w:tcPr>
            <w:tcW w:w="4100" w:type="dxa"/>
            <w:vAlign w:val="bottom"/>
            <w:tcBorders>
              <w:right w:val="single" w:sz="8" w:color="auto"/>
            </w:tcBorders>
            <w:gridSpan w:val="27"/>
          </w:tcPr>
          <w:p>
            <w:pPr>
              <w:spacing w:after="0" w:line="155" w:lineRule="exact"/>
              <w:rPr>
                <w:rFonts w:ascii="Arial" w:cs="Arial" w:eastAsia="Arial" w:hAnsi="Arial"/>
                <w:sz w:val="16"/>
                <w:szCs w:val="16"/>
                <w:color w:val="0000FF"/>
              </w:rPr>
            </w:pPr>
            <w:hyperlink r:id="rId138">
              <w:r>
                <w:rPr>
                  <w:rFonts w:ascii="Arial" w:cs="Arial" w:eastAsia="Arial" w:hAnsi="Arial"/>
                  <w:sz w:val="16"/>
                  <w:szCs w:val="16"/>
                  <w:color w:val="0000FF"/>
                </w:rPr>
                <w:t>Form of Restricted Stock Unit Award Agreement for</w:t>
              </w:r>
            </w:hyperlink>
          </w:p>
        </w:tc>
        <w:tc>
          <w:tcPr>
            <w:tcW w:w="660" w:type="dxa"/>
            <w:vAlign w:val="bottom"/>
          </w:tcPr>
          <w:p>
            <w:pPr>
              <w:ind w:left="20"/>
              <w:spacing w:after="0" w:line="155" w:lineRule="exact"/>
              <w:rPr>
                <w:sz w:val="20"/>
                <w:szCs w:val="20"/>
                <w:color w:val="auto"/>
              </w:rPr>
            </w:pPr>
            <w:r>
              <w:rPr>
                <w:rFonts w:ascii="Arial" w:cs="Arial" w:eastAsia="Arial" w:hAnsi="Arial"/>
                <w:sz w:val="16"/>
                <w:szCs w:val="16"/>
                <w:color w:val="auto"/>
              </w:rPr>
              <w:t>10-K</w:t>
            </w:r>
          </w:p>
        </w:tc>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001-3761</w:t>
            </w:r>
          </w:p>
        </w:tc>
        <w:tc>
          <w:tcPr>
            <w:tcW w:w="1980" w:type="dxa"/>
            <w:vAlign w:val="bottom"/>
          </w:tcPr>
          <w:p>
            <w:pPr>
              <w:ind w:left="320"/>
              <w:spacing w:after="0" w:line="155" w:lineRule="exact"/>
              <w:rPr>
                <w:sz w:val="20"/>
                <w:szCs w:val="20"/>
                <w:color w:val="auto"/>
              </w:rPr>
            </w:pPr>
            <w:r>
              <w:rPr>
                <w:rFonts w:ascii="Arial" w:cs="Arial" w:eastAsia="Arial" w:hAnsi="Arial"/>
                <w:sz w:val="16"/>
                <w:szCs w:val="16"/>
                <w:color w:val="auto"/>
              </w:rPr>
              <w:t>February 23, 2017</w:t>
            </w:r>
          </w:p>
        </w:tc>
        <w:tc>
          <w:tcPr>
            <w:tcW w:w="15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10(l)</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top w:val="single" w:sz="8" w:color="0000FF"/>
            </w:tcBorders>
            <w:gridSpan w:val="17"/>
          </w:tcPr>
          <w:p>
            <w:pPr>
              <w:spacing w:after="0" w:line="142" w:lineRule="exact"/>
              <w:rPr>
                <w:rFonts w:ascii="Arial" w:cs="Arial" w:eastAsia="Arial" w:hAnsi="Arial"/>
                <w:sz w:val="16"/>
                <w:szCs w:val="16"/>
                <w:color w:val="0000FF"/>
                <w:w w:val="90"/>
              </w:rPr>
            </w:pPr>
            <w:hyperlink r:id="rId138">
              <w:r>
                <w:rPr>
                  <w:rFonts w:ascii="Arial" w:cs="Arial" w:eastAsia="Arial" w:hAnsi="Arial"/>
                  <w:sz w:val="16"/>
                  <w:szCs w:val="16"/>
                  <w:color w:val="0000FF"/>
                  <w:w w:val="90"/>
                </w:rPr>
                <w:t>Executive Officers under the Texas Instruments 2009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right w:val="single" w:sz="8" w:color="auto"/>
            </w:tcBorders>
            <w:gridSpan w:val="7"/>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Long-</w:t>
              </w:r>
            </w:hyperlink>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Term Incentive Plan*</w:t>
              </w:r>
            </w:hyperlink>
          </w:p>
        </w:tc>
        <w:tc>
          <w:tcPr>
            <w:tcW w:w="20" w:type="dxa"/>
            <w:vAlign w:val="bottom"/>
          </w:tcPr>
          <w:p>
            <w:pPr>
              <w:spacing w:after="0"/>
              <w:rPr>
                <w:sz w:val="12"/>
                <w:szCs w:val="12"/>
                <w:color w:val="auto"/>
              </w:rPr>
            </w:pPr>
          </w:p>
        </w:tc>
        <w:tc>
          <w:tcPr>
            <w:tcW w:w="200" w:type="dxa"/>
            <w:vAlign w:val="bottom"/>
            <w:tcBorders>
              <w:right w:val="single" w:sz="8" w:color="auto"/>
            </w:tcBorders>
            <w:gridSpan w:val="2"/>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bottom w:val="single" w:sz="8" w:color="CCEEFF"/>
              <w:right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10(i)</w:t>
            </w:r>
          </w:p>
        </w:tc>
        <w:tc>
          <w:tcPr>
            <w:tcW w:w="20" w:type="dxa"/>
            <w:vAlign w:val="bottom"/>
            <w:tcBorders>
              <w:bottom w:val="single" w:sz="8" w:color="CCEEFF"/>
            </w:tcBorders>
            <w:shd w:val="clear" w:color="auto" w:fill="CCEEFF"/>
          </w:tcPr>
          <w:p>
            <w:pPr>
              <w:spacing w:after="0"/>
              <w:rPr>
                <w:sz w:val="14"/>
                <w:szCs w:val="14"/>
                <w:color w:val="auto"/>
              </w:rPr>
            </w:pPr>
          </w:p>
        </w:tc>
        <w:tc>
          <w:tcPr>
            <w:tcW w:w="3460" w:type="dxa"/>
            <w:vAlign w:val="bottom"/>
            <w:tcBorders>
              <w:bottom w:val="single" w:sz="8" w:color="0000FF"/>
            </w:tcBorders>
            <w:gridSpan w:val="19"/>
            <w:shd w:val="clear" w:color="auto" w:fill="CCEEFF"/>
          </w:tcPr>
          <w:p>
            <w:pPr>
              <w:spacing w:after="0" w:line="155" w:lineRule="exact"/>
              <w:rPr>
                <w:rFonts w:ascii="Arial" w:cs="Arial" w:eastAsia="Arial" w:hAnsi="Arial"/>
                <w:sz w:val="16"/>
                <w:szCs w:val="16"/>
                <w:color w:val="0000FF"/>
                <w:w w:val="90"/>
              </w:rPr>
            </w:pPr>
            <w:hyperlink r:id="rId139">
              <w:r>
                <w:rPr>
                  <w:rFonts w:ascii="Arial" w:cs="Arial" w:eastAsia="Arial" w:hAnsi="Arial"/>
                  <w:sz w:val="16"/>
                  <w:szCs w:val="16"/>
                  <w:color w:val="0000FF"/>
                  <w:w w:val="90"/>
                </w:rPr>
                <w:t>Texas Instruments 2009 Long-Term Incentive Plan as</w:t>
              </w:r>
            </w:hyperlink>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3"/>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auto"/>
            </w:tcBorders>
            <w:gridSpan w:val="2"/>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DEF 14A</w:t>
            </w:r>
          </w:p>
        </w:tc>
        <w:tc>
          <w:tcPr>
            <w:tcW w:w="920" w:type="dxa"/>
            <w:vAlign w:val="bottom"/>
            <w:tcBorders>
              <w:bottom w:val="single" w:sz="8" w:color="CCEEFF"/>
            </w:tcBorders>
            <w:shd w:val="clear" w:color="auto" w:fill="CCEEFF"/>
          </w:tcPr>
          <w:p>
            <w:pPr>
              <w:ind w:left="20"/>
              <w:spacing w:after="0" w:line="169" w:lineRule="exact"/>
              <w:rPr>
                <w:sz w:val="20"/>
                <w:szCs w:val="20"/>
                <w:color w:val="auto"/>
              </w:rPr>
            </w:pPr>
            <w:r>
              <w:rPr>
                <w:rFonts w:ascii="Arial" w:cs="Arial" w:eastAsia="Arial" w:hAnsi="Arial"/>
                <w:sz w:val="16"/>
                <w:szCs w:val="16"/>
                <w:color w:val="auto"/>
              </w:rPr>
              <w:t>001-3761</w:t>
            </w:r>
          </w:p>
        </w:tc>
        <w:tc>
          <w:tcPr>
            <w:tcW w:w="1980" w:type="dxa"/>
            <w:vAlign w:val="bottom"/>
            <w:tcBorders>
              <w:bottom w:val="single" w:sz="8" w:color="CCEEFF"/>
            </w:tcBorders>
            <w:shd w:val="clear" w:color="auto" w:fill="CCEEFF"/>
          </w:tcPr>
          <w:p>
            <w:pPr>
              <w:ind w:left="320"/>
              <w:spacing w:after="0" w:line="169" w:lineRule="exact"/>
              <w:rPr>
                <w:sz w:val="20"/>
                <w:szCs w:val="20"/>
                <w:color w:val="auto"/>
              </w:rPr>
            </w:pPr>
            <w:r>
              <w:rPr>
                <w:rFonts w:ascii="Arial" w:cs="Arial" w:eastAsia="Arial" w:hAnsi="Arial"/>
                <w:sz w:val="16"/>
                <w:szCs w:val="16"/>
                <w:color w:val="auto"/>
              </w:rPr>
              <w:t>March 9, 2016</w:t>
            </w:r>
          </w:p>
        </w:tc>
        <w:tc>
          <w:tcPr>
            <w:tcW w:w="1580" w:type="dxa"/>
            <w:vAlign w:val="bottom"/>
            <w:tcBorders>
              <w:bottom w:val="single" w:sz="8" w:color="CCEEFF"/>
              <w:right w:val="single" w:sz="8" w:color="auto"/>
            </w:tcBorders>
            <w:shd w:val="clear" w:color="auto" w:fill="CCEEFF"/>
          </w:tcPr>
          <w:p>
            <w:pPr>
              <w:ind w:left="60"/>
              <w:spacing w:after="0" w:line="169" w:lineRule="exact"/>
              <w:rPr>
                <w:sz w:val="20"/>
                <w:szCs w:val="20"/>
                <w:color w:val="auto"/>
              </w:rPr>
            </w:pPr>
            <w:r>
              <w:rPr>
                <w:rFonts w:ascii="Arial" w:cs="Arial" w:eastAsia="Arial" w:hAnsi="Arial"/>
                <w:sz w:val="16"/>
                <w:szCs w:val="16"/>
                <w:color w:val="auto"/>
              </w:rPr>
              <w:t>Appendix B</w:t>
            </w:r>
          </w:p>
        </w:tc>
        <w:tc>
          <w:tcPr>
            <w:tcW w:w="980" w:type="dxa"/>
            <w:vAlign w:val="bottom"/>
            <w:tcBorders>
              <w:bottom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0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460" w:type="dxa"/>
            <w:vAlign w:val="bottom"/>
            <w:tcBorders>
              <w:bottom w:val="single" w:sz="8" w:color="auto"/>
            </w:tcBorders>
            <w:gridSpan w:val="19"/>
            <w:shd w:val="clear" w:color="auto" w:fill="CCEEFF"/>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amended April 21, 2016*</w:t>
              </w:r>
            </w:hyperlink>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gridSpan w:val="3"/>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right w:val="single" w:sz="8" w:color="auto"/>
            </w:tcBorders>
            <w:gridSpan w:val="2"/>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right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b w:val="1"/>
                <w:bCs w:val="1"/>
                <w:color w:val="auto"/>
              </w:rPr>
              <w:t>10(j)</w:t>
            </w:r>
          </w:p>
        </w:tc>
        <w:tc>
          <w:tcPr>
            <w:tcW w:w="20" w:type="dxa"/>
            <w:vAlign w:val="bottom"/>
          </w:tcPr>
          <w:p>
            <w:pPr>
              <w:spacing w:after="0"/>
              <w:rPr>
                <w:sz w:val="14"/>
                <w:szCs w:val="14"/>
                <w:color w:val="auto"/>
              </w:rPr>
            </w:pPr>
          </w:p>
        </w:tc>
        <w:tc>
          <w:tcPr>
            <w:tcW w:w="3600" w:type="dxa"/>
            <w:vAlign w:val="bottom"/>
            <w:tcBorders>
              <w:bottom w:val="single" w:sz="8" w:color="0000FF"/>
            </w:tcBorders>
            <w:gridSpan w:val="22"/>
          </w:tcPr>
          <w:p>
            <w:pPr>
              <w:spacing w:after="0" w:line="155" w:lineRule="exact"/>
              <w:rPr>
                <w:rFonts w:ascii="Arial" w:cs="Arial" w:eastAsia="Arial" w:hAnsi="Arial"/>
                <w:sz w:val="16"/>
                <w:szCs w:val="16"/>
                <w:color w:val="0000FF"/>
                <w:w w:val="90"/>
              </w:rPr>
            </w:pPr>
            <w:hyperlink r:id="rId140">
              <w:r>
                <w:rPr>
                  <w:rFonts w:ascii="Arial" w:cs="Arial" w:eastAsia="Arial" w:hAnsi="Arial"/>
                  <w:sz w:val="16"/>
                  <w:szCs w:val="16"/>
                  <w:color w:val="0000FF"/>
                  <w:w w:val="90"/>
                </w:rPr>
                <w:t>Texas Instruments 2009 Director Compensation Plan as</w:t>
              </w:r>
            </w:hyperlink>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right w:val="single" w:sz="8" w:color="auto"/>
            </w:tcBorders>
            <w:gridSpan w:val="2"/>
          </w:tcPr>
          <w:p>
            <w:pPr>
              <w:spacing w:after="0"/>
              <w:rPr>
                <w:sz w:val="14"/>
                <w:szCs w:val="14"/>
                <w:color w:val="auto"/>
              </w:rPr>
            </w:pPr>
          </w:p>
        </w:tc>
        <w:tc>
          <w:tcPr>
            <w:tcW w:w="660" w:type="dxa"/>
            <w:vAlign w:val="bottom"/>
          </w:tcPr>
          <w:p>
            <w:pPr>
              <w:ind w:left="20"/>
              <w:spacing w:after="0" w:line="169" w:lineRule="exact"/>
              <w:rPr>
                <w:sz w:val="20"/>
                <w:szCs w:val="20"/>
                <w:color w:val="auto"/>
              </w:rPr>
            </w:pPr>
            <w:r>
              <w:rPr>
                <w:rFonts w:ascii="Arial" w:cs="Arial" w:eastAsia="Arial" w:hAnsi="Arial"/>
                <w:sz w:val="16"/>
                <w:szCs w:val="16"/>
                <w:color w:val="auto"/>
              </w:rPr>
              <w:t>10-K</w:t>
            </w:r>
          </w:p>
        </w:tc>
        <w:tc>
          <w:tcPr>
            <w:tcW w:w="920" w:type="dxa"/>
            <w:vAlign w:val="bottom"/>
          </w:tcPr>
          <w:p>
            <w:pPr>
              <w:ind w:left="20"/>
              <w:spacing w:after="0" w:line="169" w:lineRule="exact"/>
              <w:rPr>
                <w:sz w:val="20"/>
                <w:szCs w:val="20"/>
                <w:color w:val="auto"/>
              </w:rPr>
            </w:pPr>
            <w:r>
              <w:rPr>
                <w:rFonts w:ascii="Arial" w:cs="Arial" w:eastAsia="Arial" w:hAnsi="Arial"/>
                <w:sz w:val="16"/>
                <w:szCs w:val="16"/>
                <w:color w:val="auto"/>
              </w:rPr>
              <w:t>001-3761</w:t>
            </w:r>
          </w:p>
        </w:tc>
        <w:tc>
          <w:tcPr>
            <w:tcW w:w="1980" w:type="dxa"/>
            <w:vAlign w:val="bottom"/>
          </w:tcPr>
          <w:p>
            <w:pPr>
              <w:ind w:left="320"/>
              <w:spacing w:after="0" w:line="169" w:lineRule="exact"/>
              <w:rPr>
                <w:sz w:val="20"/>
                <w:szCs w:val="20"/>
                <w:color w:val="auto"/>
              </w:rPr>
            </w:pPr>
            <w:r>
              <w:rPr>
                <w:rFonts w:ascii="Arial" w:cs="Arial" w:eastAsia="Arial" w:hAnsi="Arial"/>
                <w:sz w:val="16"/>
                <w:szCs w:val="16"/>
                <w:color w:val="auto"/>
              </w:rPr>
              <w:t>February 23, 2017</w:t>
            </w:r>
          </w:p>
        </w:tc>
        <w:tc>
          <w:tcPr>
            <w:tcW w:w="1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6"/>
                <w:szCs w:val="16"/>
                <w:color w:val="auto"/>
              </w:rPr>
              <w:t>10(n)</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22"/>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amended January 19, 2012</w:t>
              </w:r>
            </w:hyperlink>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right w:val="single" w:sz="8" w:color="auto"/>
            </w:tcBorders>
            <w:gridSpan w:val="2"/>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10(k)</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69" w:lineRule="exact"/>
              <w:rPr>
                <w:rFonts w:ascii="Arial" w:cs="Arial" w:eastAsia="Arial" w:hAnsi="Arial"/>
                <w:sz w:val="16"/>
                <w:szCs w:val="16"/>
                <w:color w:val="0000FF"/>
              </w:rPr>
            </w:pPr>
            <w:hyperlink w:anchor="page70">
              <w:r>
                <w:rPr>
                  <w:rFonts w:ascii="Arial" w:cs="Arial" w:eastAsia="Arial" w:hAnsi="Arial"/>
                  <w:sz w:val="16"/>
                  <w:szCs w:val="16"/>
                  <w:color w:val="0000FF"/>
                </w:rPr>
                <w:t>Texas Instruments 2018 Director Compensation Plan as</w:t>
              </w:r>
            </w:hyperlink>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580" w:type="dxa"/>
            <w:vAlign w:val="bottom"/>
            <w:tcBorders>
              <w:right w:val="single" w:sz="8" w:color="auto"/>
            </w:tcBorders>
            <w:shd w:val="clear" w:color="auto" w:fill="CCEEFF"/>
          </w:tcPr>
          <w:p>
            <w:pPr>
              <w:spacing w:after="0"/>
              <w:rPr>
                <w:sz w:val="14"/>
                <w:szCs w:val="14"/>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82"/>
        </w:trPr>
        <w:tc>
          <w:tcPr>
            <w:tcW w:w="1200" w:type="dxa"/>
            <w:vAlign w:val="bottom"/>
            <w:tcBorders>
              <w:top w:val="single" w:sz="8" w:color="CCEEFF"/>
              <w:left w:val="single" w:sz="8" w:color="auto"/>
              <w:right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600" w:type="dxa"/>
            <w:vAlign w:val="bottom"/>
            <w:tcBorders>
              <w:top w:val="single" w:sz="8" w:color="0000FF"/>
            </w:tcBorders>
            <w:gridSpan w:val="22"/>
            <w:vMerge w:val="restart"/>
            <w:shd w:val="clear" w:color="auto" w:fill="CCEEFF"/>
          </w:tcPr>
          <w:p>
            <w:pPr>
              <w:spacing w:after="0" w:line="142" w:lineRule="exact"/>
              <w:rPr>
                <w:rFonts w:ascii="Arial" w:cs="Arial" w:eastAsia="Arial" w:hAnsi="Arial"/>
                <w:sz w:val="16"/>
                <w:szCs w:val="16"/>
                <w:color w:val="0000FF"/>
              </w:rPr>
            </w:pPr>
            <w:hyperlink w:anchor="page70">
              <w:r>
                <w:rPr>
                  <w:rFonts w:ascii="Arial" w:cs="Arial" w:eastAsia="Arial" w:hAnsi="Arial"/>
                  <w:sz w:val="16"/>
                  <w:szCs w:val="16"/>
                  <w:color w:val="0000FF"/>
                </w:rPr>
                <w:t>amended December 5, 2019</w:t>
              </w:r>
            </w:hyperlink>
          </w:p>
        </w:tc>
        <w:tc>
          <w:tcPr>
            <w:tcW w:w="500" w:type="dxa"/>
            <w:vAlign w:val="bottom"/>
            <w:tcBorders>
              <w:top w:val="single" w:sz="8" w:color="CCEEFF"/>
              <w:right w:val="single" w:sz="8" w:color="auto"/>
            </w:tcBorders>
            <w:gridSpan w:val="5"/>
            <w:vMerge w:val="restart"/>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198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right w:val="single" w:sz="8" w:color="auto"/>
            </w:tcBorders>
            <w:shd w:val="clear" w:color="auto" w:fill="CCEEFF"/>
          </w:tcPr>
          <w:p>
            <w:pPr>
              <w:spacing w:after="0"/>
              <w:rPr>
                <w:sz w:val="7"/>
                <w:szCs w:val="7"/>
                <w:color w:val="auto"/>
              </w:rPr>
            </w:pPr>
          </w:p>
        </w:tc>
        <w:tc>
          <w:tcPr>
            <w:tcW w:w="980" w:type="dxa"/>
            <w:vAlign w:val="bottom"/>
            <w:tcBorders>
              <w:top w:val="single" w:sz="8" w:color="CCEEFF"/>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20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3600" w:type="dxa"/>
            <w:vAlign w:val="bottom"/>
            <w:tcBorders>
              <w:bottom w:val="single" w:sz="8" w:color="auto"/>
            </w:tcBorders>
            <w:gridSpan w:val="22"/>
            <w:vMerge w:val="continue"/>
            <w:shd w:val="clear" w:color="auto" w:fill="CCEEFF"/>
          </w:tcPr>
          <w:p>
            <w:pPr>
              <w:spacing w:after="0"/>
              <w:rPr>
                <w:sz w:val="8"/>
                <w:szCs w:val="8"/>
                <w:color w:val="auto"/>
              </w:rPr>
            </w:pPr>
          </w:p>
        </w:tc>
        <w:tc>
          <w:tcPr>
            <w:tcW w:w="500" w:type="dxa"/>
            <w:vAlign w:val="bottom"/>
            <w:tcBorders>
              <w:bottom w:val="single" w:sz="8" w:color="auto"/>
              <w:right w:val="single" w:sz="8" w:color="auto"/>
            </w:tcBorders>
            <w:gridSpan w:val="5"/>
            <w:vMerge w:val="continue"/>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920" w:type="dxa"/>
            <w:vAlign w:val="bottom"/>
            <w:tcBorders>
              <w:bottom w:val="single" w:sz="8" w:color="auto"/>
            </w:tcBorders>
            <w:shd w:val="clear" w:color="auto" w:fill="CCEEFF"/>
          </w:tcPr>
          <w:p>
            <w:pPr>
              <w:spacing w:after="0"/>
              <w:rPr>
                <w:sz w:val="8"/>
                <w:szCs w:val="8"/>
                <w:color w:val="auto"/>
              </w:rPr>
            </w:pPr>
          </w:p>
        </w:tc>
        <w:tc>
          <w:tcPr>
            <w:tcW w:w="1980" w:type="dxa"/>
            <w:vAlign w:val="bottom"/>
            <w:tcBorders>
              <w:bottom w:val="single" w:sz="8" w:color="auto"/>
            </w:tcBorders>
            <w:shd w:val="clear" w:color="auto" w:fill="CCEEFF"/>
          </w:tcPr>
          <w:p>
            <w:pPr>
              <w:spacing w:after="0"/>
              <w:rPr>
                <w:sz w:val="8"/>
                <w:szCs w:val="8"/>
                <w:color w:val="auto"/>
              </w:rPr>
            </w:pPr>
          </w:p>
        </w:tc>
        <w:tc>
          <w:tcPr>
            <w:tcW w:w="1580" w:type="dxa"/>
            <w:vAlign w:val="bottom"/>
            <w:tcBorders>
              <w:bottom w:val="single" w:sz="8" w:color="auto"/>
              <w:right w:val="single" w:sz="8" w:color="auto"/>
            </w:tcBorders>
            <w:shd w:val="clear" w:color="auto" w:fill="CCEEFF"/>
          </w:tcPr>
          <w:p>
            <w:pPr>
              <w:spacing w:after="0"/>
              <w:rPr>
                <w:sz w:val="8"/>
                <w:szCs w:val="8"/>
                <w:color w:val="auto"/>
              </w:rPr>
            </w:pPr>
          </w:p>
        </w:tc>
        <w:tc>
          <w:tcPr>
            <w:tcW w:w="98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b w:val="1"/>
                <w:bCs w:val="1"/>
                <w:color w:val="auto"/>
              </w:rPr>
              <w:t>21</w:t>
            </w:r>
          </w:p>
        </w:tc>
        <w:tc>
          <w:tcPr>
            <w:tcW w:w="20" w:type="dxa"/>
            <w:vAlign w:val="bottom"/>
          </w:tcPr>
          <w:p>
            <w:pPr>
              <w:spacing w:after="0"/>
              <w:rPr>
                <w:sz w:val="14"/>
                <w:szCs w:val="14"/>
                <w:color w:val="auto"/>
              </w:rPr>
            </w:pPr>
          </w:p>
        </w:tc>
        <w:tc>
          <w:tcPr>
            <w:tcW w:w="4100" w:type="dxa"/>
            <w:vAlign w:val="bottom"/>
            <w:tcBorders>
              <w:right w:val="single" w:sz="8" w:color="auto"/>
            </w:tcBorders>
            <w:gridSpan w:val="27"/>
          </w:tcPr>
          <w:p>
            <w:pPr>
              <w:spacing w:after="0" w:line="155" w:lineRule="exact"/>
              <w:rPr>
                <w:rFonts w:ascii="Arial" w:cs="Arial" w:eastAsia="Arial" w:hAnsi="Arial"/>
                <w:sz w:val="16"/>
                <w:szCs w:val="16"/>
                <w:color w:val="0000FF"/>
              </w:rPr>
            </w:pPr>
            <w:hyperlink w:anchor="page83">
              <w:r>
                <w:rPr>
                  <w:rFonts w:ascii="Arial" w:cs="Arial" w:eastAsia="Arial" w:hAnsi="Arial"/>
                  <w:sz w:val="16"/>
                  <w:szCs w:val="16"/>
                  <w:color w:val="0000FF"/>
                </w:rPr>
                <w:t>List of Subsidiaries of the Registrant</w:t>
              </w:r>
            </w:hyperlink>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61"/>
        </w:trPr>
        <w:tc>
          <w:tcPr>
            <w:tcW w:w="120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00" w:type="dxa"/>
            <w:vAlign w:val="bottom"/>
            <w:tcBorders>
              <w:top w:val="single" w:sz="8" w:color="0000FF"/>
              <w:bottom w:val="single" w:sz="8" w:color="auto"/>
            </w:tcBorders>
          </w:tcPr>
          <w:p>
            <w:pPr>
              <w:spacing w:after="0"/>
              <w:rPr>
                <w:sz w:val="5"/>
                <w:szCs w:val="5"/>
                <w:color w:val="auto"/>
              </w:rPr>
            </w:pPr>
          </w:p>
        </w:tc>
        <w:tc>
          <w:tcPr>
            <w:tcW w:w="440" w:type="dxa"/>
            <w:vAlign w:val="bottom"/>
            <w:tcBorders>
              <w:top w:val="single" w:sz="8" w:color="0000FF"/>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23</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w w:val="96"/>
              </w:rPr>
            </w:pPr>
            <w:hyperlink w:anchor="page85">
              <w:r>
                <w:rPr>
                  <w:rFonts w:ascii="Arial" w:cs="Arial" w:eastAsia="Arial" w:hAnsi="Arial"/>
                  <w:sz w:val="16"/>
                  <w:szCs w:val="16"/>
                  <w:color w:val="0000FF"/>
                  <w:w w:val="96"/>
                </w:rPr>
                <w:t>Consent of Independent Registered Public Accounting Firm</w:t>
              </w:r>
            </w:hyperlink>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580" w:type="dxa"/>
            <w:vAlign w:val="bottom"/>
            <w:tcBorders>
              <w:right w:val="single" w:sz="8" w:color="auto"/>
            </w:tcBorders>
            <w:shd w:val="clear" w:color="auto" w:fill="CCEEFF"/>
          </w:tcPr>
          <w:p>
            <w:pPr>
              <w:spacing w:after="0"/>
              <w:rPr>
                <w:sz w:val="14"/>
                <w:szCs w:val="14"/>
                <w:color w:val="auto"/>
              </w:rPr>
            </w:pPr>
          </w:p>
        </w:tc>
        <w:tc>
          <w:tcPr>
            <w:tcW w:w="980" w:type="dxa"/>
            <w:vAlign w:val="bottom"/>
            <w:tcBorders>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61"/>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60" w:type="dxa"/>
            <w:vAlign w:val="bottom"/>
            <w:tcBorders>
              <w:top w:val="single" w:sz="8" w:color="0000FF"/>
              <w:bottom w:val="single" w:sz="8" w:color="auto"/>
            </w:tcBorders>
            <w:shd w:val="clear" w:color="auto" w:fill="CCEEFF"/>
          </w:tcPr>
          <w:p>
            <w:pPr>
              <w:spacing w:after="0"/>
              <w:rPr>
                <w:sz w:val="5"/>
                <w:szCs w:val="5"/>
                <w:color w:val="auto"/>
              </w:rPr>
            </w:pPr>
          </w:p>
        </w:tc>
        <w:tc>
          <w:tcPr>
            <w:tcW w:w="16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0000FF"/>
              <w:bottom w:val="single" w:sz="8" w:color="auto"/>
            </w:tcBorders>
            <w:shd w:val="clear" w:color="auto" w:fill="CCEEFF"/>
          </w:tcPr>
          <w:p>
            <w:pPr>
              <w:spacing w:after="0"/>
              <w:rPr>
                <w:sz w:val="5"/>
                <w:szCs w:val="5"/>
                <w:color w:val="auto"/>
              </w:rPr>
            </w:pPr>
          </w:p>
        </w:tc>
        <w:tc>
          <w:tcPr>
            <w:tcW w:w="280" w:type="dxa"/>
            <w:vAlign w:val="bottom"/>
            <w:tcBorders>
              <w:top w:val="single" w:sz="8" w:color="0000FF"/>
              <w:bottom w:val="single" w:sz="8" w:color="auto"/>
            </w:tcBorders>
            <w:shd w:val="clear" w:color="auto" w:fill="CCEEFF"/>
          </w:tcPr>
          <w:p>
            <w:pPr>
              <w:spacing w:after="0"/>
              <w:rPr>
                <w:sz w:val="5"/>
                <w:szCs w:val="5"/>
                <w:color w:val="auto"/>
              </w:rPr>
            </w:pPr>
          </w:p>
        </w:tc>
        <w:tc>
          <w:tcPr>
            <w:tcW w:w="80" w:type="dxa"/>
            <w:vAlign w:val="bottom"/>
            <w:tcBorders>
              <w:top w:val="single" w:sz="8" w:color="0000FF"/>
              <w:bottom w:val="single" w:sz="8" w:color="auto"/>
            </w:tcBorders>
            <w:shd w:val="clear" w:color="auto" w:fill="CCEEFF"/>
          </w:tcPr>
          <w:p>
            <w:pPr>
              <w:spacing w:after="0"/>
              <w:rPr>
                <w:sz w:val="5"/>
                <w:szCs w:val="5"/>
                <w:color w:val="auto"/>
              </w:rPr>
            </w:pPr>
          </w:p>
        </w:tc>
        <w:tc>
          <w:tcPr>
            <w:tcW w:w="220" w:type="dxa"/>
            <w:vAlign w:val="bottom"/>
            <w:tcBorders>
              <w:top w:val="single" w:sz="8" w:color="0000FF"/>
              <w:bottom w:val="single" w:sz="8" w:color="auto"/>
            </w:tcBorders>
            <w:shd w:val="clear" w:color="auto" w:fill="CCEEFF"/>
          </w:tcPr>
          <w:p>
            <w:pPr>
              <w:spacing w:after="0"/>
              <w:rPr>
                <w:sz w:val="5"/>
                <w:szCs w:val="5"/>
                <w:color w:val="auto"/>
              </w:rPr>
            </w:pPr>
          </w:p>
        </w:tc>
        <w:tc>
          <w:tcPr>
            <w:tcW w:w="6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0000FF"/>
              <w:bottom w:val="single" w:sz="8" w:color="auto"/>
            </w:tcBorders>
            <w:shd w:val="clear" w:color="auto" w:fill="CCEEFF"/>
          </w:tcPr>
          <w:p>
            <w:pPr>
              <w:spacing w:after="0"/>
              <w:rPr>
                <w:sz w:val="5"/>
                <w:szCs w:val="5"/>
                <w:color w:val="auto"/>
              </w:rPr>
            </w:pPr>
          </w:p>
        </w:tc>
        <w:tc>
          <w:tcPr>
            <w:tcW w:w="100" w:type="dxa"/>
            <w:vAlign w:val="bottom"/>
            <w:tcBorders>
              <w:top w:val="single" w:sz="8" w:color="0000FF"/>
              <w:bottom w:val="single" w:sz="8" w:color="auto"/>
            </w:tcBorders>
            <w:shd w:val="clear" w:color="auto" w:fill="CCEEFF"/>
          </w:tcPr>
          <w:p>
            <w:pPr>
              <w:spacing w:after="0"/>
              <w:rPr>
                <w:sz w:val="5"/>
                <w:szCs w:val="5"/>
                <w:color w:val="auto"/>
              </w:rPr>
            </w:pPr>
          </w:p>
        </w:tc>
        <w:tc>
          <w:tcPr>
            <w:tcW w:w="440" w:type="dxa"/>
            <w:vAlign w:val="bottom"/>
            <w:tcBorders>
              <w:top w:val="single" w:sz="8" w:color="0000FF"/>
              <w:bottom w:val="single" w:sz="8" w:color="auto"/>
            </w:tcBorders>
            <w:shd w:val="clear" w:color="auto" w:fill="CCEEFF"/>
          </w:tcPr>
          <w:p>
            <w:pPr>
              <w:spacing w:after="0"/>
              <w:rPr>
                <w:sz w:val="5"/>
                <w:szCs w:val="5"/>
                <w:color w:val="auto"/>
              </w:rPr>
            </w:pPr>
          </w:p>
        </w:tc>
        <w:tc>
          <w:tcPr>
            <w:tcW w:w="62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80" w:type="dxa"/>
            <w:vAlign w:val="bottom"/>
            <w:tcBorders>
              <w:top w:val="single" w:sz="8" w:color="0000FF"/>
              <w:bottom w:val="single" w:sz="8" w:color="auto"/>
            </w:tcBorders>
            <w:shd w:val="clear" w:color="auto" w:fill="CCEEFF"/>
          </w:tcPr>
          <w:p>
            <w:pPr>
              <w:spacing w:after="0"/>
              <w:rPr>
                <w:sz w:val="5"/>
                <w:szCs w:val="5"/>
                <w:color w:val="auto"/>
              </w:rPr>
            </w:pPr>
          </w:p>
        </w:tc>
        <w:tc>
          <w:tcPr>
            <w:tcW w:w="24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660" w:type="dxa"/>
            <w:vAlign w:val="bottom"/>
            <w:tcBorders>
              <w:top w:val="single" w:sz="8" w:color="CCEEFF"/>
              <w:bottom w:val="single" w:sz="8" w:color="auto"/>
            </w:tcBorders>
            <w:shd w:val="clear" w:color="auto" w:fill="CCEEFF"/>
          </w:tcPr>
          <w:p>
            <w:pPr>
              <w:spacing w:after="0"/>
              <w:rPr>
                <w:sz w:val="5"/>
                <w:szCs w:val="5"/>
                <w:color w:val="auto"/>
              </w:rPr>
            </w:pPr>
          </w:p>
        </w:tc>
        <w:tc>
          <w:tcPr>
            <w:tcW w:w="920" w:type="dxa"/>
            <w:vAlign w:val="bottom"/>
            <w:tcBorders>
              <w:top w:val="single" w:sz="8" w:color="CCEEFF"/>
              <w:bottom w:val="single" w:sz="8" w:color="auto"/>
            </w:tcBorders>
            <w:shd w:val="clear" w:color="auto" w:fill="CCEEFF"/>
          </w:tcPr>
          <w:p>
            <w:pPr>
              <w:spacing w:after="0"/>
              <w:rPr>
                <w:sz w:val="5"/>
                <w:szCs w:val="5"/>
                <w:color w:val="auto"/>
              </w:rPr>
            </w:pPr>
          </w:p>
        </w:tc>
        <w:tc>
          <w:tcPr>
            <w:tcW w:w="1980" w:type="dxa"/>
            <w:vAlign w:val="bottom"/>
            <w:tcBorders>
              <w:top w:val="single" w:sz="8" w:color="CCEEFF"/>
              <w:bottom w:val="single" w:sz="8" w:color="auto"/>
            </w:tcBorders>
            <w:shd w:val="clear" w:color="auto" w:fill="CCEEFF"/>
          </w:tcPr>
          <w:p>
            <w:pPr>
              <w:spacing w:after="0"/>
              <w:rPr>
                <w:sz w:val="5"/>
                <w:szCs w:val="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b w:val="1"/>
                <w:bCs w:val="1"/>
                <w:color w:val="auto"/>
              </w:rPr>
              <w:t>31(a)</w:t>
            </w:r>
          </w:p>
        </w:tc>
        <w:tc>
          <w:tcPr>
            <w:tcW w:w="20" w:type="dxa"/>
            <w:vAlign w:val="bottom"/>
          </w:tcPr>
          <w:p>
            <w:pPr>
              <w:spacing w:after="0"/>
              <w:rPr>
                <w:sz w:val="14"/>
                <w:szCs w:val="14"/>
                <w:color w:val="auto"/>
              </w:rPr>
            </w:pPr>
          </w:p>
        </w:tc>
        <w:tc>
          <w:tcPr>
            <w:tcW w:w="3900" w:type="dxa"/>
            <w:vAlign w:val="bottom"/>
            <w:tcBorders>
              <w:bottom w:val="single" w:sz="8" w:color="0000FF"/>
            </w:tcBorders>
            <w:gridSpan w:val="25"/>
          </w:tcPr>
          <w:p>
            <w:pPr>
              <w:spacing w:after="0" w:line="169" w:lineRule="exact"/>
              <w:rPr>
                <w:rFonts w:ascii="Arial" w:cs="Arial" w:eastAsia="Arial" w:hAnsi="Arial"/>
                <w:sz w:val="16"/>
                <w:szCs w:val="16"/>
                <w:color w:val="0000FF"/>
                <w:w w:val="93"/>
              </w:rPr>
            </w:pPr>
            <w:hyperlink w:anchor="page86">
              <w:r>
                <w:rPr>
                  <w:rFonts w:ascii="Arial" w:cs="Arial" w:eastAsia="Arial" w:hAnsi="Arial"/>
                  <w:sz w:val="16"/>
                  <w:szCs w:val="16"/>
                  <w:color w:val="0000FF"/>
                  <w:w w:val="93"/>
                </w:rPr>
                <w:t>Rule 13a-14(a)/15(d)-14(a) Certification of Chief Executive</w:t>
              </w:r>
            </w:hyperlink>
          </w:p>
        </w:tc>
        <w:tc>
          <w:tcPr>
            <w:tcW w:w="200" w:type="dxa"/>
            <w:vAlign w:val="bottom"/>
            <w:tcBorders>
              <w:right w:val="single" w:sz="8" w:color="auto"/>
            </w:tcBorders>
            <w:gridSpan w:val="2"/>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82"/>
        </w:trPr>
        <w:tc>
          <w:tcPr>
            <w:tcW w:w="1200" w:type="dxa"/>
            <w:vAlign w:val="bottom"/>
            <w:tcBorders>
              <w:left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100" w:type="dxa"/>
            <w:vAlign w:val="bottom"/>
            <w:tcBorders>
              <w:right w:val="single" w:sz="8" w:color="auto"/>
            </w:tcBorders>
            <w:gridSpan w:val="27"/>
            <w:vMerge w:val="restart"/>
          </w:tcPr>
          <w:p>
            <w:pPr>
              <w:spacing w:after="0" w:line="142" w:lineRule="exact"/>
              <w:rPr>
                <w:rFonts w:ascii="Arial" w:cs="Arial" w:eastAsia="Arial" w:hAnsi="Arial"/>
                <w:sz w:val="16"/>
                <w:szCs w:val="16"/>
                <w:color w:val="0000FF"/>
              </w:rPr>
            </w:pPr>
            <w:hyperlink w:anchor="page86">
              <w:r>
                <w:rPr>
                  <w:rFonts w:ascii="Arial" w:cs="Arial" w:eastAsia="Arial" w:hAnsi="Arial"/>
                  <w:sz w:val="16"/>
                  <w:szCs w:val="16"/>
                  <w:color w:val="0000FF"/>
                </w:rPr>
                <w:t>Officer</w:t>
              </w:r>
            </w:hyperlink>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200" w:type="dxa"/>
            <w:vAlign w:val="bottom"/>
            <w:tcBorders>
              <w:left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100" w:type="dxa"/>
            <w:vAlign w:val="bottom"/>
            <w:tcBorders>
              <w:right w:val="single" w:sz="8" w:color="auto"/>
            </w:tcBorders>
            <w:gridSpan w:val="27"/>
            <w:vMerge w:val="continue"/>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58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31(b)</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69" w:lineRule="exact"/>
              <w:rPr>
                <w:rFonts w:ascii="Arial" w:cs="Arial" w:eastAsia="Arial" w:hAnsi="Arial"/>
                <w:sz w:val="16"/>
                <w:szCs w:val="16"/>
                <w:color w:val="0000FF"/>
                <w:w w:val="99"/>
              </w:rPr>
            </w:pPr>
            <w:hyperlink w:anchor="page87">
              <w:r>
                <w:rPr>
                  <w:rFonts w:ascii="Arial" w:cs="Arial" w:eastAsia="Arial" w:hAnsi="Arial"/>
                  <w:sz w:val="16"/>
                  <w:szCs w:val="16"/>
                  <w:color w:val="0000FF"/>
                  <w:w w:val="99"/>
                </w:rPr>
                <w:t>Rule 13a-14(a)/15(d)-14(a) Certification of Chief Financial</w:t>
              </w:r>
            </w:hyperlink>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580" w:type="dxa"/>
            <w:vAlign w:val="bottom"/>
            <w:tcBorders>
              <w:right w:val="single" w:sz="8" w:color="auto"/>
            </w:tcBorders>
            <w:shd w:val="clear" w:color="auto" w:fill="CCEEFF"/>
          </w:tcPr>
          <w:p>
            <w:pPr>
              <w:spacing w:after="0"/>
              <w:rPr>
                <w:sz w:val="14"/>
                <w:szCs w:val="14"/>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82"/>
        </w:trPr>
        <w:tc>
          <w:tcPr>
            <w:tcW w:w="1200" w:type="dxa"/>
            <w:vAlign w:val="bottom"/>
            <w:tcBorders>
              <w:top w:val="single" w:sz="8" w:color="CCEEFF"/>
              <w:left w:val="single" w:sz="8" w:color="auto"/>
              <w:right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840" w:type="dxa"/>
            <w:vAlign w:val="bottom"/>
            <w:tcBorders>
              <w:top w:val="single" w:sz="8" w:color="0000FF"/>
            </w:tcBorders>
            <w:gridSpan w:val="23"/>
            <w:vMerge w:val="restart"/>
            <w:shd w:val="clear" w:color="auto" w:fill="CCEEFF"/>
          </w:tcPr>
          <w:p>
            <w:pPr>
              <w:spacing w:after="0" w:line="142" w:lineRule="exact"/>
              <w:rPr>
                <w:rFonts w:ascii="Arial" w:cs="Arial" w:eastAsia="Arial" w:hAnsi="Arial"/>
                <w:sz w:val="16"/>
                <w:szCs w:val="16"/>
                <w:color w:val="0000FF"/>
              </w:rPr>
            </w:pPr>
            <w:hyperlink w:anchor="page87">
              <w:r>
                <w:rPr>
                  <w:rFonts w:ascii="Arial" w:cs="Arial" w:eastAsia="Arial" w:hAnsi="Arial"/>
                  <w:sz w:val="16"/>
                  <w:szCs w:val="16"/>
                  <w:color w:val="0000FF"/>
                </w:rPr>
                <w:t>Officer</w:t>
              </w:r>
            </w:hyperlink>
          </w:p>
        </w:tc>
        <w:tc>
          <w:tcPr>
            <w:tcW w:w="260" w:type="dxa"/>
            <w:vAlign w:val="bottom"/>
            <w:tcBorders>
              <w:top w:val="single" w:sz="8" w:color="CCEEFF"/>
              <w:right w:val="single" w:sz="8" w:color="auto"/>
            </w:tcBorders>
            <w:gridSpan w:val="4"/>
            <w:vMerge w:val="restart"/>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198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right w:val="single" w:sz="8" w:color="auto"/>
            </w:tcBorders>
            <w:shd w:val="clear" w:color="auto" w:fill="CCEEFF"/>
          </w:tcPr>
          <w:p>
            <w:pPr>
              <w:spacing w:after="0"/>
              <w:rPr>
                <w:sz w:val="7"/>
                <w:szCs w:val="7"/>
                <w:color w:val="auto"/>
              </w:rPr>
            </w:pPr>
          </w:p>
        </w:tc>
        <w:tc>
          <w:tcPr>
            <w:tcW w:w="980" w:type="dxa"/>
            <w:vAlign w:val="bottom"/>
            <w:tcBorders>
              <w:top w:val="single" w:sz="8" w:color="CCEEFF"/>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20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3840" w:type="dxa"/>
            <w:vAlign w:val="bottom"/>
            <w:tcBorders>
              <w:bottom w:val="single" w:sz="8" w:color="auto"/>
            </w:tcBorders>
            <w:gridSpan w:val="23"/>
            <w:vMerge w:val="continue"/>
            <w:shd w:val="clear" w:color="auto" w:fill="CCEEFF"/>
          </w:tcPr>
          <w:p>
            <w:pPr>
              <w:spacing w:after="0"/>
              <w:rPr>
                <w:sz w:val="8"/>
                <w:szCs w:val="8"/>
                <w:color w:val="auto"/>
              </w:rPr>
            </w:pPr>
          </w:p>
        </w:tc>
        <w:tc>
          <w:tcPr>
            <w:tcW w:w="260" w:type="dxa"/>
            <w:vAlign w:val="bottom"/>
            <w:tcBorders>
              <w:bottom w:val="single" w:sz="8" w:color="auto"/>
              <w:right w:val="single" w:sz="8" w:color="auto"/>
            </w:tcBorders>
            <w:gridSpan w:val="4"/>
            <w:vMerge w:val="continue"/>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920" w:type="dxa"/>
            <w:vAlign w:val="bottom"/>
            <w:tcBorders>
              <w:bottom w:val="single" w:sz="8" w:color="auto"/>
            </w:tcBorders>
            <w:shd w:val="clear" w:color="auto" w:fill="CCEEFF"/>
          </w:tcPr>
          <w:p>
            <w:pPr>
              <w:spacing w:after="0"/>
              <w:rPr>
                <w:sz w:val="8"/>
                <w:szCs w:val="8"/>
                <w:color w:val="auto"/>
              </w:rPr>
            </w:pPr>
          </w:p>
        </w:tc>
        <w:tc>
          <w:tcPr>
            <w:tcW w:w="1980" w:type="dxa"/>
            <w:vAlign w:val="bottom"/>
            <w:tcBorders>
              <w:bottom w:val="single" w:sz="8" w:color="auto"/>
            </w:tcBorders>
            <w:shd w:val="clear" w:color="auto" w:fill="CCEEFF"/>
          </w:tcPr>
          <w:p>
            <w:pPr>
              <w:spacing w:after="0"/>
              <w:rPr>
                <w:sz w:val="8"/>
                <w:szCs w:val="8"/>
                <w:color w:val="auto"/>
              </w:rPr>
            </w:pPr>
          </w:p>
        </w:tc>
        <w:tc>
          <w:tcPr>
            <w:tcW w:w="1580" w:type="dxa"/>
            <w:vAlign w:val="bottom"/>
            <w:tcBorders>
              <w:bottom w:val="single" w:sz="8" w:color="auto"/>
              <w:right w:val="single" w:sz="8" w:color="auto"/>
            </w:tcBorders>
            <w:shd w:val="clear" w:color="auto" w:fill="CCEEFF"/>
          </w:tcPr>
          <w:p>
            <w:pPr>
              <w:spacing w:after="0"/>
              <w:rPr>
                <w:sz w:val="8"/>
                <w:szCs w:val="8"/>
                <w:color w:val="auto"/>
              </w:rPr>
            </w:pPr>
          </w:p>
        </w:tc>
        <w:tc>
          <w:tcPr>
            <w:tcW w:w="98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b w:val="1"/>
                <w:bCs w:val="1"/>
                <w:color w:val="auto"/>
              </w:rPr>
              <w:t>32(a)</w:t>
            </w:r>
          </w:p>
        </w:tc>
        <w:tc>
          <w:tcPr>
            <w:tcW w:w="20" w:type="dxa"/>
            <w:vAlign w:val="bottom"/>
          </w:tcPr>
          <w:p>
            <w:pPr>
              <w:spacing w:after="0"/>
              <w:rPr>
                <w:sz w:val="14"/>
                <w:szCs w:val="14"/>
                <w:color w:val="auto"/>
              </w:rPr>
            </w:pPr>
          </w:p>
        </w:tc>
        <w:tc>
          <w:tcPr>
            <w:tcW w:w="4100" w:type="dxa"/>
            <w:vAlign w:val="bottom"/>
            <w:tcBorders>
              <w:right w:val="single" w:sz="8" w:color="auto"/>
            </w:tcBorders>
            <w:gridSpan w:val="27"/>
          </w:tcPr>
          <w:p>
            <w:pPr>
              <w:spacing w:after="0" w:line="155" w:lineRule="exact"/>
              <w:rPr>
                <w:rFonts w:ascii="Arial" w:cs="Arial" w:eastAsia="Arial" w:hAnsi="Arial"/>
                <w:sz w:val="16"/>
                <w:szCs w:val="16"/>
                <w:color w:val="0000FF"/>
              </w:rPr>
            </w:pPr>
            <w:hyperlink w:anchor="page88">
              <w:r>
                <w:rPr>
                  <w:rFonts w:ascii="Arial" w:cs="Arial" w:eastAsia="Arial" w:hAnsi="Arial"/>
                  <w:sz w:val="16"/>
                  <w:szCs w:val="16"/>
                  <w:color w:val="0000FF"/>
                </w:rPr>
                <w:t>Section 1350 Certification of Chief Executive Officer</w:t>
              </w:r>
            </w:hyperlink>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61"/>
        </w:trPr>
        <w:tc>
          <w:tcPr>
            <w:tcW w:w="1200" w:type="dxa"/>
            <w:vAlign w:val="bottom"/>
            <w:tcBorders>
              <w:left w:val="single" w:sz="8" w:color="auto"/>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00" w:type="dxa"/>
            <w:vAlign w:val="bottom"/>
            <w:tcBorders>
              <w:top w:val="single" w:sz="8" w:color="0000FF"/>
              <w:bottom w:val="single" w:sz="8" w:color="auto"/>
            </w:tcBorders>
          </w:tcPr>
          <w:p>
            <w:pPr>
              <w:spacing w:after="0"/>
              <w:rPr>
                <w:sz w:val="5"/>
                <w:szCs w:val="5"/>
                <w:color w:val="auto"/>
              </w:rPr>
            </w:pPr>
          </w:p>
        </w:tc>
        <w:tc>
          <w:tcPr>
            <w:tcW w:w="440" w:type="dxa"/>
            <w:vAlign w:val="bottom"/>
            <w:tcBorders>
              <w:top w:val="single" w:sz="8" w:color="0000FF"/>
              <w:bottom w:val="single" w:sz="8" w:color="auto"/>
            </w:tcBorders>
          </w:tcPr>
          <w:p>
            <w:pPr>
              <w:spacing w:after="0"/>
              <w:rPr>
                <w:sz w:val="5"/>
                <w:szCs w:val="5"/>
                <w:color w:val="auto"/>
              </w:rPr>
            </w:pPr>
          </w:p>
        </w:tc>
        <w:tc>
          <w:tcPr>
            <w:tcW w:w="62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32(b)</w:t>
            </w:r>
          </w:p>
        </w:tc>
        <w:tc>
          <w:tcPr>
            <w:tcW w:w="20" w:type="dxa"/>
            <w:vAlign w:val="bottom"/>
            <w:shd w:val="clear" w:color="auto" w:fill="CCEEFF"/>
          </w:tcPr>
          <w:p>
            <w:pPr>
              <w:spacing w:after="0"/>
              <w:rPr>
                <w:sz w:val="14"/>
                <w:szCs w:val="14"/>
                <w:color w:val="auto"/>
              </w:rPr>
            </w:pPr>
          </w:p>
        </w:tc>
        <w:tc>
          <w:tcPr>
            <w:tcW w:w="4100" w:type="dxa"/>
            <w:vAlign w:val="bottom"/>
            <w:tcBorders>
              <w:right w:val="single" w:sz="8" w:color="auto"/>
            </w:tcBorders>
            <w:gridSpan w:val="27"/>
            <w:shd w:val="clear" w:color="auto" w:fill="CCEEFF"/>
          </w:tcPr>
          <w:p>
            <w:pPr>
              <w:spacing w:after="0" w:line="155" w:lineRule="exact"/>
              <w:rPr>
                <w:rFonts w:ascii="Arial" w:cs="Arial" w:eastAsia="Arial" w:hAnsi="Arial"/>
                <w:sz w:val="16"/>
                <w:szCs w:val="16"/>
                <w:color w:val="0000FF"/>
              </w:rPr>
            </w:pPr>
            <w:hyperlink w:anchor="page89">
              <w:r>
                <w:rPr>
                  <w:rFonts w:ascii="Arial" w:cs="Arial" w:eastAsia="Arial" w:hAnsi="Arial"/>
                  <w:sz w:val="16"/>
                  <w:szCs w:val="16"/>
                  <w:color w:val="0000FF"/>
                </w:rPr>
                <w:t>Section 1350 Certification of Chief Financial Officer</w:t>
              </w:r>
            </w:hyperlink>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580" w:type="dxa"/>
            <w:vAlign w:val="bottom"/>
            <w:tcBorders>
              <w:right w:val="single" w:sz="8" w:color="auto"/>
            </w:tcBorders>
            <w:shd w:val="clear" w:color="auto" w:fill="CCEEFF"/>
          </w:tcPr>
          <w:p>
            <w:pPr>
              <w:spacing w:after="0"/>
              <w:rPr>
                <w:sz w:val="14"/>
                <w:szCs w:val="14"/>
                <w:color w:val="auto"/>
              </w:rPr>
            </w:pPr>
          </w:p>
        </w:tc>
        <w:tc>
          <w:tcPr>
            <w:tcW w:w="980" w:type="dxa"/>
            <w:vAlign w:val="bottom"/>
            <w:tcBorders>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61"/>
        </w:trPr>
        <w:tc>
          <w:tcPr>
            <w:tcW w:w="1200" w:type="dxa"/>
            <w:vAlign w:val="bottom"/>
            <w:tcBorders>
              <w:top w:val="single" w:sz="8" w:color="CCEEFF"/>
              <w:left w:val="single" w:sz="8" w:color="auto"/>
              <w:bottom w:val="single" w:sz="8" w:color="auto"/>
              <w:right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60" w:type="dxa"/>
            <w:vAlign w:val="bottom"/>
            <w:tcBorders>
              <w:top w:val="single" w:sz="8" w:color="0000FF"/>
              <w:bottom w:val="single" w:sz="8" w:color="auto"/>
            </w:tcBorders>
            <w:shd w:val="clear" w:color="auto" w:fill="CCEEFF"/>
          </w:tcPr>
          <w:p>
            <w:pPr>
              <w:spacing w:after="0"/>
              <w:rPr>
                <w:sz w:val="5"/>
                <w:szCs w:val="5"/>
                <w:color w:val="auto"/>
              </w:rPr>
            </w:pPr>
          </w:p>
        </w:tc>
        <w:tc>
          <w:tcPr>
            <w:tcW w:w="16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0000FF"/>
              <w:bottom w:val="single" w:sz="8" w:color="auto"/>
            </w:tcBorders>
            <w:shd w:val="clear" w:color="auto" w:fill="CCEEFF"/>
          </w:tcPr>
          <w:p>
            <w:pPr>
              <w:spacing w:after="0"/>
              <w:rPr>
                <w:sz w:val="5"/>
                <w:szCs w:val="5"/>
                <w:color w:val="auto"/>
              </w:rPr>
            </w:pPr>
          </w:p>
        </w:tc>
        <w:tc>
          <w:tcPr>
            <w:tcW w:w="280" w:type="dxa"/>
            <w:vAlign w:val="bottom"/>
            <w:tcBorders>
              <w:top w:val="single" w:sz="8" w:color="0000FF"/>
              <w:bottom w:val="single" w:sz="8" w:color="auto"/>
            </w:tcBorders>
            <w:shd w:val="clear" w:color="auto" w:fill="CCEEFF"/>
          </w:tcPr>
          <w:p>
            <w:pPr>
              <w:spacing w:after="0"/>
              <w:rPr>
                <w:sz w:val="5"/>
                <w:szCs w:val="5"/>
                <w:color w:val="auto"/>
              </w:rPr>
            </w:pPr>
          </w:p>
        </w:tc>
        <w:tc>
          <w:tcPr>
            <w:tcW w:w="80" w:type="dxa"/>
            <w:vAlign w:val="bottom"/>
            <w:tcBorders>
              <w:top w:val="single" w:sz="8" w:color="0000FF"/>
              <w:bottom w:val="single" w:sz="8" w:color="auto"/>
            </w:tcBorders>
            <w:shd w:val="clear" w:color="auto" w:fill="CCEEFF"/>
          </w:tcPr>
          <w:p>
            <w:pPr>
              <w:spacing w:after="0"/>
              <w:rPr>
                <w:sz w:val="5"/>
                <w:szCs w:val="5"/>
                <w:color w:val="auto"/>
              </w:rPr>
            </w:pPr>
          </w:p>
        </w:tc>
        <w:tc>
          <w:tcPr>
            <w:tcW w:w="220" w:type="dxa"/>
            <w:vAlign w:val="bottom"/>
            <w:tcBorders>
              <w:top w:val="single" w:sz="8" w:color="0000FF"/>
              <w:bottom w:val="single" w:sz="8" w:color="auto"/>
            </w:tcBorders>
            <w:shd w:val="clear" w:color="auto" w:fill="CCEEFF"/>
          </w:tcPr>
          <w:p>
            <w:pPr>
              <w:spacing w:after="0"/>
              <w:rPr>
                <w:sz w:val="5"/>
                <w:szCs w:val="5"/>
                <w:color w:val="auto"/>
              </w:rPr>
            </w:pPr>
          </w:p>
        </w:tc>
        <w:tc>
          <w:tcPr>
            <w:tcW w:w="6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0000FF"/>
              <w:bottom w:val="single" w:sz="8" w:color="auto"/>
            </w:tcBorders>
            <w:shd w:val="clear" w:color="auto" w:fill="CCEEFF"/>
          </w:tcPr>
          <w:p>
            <w:pPr>
              <w:spacing w:after="0"/>
              <w:rPr>
                <w:sz w:val="5"/>
                <w:szCs w:val="5"/>
                <w:color w:val="auto"/>
              </w:rPr>
            </w:pPr>
          </w:p>
        </w:tc>
        <w:tc>
          <w:tcPr>
            <w:tcW w:w="100" w:type="dxa"/>
            <w:vAlign w:val="bottom"/>
            <w:tcBorders>
              <w:top w:val="single" w:sz="8" w:color="0000FF"/>
              <w:bottom w:val="single" w:sz="8" w:color="auto"/>
            </w:tcBorders>
            <w:shd w:val="clear" w:color="auto" w:fill="CCEEFF"/>
          </w:tcPr>
          <w:p>
            <w:pPr>
              <w:spacing w:after="0"/>
              <w:rPr>
                <w:sz w:val="5"/>
                <w:szCs w:val="5"/>
                <w:color w:val="auto"/>
              </w:rPr>
            </w:pPr>
          </w:p>
        </w:tc>
        <w:tc>
          <w:tcPr>
            <w:tcW w:w="440" w:type="dxa"/>
            <w:vAlign w:val="bottom"/>
            <w:tcBorders>
              <w:top w:val="single" w:sz="8" w:color="0000FF"/>
              <w:bottom w:val="single" w:sz="8" w:color="auto"/>
            </w:tcBorders>
            <w:shd w:val="clear" w:color="auto" w:fill="CCEEFF"/>
          </w:tcPr>
          <w:p>
            <w:pPr>
              <w:spacing w:after="0"/>
              <w:rPr>
                <w:sz w:val="5"/>
                <w:szCs w:val="5"/>
                <w:color w:val="auto"/>
              </w:rPr>
            </w:pPr>
          </w:p>
        </w:tc>
        <w:tc>
          <w:tcPr>
            <w:tcW w:w="620" w:type="dxa"/>
            <w:vAlign w:val="bottom"/>
            <w:tcBorders>
              <w:top w:val="single" w:sz="8" w:color="0000FF"/>
              <w:bottom w:val="single" w:sz="8" w:color="auto"/>
            </w:tcBorders>
            <w:shd w:val="clear" w:color="auto" w:fill="CCEEFF"/>
          </w:tcPr>
          <w:p>
            <w:pPr>
              <w:spacing w:after="0"/>
              <w:rPr>
                <w:sz w:val="5"/>
                <w:szCs w:val="5"/>
                <w:color w:val="auto"/>
              </w:rPr>
            </w:pPr>
          </w:p>
        </w:tc>
        <w:tc>
          <w:tcPr>
            <w:tcW w:w="40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0000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4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1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660" w:type="dxa"/>
            <w:vAlign w:val="bottom"/>
            <w:tcBorders>
              <w:top w:val="single" w:sz="8" w:color="CCEEFF"/>
              <w:bottom w:val="single" w:sz="8" w:color="auto"/>
            </w:tcBorders>
            <w:shd w:val="clear" w:color="auto" w:fill="CCEEFF"/>
          </w:tcPr>
          <w:p>
            <w:pPr>
              <w:spacing w:after="0"/>
              <w:rPr>
                <w:sz w:val="5"/>
                <w:szCs w:val="5"/>
                <w:color w:val="auto"/>
              </w:rPr>
            </w:pPr>
          </w:p>
        </w:tc>
        <w:tc>
          <w:tcPr>
            <w:tcW w:w="920" w:type="dxa"/>
            <w:vAlign w:val="bottom"/>
            <w:tcBorders>
              <w:top w:val="single" w:sz="8" w:color="CCEEFF"/>
              <w:bottom w:val="single" w:sz="8" w:color="auto"/>
            </w:tcBorders>
            <w:shd w:val="clear" w:color="auto" w:fill="CCEEFF"/>
          </w:tcPr>
          <w:p>
            <w:pPr>
              <w:spacing w:after="0"/>
              <w:rPr>
                <w:sz w:val="5"/>
                <w:szCs w:val="5"/>
                <w:color w:val="auto"/>
              </w:rPr>
            </w:pPr>
          </w:p>
        </w:tc>
        <w:tc>
          <w:tcPr>
            <w:tcW w:w="1980" w:type="dxa"/>
            <w:vAlign w:val="bottom"/>
            <w:tcBorders>
              <w:top w:val="single" w:sz="8" w:color="CCEEFF"/>
              <w:bottom w:val="single" w:sz="8" w:color="auto"/>
            </w:tcBorders>
            <w:shd w:val="clear" w:color="auto" w:fill="CCEEFF"/>
          </w:tcPr>
          <w:p>
            <w:pPr>
              <w:spacing w:after="0"/>
              <w:rPr>
                <w:sz w:val="5"/>
                <w:szCs w:val="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15" w:right="21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1215" w:right="219" w:bottom="1440" w:gutter="0" w:footer="0" w:header="0"/>
          <w:type w:val="continuous"/>
        </w:sectPr>
      </w:pPr>
    </w:p>
    <w:bookmarkStart w:id="62" w:name="page63"/>
    <w:bookmarkEnd w:id="62"/>
    <w:tbl>
      <w:tblPr>
        <w:tblLayout w:type="fixed"/>
        <w:tblInd w:w="10" w:type="dxa"/>
        <w:tblCellMar>
          <w:top w:w="0" w:type="dxa"/>
          <w:left w:w="0" w:type="dxa"/>
          <w:bottom w:w="0" w:type="dxa"/>
          <w:right w:w="0" w:type="dxa"/>
        </w:tblCellMar>
      </w:tblPr>
      <w:tr>
        <w:trPr>
          <w:trHeight w:val="270"/>
        </w:trPr>
        <w:tc>
          <w:tcPr>
            <w:tcW w:w="1200" w:type="dxa"/>
            <w:vAlign w:val="bottom"/>
            <w:tcBorders>
              <w:top w:val="single" w:sz="8" w:color="auto"/>
              <w:left w:val="single" w:sz="8" w:color="auto"/>
              <w:right w:val="single" w:sz="8" w:color="auto"/>
            </w:tcBorders>
          </w:tcPr>
          <w:p>
            <w:pPr>
              <w:spacing w:after="0"/>
              <w:rPr>
                <w:sz w:val="23"/>
                <w:szCs w:val="23"/>
                <w:color w:val="auto"/>
              </w:rPr>
            </w:pPr>
          </w:p>
        </w:tc>
        <w:tc>
          <w:tcPr>
            <w:tcW w:w="4120" w:type="dxa"/>
            <w:vAlign w:val="bottom"/>
            <w:tcBorders>
              <w:top w:val="single" w:sz="8" w:color="auto"/>
              <w:right w:val="single" w:sz="8" w:color="auto"/>
            </w:tcBorders>
          </w:tcPr>
          <w:p>
            <w:pPr>
              <w:spacing w:after="0"/>
              <w:rPr>
                <w:sz w:val="23"/>
                <w:szCs w:val="23"/>
                <w:color w:val="auto"/>
              </w:rPr>
            </w:pPr>
          </w:p>
        </w:tc>
        <w:tc>
          <w:tcPr>
            <w:tcW w:w="1580" w:type="dxa"/>
            <w:vAlign w:val="bottom"/>
            <w:tcBorders>
              <w:top w:val="single" w:sz="8" w:color="auto"/>
              <w:bottom w:val="single" w:sz="8" w:color="auto"/>
            </w:tcBorders>
          </w:tcPr>
          <w:p>
            <w:pPr>
              <w:spacing w:after="0"/>
              <w:rPr>
                <w:sz w:val="23"/>
                <w:szCs w:val="23"/>
                <w:color w:val="auto"/>
              </w:rPr>
            </w:pPr>
          </w:p>
        </w:tc>
        <w:tc>
          <w:tcPr>
            <w:tcW w:w="19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w w:val="94"/>
              </w:rPr>
              <w:t>Incorporated by Reference</w:t>
            </w:r>
          </w:p>
        </w:tc>
        <w:tc>
          <w:tcPr>
            <w:tcW w:w="1580" w:type="dxa"/>
            <w:vAlign w:val="bottom"/>
            <w:tcBorders>
              <w:top w:val="single" w:sz="8" w:color="auto"/>
              <w:bottom w:val="single" w:sz="8" w:color="auto"/>
              <w:right w:val="single" w:sz="8" w:color="auto"/>
            </w:tcBorders>
          </w:tcPr>
          <w:p>
            <w:pPr>
              <w:spacing w:after="0"/>
              <w:rPr>
                <w:sz w:val="23"/>
                <w:szCs w:val="23"/>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Filed or</w:t>
            </w:r>
          </w:p>
        </w:tc>
        <w:tc>
          <w:tcPr>
            <w:tcW w:w="0" w:type="dxa"/>
            <w:vAlign w:val="bottom"/>
          </w:tcPr>
          <w:p>
            <w:pPr>
              <w:spacing w:after="0"/>
              <w:rPr>
                <w:sz w:val="1"/>
                <w:szCs w:val="1"/>
                <w:color w:val="auto"/>
              </w:rPr>
            </w:pPr>
          </w:p>
        </w:tc>
      </w:tr>
      <w:tr>
        <w:trPr>
          <w:trHeight w:val="196"/>
        </w:trPr>
        <w:tc>
          <w:tcPr>
            <w:tcW w:w="1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Designation of</w:t>
            </w:r>
          </w:p>
        </w:tc>
        <w:tc>
          <w:tcPr>
            <w:tcW w:w="4120" w:type="dxa"/>
            <w:vAlign w:val="bottom"/>
            <w:tcBorders>
              <w:right w:val="single" w:sz="8" w:color="auto"/>
            </w:tcBorders>
          </w:tcPr>
          <w:p>
            <w:pPr>
              <w:spacing w:after="0"/>
              <w:rPr>
                <w:sz w:val="17"/>
                <w:szCs w:val="17"/>
                <w:color w:val="auto"/>
              </w:rPr>
            </w:pPr>
          </w:p>
        </w:tc>
        <w:tc>
          <w:tcPr>
            <w:tcW w:w="1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Furnished</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w:t>
            </w:r>
          </w:p>
        </w:tc>
        <w:tc>
          <w:tcPr>
            <w:tcW w:w="412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 of Exhibit</w:t>
            </w:r>
          </w:p>
        </w:tc>
        <w:tc>
          <w:tcPr>
            <w:tcW w:w="1580" w:type="dxa"/>
            <w:vAlign w:val="bottom"/>
          </w:tcPr>
          <w:p>
            <w:pPr>
              <w:ind w:left="20"/>
              <w:spacing w:after="0"/>
              <w:rPr>
                <w:sz w:val="20"/>
                <w:szCs w:val="20"/>
                <w:color w:val="auto"/>
              </w:rPr>
            </w:pPr>
            <w:r>
              <w:rPr>
                <w:rFonts w:ascii="Arial" w:cs="Arial" w:eastAsia="Arial" w:hAnsi="Arial"/>
                <w:sz w:val="16"/>
                <w:szCs w:val="16"/>
                <w:b w:val="1"/>
                <w:bCs w:val="1"/>
                <w:color w:val="auto"/>
              </w:rPr>
              <w:t>Form   File Number</w:t>
            </w:r>
          </w:p>
        </w:tc>
        <w:tc>
          <w:tcPr>
            <w:tcW w:w="1980" w:type="dxa"/>
            <w:vAlign w:val="bottom"/>
          </w:tcPr>
          <w:p>
            <w:pPr>
              <w:ind w:left="320"/>
              <w:spacing w:after="0"/>
              <w:rPr>
                <w:sz w:val="20"/>
                <w:szCs w:val="20"/>
                <w:color w:val="auto"/>
              </w:rPr>
            </w:pPr>
            <w:r>
              <w:rPr>
                <w:rFonts w:ascii="Arial" w:cs="Arial" w:eastAsia="Arial" w:hAnsi="Arial"/>
                <w:sz w:val="16"/>
                <w:szCs w:val="16"/>
                <w:b w:val="1"/>
                <w:bCs w:val="1"/>
                <w:color w:val="auto"/>
              </w:rPr>
              <w:t>Date of Filing</w:t>
            </w: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Exhibit Number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33"/>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101.ins</w:t>
            </w:r>
          </w:p>
        </w:tc>
        <w:tc>
          <w:tcPr>
            <w:tcW w:w="4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Instance Document</w:t>
            </w:r>
          </w:p>
        </w:tc>
        <w:tc>
          <w:tcPr>
            <w:tcW w:w="1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3"/>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2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101.sch</w:t>
            </w:r>
          </w:p>
        </w:tc>
        <w:tc>
          <w:tcPr>
            <w:tcW w:w="4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XBRL Taxonomy Schema</w:t>
            </w:r>
          </w:p>
        </w:tc>
        <w:tc>
          <w:tcPr>
            <w:tcW w:w="15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right w:val="single" w:sz="8" w:color="auto"/>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7"/>
        </w:trPr>
        <w:tc>
          <w:tcPr>
            <w:tcW w:w="1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101.cal</w:t>
            </w:r>
          </w:p>
        </w:tc>
        <w:tc>
          <w:tcPr>
            <w:tcW w:w="4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Taxonomy Calculation Linkbase</w:t>
            </w:r>
          </w:p>
        </w:tc>
        <w:tc>
          <w:tcPr>
            <w:tcW w:w="15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3"/>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2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101.def</w:t>
            </w:r>
          </w:p>
        </w:tc>
        <w:tc>
          <w:tcPr>
            <w:tcW w:w="4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XBRL Taxonomy Definitions Document</w:t>
            </w:r>
          </w:p>
        </w:tc>
        <w:tc>
          <w:tcPr>
            <w:tcW w:w="15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right w:val="single" w:sz="8" w:color="auto"/>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7"/>
        </w:trPr>
        <w:tc>
          <w:tcPr>
            <w:tcW w:w="1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101.lab</w:t>
            </w:r>
          </w:p>
        </w:tc>
        <w:tc>
          <w:tcPr>
            <w:tcW w:w="4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Taxonomy Labels Linkbase</w:t>
            </w:r>
          </w:p>
        </w:tc>
        <w:tc>
          <w:tcPr>
            <w:tcW w:w="15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3"/>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2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101.pre</w:t>
            </w:r>
          </w:p>
        </w:tc>
        <w:tc>
          <w:tcPr>
            <w:tcW w:w="4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XBRL Taxonomy Presentation Linkbase</w:t>
            </w:r>
          </w:p>
        </w:tc>
        <w:tc>
          <w:tcPr>
            <w:tcW w:w="15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right w:val="single" w:sz="8" w:color="auto"/>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3"/>
        </w:trPr>
        <w:tc>
          <w:tcPr>
            <w:tcW w:w="1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104</w:t>
            </w:r>
          </w:p>
        </w:tc>
        <w:tc>
          <w:tcPr>
            <w:tcW w:w="4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4"/>
              </w:rPr>
              <w:t>Cover Page Interactive Data File (embedded within the Inline</w:t>
            </w:r>
          </w:p>
        </w:tc>
        <w:tc>
          <w:tcPr>
            <w:tcW w:w="15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98"/>
        </w:trPr>
        <w:tc>
          <w:tcPr>
            <w:tcW w:w="1200" w:type="dxa"/>
            <w:vAlign w:val="bottom"/>
            <w:tcBorders>
              <w:left w:val="single" w:sz="8" w:color="auto"/>
              <w:right w:val="single" w:sz="8" w:color="auto"/>
            </w:tcBorders>
          </w:tcPr>
          <w:p>
            <w:pPr>
              <w:spacing w:after="0"/>
              <w:rPr>
                <w:sz w:val="8"/>
                <w:szCs w:val="8"/>
                <w:color w:val="auto"/>
              </w:rPr>
            </w:pPr>
          </w:p>
        </w:tc>
        <w:tc>
          <w:tcPr>
            <w:tcW w:w="4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XBRL document)</w:t>
            </w:r>
          </w:p>
        </w:tc>
        <w:tc>
          <w:tcPr>
            <w:tcW w:w="15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right w:val="single" w:sz="8" w:color="auto"/>
            </w:tcBorders>
          </w:tcPr>
          <w:p>
            <w:pPr>
              <w:spacing w:after="0"/>
              <w:rPr>
                <w:sz w:val="9"/>
                <w:szCs w:val="9"/>
                <w:color w:val="auto"/>
              </w:rPr>
            </w:pPr>
          </w:p>
        </w:tc>
        <w:tc>
          <w:tcPr>
            <w:tcW w:w="4120" w:type="dxa"/>
            <w:vAlign w:val="bottom"/>
            <w:tcBorders>
              <w:right w:val="single" w:sz="8" w:color="auto"/>
            </w:tcBorders>
            <w:vMerge w:val="continue"/>
          </w:tcPr>
          <w:p>
            <w:pPr>
              <w:spacing w:after="0"/>
              <w:rPr>
                <w:sz w:val="9"/>
                <w:szCs w:val="9"/>
                <w:color w:val="auto"/>
              </w:rPr>
            </w:pPr>
          </w:p>
        </w:tc>
        <w:tc>
          <w:tcPr>
            <w:tcW w:w="15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hanging="112"/>
        <w:spacing w:after="0"/>
        <w:tabs>
          <w:tab w:leader="none" w:pos="120" w:val="left"/>
        </w:tabs>
        <w:numPr>
          <w:ilvl w:val="0"/>
          <w:numId w:val="32"/>
        </w:numPr>
        <w:rPr>
          <w:rFonts w:ascii="Arial" w:cs="Arial" w:eastAsia="Arial" w:hAnsi="Arial"/>
          <w:sz w:val="16"/>
          <w:szCs w:val="16"/>
          <w:color w:val="auto"/>
        </w:rPr>
      </w:pPr>
      <w:r>
        <w:rPr>
          <w:rFonts w:ascii="Arial" w:cs="Arial" w:eastAsia="Arial" w:hAnsi="Arial"/>
          <w:sz w:val="18"/>
          <w:szCs w:val="18"/>
          <w:color w:val="auto"/>
        </w:rPr>
        <w:t>Management compensation plans and arrangements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1132" w:right="2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660" w:right="1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2"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disputes with significant distributors;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28"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07" w:right="259" w:bottom="1440" w:gutter="0" w:footer="0" w:header="0"/>
        </w:sectPr>
      </w:pPr>
    </w:p>
    <w:bookmarkStart w:id="64" w:name="page65"/>
    <w:bookmarkEnd w:id="64"/>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65" w:name="page66"/>
    <w:bookmarkEnd w:id="65"/>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680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31750</wp:posOffset>
            </wp:positionV>
            <wp:extent cx="24784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5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Rafael R. Lizardi</w:t>
      </w:r>
    </w:p>
    <w:p>
      <w:pPr>
        <w:spacing w:after="0" w:line="6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and Chief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1107" w:right="599" w:bottom="1440" w:gutter="0" w:footer="0" w:header="0"/>
        </w:sectPr>
      </w:pPr>
    </w:p>
    <w:bookmarkStart w:id="66" w:name="page67"/>
    <w:bookmarkEnd w:id="66"/>
    <w:p>
      <w:pPr>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Richard K. Templeton, Rafael R. Lizardi,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2019,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the 20th day of February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0" w:type="dxa"/>
            <w:vAlign w:val="bottom"/>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660" w:type="dxa"/>
            <w:vAlign w:val="bottom"/>
          </w:tcPr>
          <w:p>
            <w:pPr>
              <w:jc w:val="center"/>
              <w:spacing w:after="0"/>
              <w:rPr>
                <w:sz w:val="20"/>
                <w:szCs w:val="20"/>
                <w:color w:val="auto"/>
              </w:rPr>
            </w:pPr>
            <w:r>
              <w:rPr>
                <w:rFonts w:ascii="Arial" w:cs="Arial" w:eastAsia="Arial" w:hAnsi="Arial"/>
                <w:sz w:val="18"/>
                <w:szCs w:val="18"/>
                <w:color w:val="auto"/>
                <w:w w:val="96"/>
              </w:rPr>
              <w:t>/s/ Mark A. Blinn</w:t>
            </w: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9"/>
              </w:rPr>
              <w:t>Mark A. Blinn</w:t>
            </w:r>
          </w:p>
        </w:tc>
        <w:tc>
          <w:tcPr>
            <w:tcW w:w="10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660" w:type="dxa"/>
            <w:vAlign w:val="bottom"/>
          </w:tcPr>
          <w:p>
            <w:pPr>
              <w:jc w:val="center"/>
              <w:spacing w:after="0"/>
              <w:rPr>
                <w:sz w:val="20"/>
                <w:szCs w:val="20"/>
                <w:color w:val="auto"/>
              </w:rPr>
            </w:pPr>
            <w:r>
              <w:rPr>
                <w:rFonts w:ascii="Arial" w:cs="Arial" w:eastAsia="Arial" w:hAnsi="Arial"/>
                <w:sz w:val="18"/>
                <w:szCs w:val="18"/>
                <w:color w:val="auto"/>
                <w:w w:val="92"/>
              </w:rPr>
              <w:t>/s/ Todd M. Bluedorn</w:t>
            </w: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2"/>
              </w:rPr>
              <w:t>Todd M. Bluedorn</w:t>
            </w:r>
          </w:p>
        </w:tc>
        <w:tc>
          <w:tcPr>
            <w:tcW w:w="10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660" w:type="dxa"/>
            <w:vAlign w:val="bottom"/>
          </w:tcPr>
          <w:p>
            <w:pPr>
              <w:jc w:val="center"/>
              <w:spacing w:after="0"/>
              <w:rPr>
                <w:sz w:val="20"/>
                <w:szCs w:val="20"/>
                <w:color w:val="auto"/>
              </w:rPr>
            </w:pPr>
            <w:r>
              <w:rPr>
                <w:rFonts w:ascii="Arial" w:cs="Arial" w:eastAsia="Arial" w:hAnsi="Arial"/>
                <w:sz w:val="18"/>
                <w:szCs w:val="18"/>
                <w:color w:val="auto"/>
                <w:w w:val="89"/>
              </w:rPr>
              <w:t>/s/ Janet F. Clark</w:t>
            </w: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3"/>
              </w:rPr>
              <w:t>Janet F. Clark</w:t>
            </w:r>
          </w:p>
        </w:tc>
        <w:tc>
          <w:tcPr>
            <w:tcW w:w="10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660" w:type="dxa"/>
            <w:vAlign w:val="bottom"/>
          </w:tcPr>
          <w:p>
            <w:pPr>
              <w:jc w:val="center"/>
              <w:spacing w:after="0"/>
              <w:rPr>
                <w:sz w:val="20"/>
                <w:szCs w:val="20"/>
                <w:color w:val="auto"/>
              </w:rPr>
            </w:pPr>
            <w:r>
              <w:rPr>
                <w:rFonts w:ascii="Arial" w:cs="Arial" w:eastAsia="Arial" w:hAnsi="Arial"/>
                <w:sz w:val="18"/>
                <w:szCs w:val="18"/>
                <w:color w:val="auto"/>
                <w:w w:val="90"/>
              </w:rPr>
              <w:t>/s/ Carrie S. Cox</w:t>
            </w: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3"/>
              </w:rPr>
              <w:t>Carrie S. Cox</w:t>
            </w:r>
          </w:p>
        </w:tc>
        <w:tc>
          <w:tcPr>
            <w:tcW w:w="10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660" w:type="dxa"/>
            <w:vAlign w:val="bottom"/>
          </w:tcPr>
          <w:p>
            <w:pPr>
              <w:jc w:val="center"/>
              <w:spacing w:after="0"/>
              <w:rPr>
                <w:sz w:val="20"/>
                <w:szCs w:val="20"/>
                <w:color w:val="auto"/>
              </w:rPr>
            </w:pPr>
            <w:r>
              <w:rPr>
                <w:rFonts w:ascii="Arial" w:cs="Arial" w:eastAsia="Arial" w:hAnsi="Arial"/>
                <w:sz w:val="18"/>
                <w:szCs w:val="18"/>
                <w:color w:val="auto"/>
                <w:w w:val="91"/>
              </w:rPr>
              <w:t>/s/ Martin S. Craighead</w:t>
            </w: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3"/>
              </w:rPr>
              <w:t>Martin S. Craighead</w:t>
            </w:r>
          </w:p>
        </w:tc>
        <w:tc>
          <w:tcPr>
            <w:tcW w:w="10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660" w:type="dxa"/>
            <w:vAlign w:val="bottom"/>
          </w:tcPr>
          <w:p>
            <w:pPr>
              <w:jc w:val="center"/>
              <w:spacing w:after="0"/>
              <w:rPr>
                <w:sz w:val="20"/>
                <w:szCs w:val="20"/>
                <w:color w:val="auto"/>
              </w:rPr>
            </w:pPr>
            <w:r>
              <w:rPr>
                <w:rFonts w:ascii="Arial" w:cs="Arial" w:eastAsia="Arial" w:hAnsi="Arial"/>
                <w:sz w:val="18"/>
                <w:szCs w:val="18"/>
                <w:color w:val="auto"/>
                <w:w w:val="90"/>
              </w:rPr>
              <w:t>/s/ Jean M. Hobby</w:t>
            </w: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2"/>
              </w:rPr>
              <w:t>Jean M. Hobby</w:t>
            </w:r>
          </w:p>
        </w:tc>
        <w:tc>
          <w:tcPr>
            <w:tcW w:w="10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660" w:type="dxa"/>
            <w:vAlign w:val="bottom"/>
          </w:tcPr>
          <w:p>
            <w:pPr>
              <w:jc w:val="center"/>
              <w:spacing w:after="0"/>
              <w:rPr>
                <w:sz w:val="20"/>
                <w:szCs w:val="20"/>
                <w:color w:val="auto"/>
              </w:rPr>
            </w:pPr>
            <w:r>
              <w:rPr>
                <w:rFonts w:ascii="Arial" w:cs="Arial" w:eastAsia="Arial" w:hAnsi="Arial"/>
                <w:sz w:val="18"/>
                <w:szCs w:val="18"/>
                <w:color w:val="auto"/>
                <w:w w:val="93"/>
              </w:rPr>
              <w:t>/s/ Ronald Kirk</w:t>
            </w: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6"/>
              </w:rPr>
              <w:t>Ronald Kirk</w:t>
            </w:r>
          </w:p>
        </w:tc>
        <w:tc>
          <w:tcPr>
            <w:tcW w:w="10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660" w:type="dxa"/>
            <w:vAlign w:val="bottom"/>
          </w:tcPr>
          <w:p>
            <w:pPr>
              <w:jc w:val="center"/>
              <w:spacing w:after="0"/>
              <w:rPr>
                <w:sz w:val="20"/>
                <w:szCs w:val="20"/>
                <w:color w:val="auto"/>
              </w:rPr>
            </w:pPr>
            <w:r>
              <w:rPr>
                <w:rFonts w:ascii="Arial" w:cs="Arial" w:eastAsia="Arial" w:hAnsi="Arial"/>
                <w:sz w:val="18"/>
                <w:szCs w:val="18"/>
                <w:color w:val="auto"/>
                <w:w w:val="89"/>
              </w:rPr>
              <w:t>/s/ Pamela H. Patsley</w:t>
            </w: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89"/>
              </w:rPr>
              <w:t>Pamela H. Patsley</w:t>
            </w:r>
          </w:p>
        </w:tc>
        <w:tc>
          <w:tcPr>
            <w:tcW w:w="10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660" w:type="dxa"/>
            <w:vAlign w:val="bottom"/>
          </w:tcPr>
          <w:p>
            <w:pPr>
              <w:jc w:val="center"/>
              <w:spacing w:after="0"/>
              <w:rPr>
                <w:sz w:val="20"/>
                <w:szCs w:val="20"/>
                <w:color w:val="auto"/>
              </w:rPr>
            </w:pPr>
            <w:r>
              <w:rPr>
                <w:rFonts w:ascii="Arial" w:cs="Arial" w:eastAsia="Arial" w:hAnsi="Arial"/>
                <w:sz w:val="18"/>
                <w:szCs w:val="18"/>
                <w:color w:val="auto"/>
                <w:w w:val="87"/>
              </w:rPr>
              <w:t>/s/ Robert E. Sanchez</w:t>
            </w: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89"/>
              </w:rPr>
              <w:t>Robert E. Sanchez</w:t>
            </w:r>
          </w:p>
        </w:tc>
        <w:tc>
          <w:tcPr>
            <w:tcW w:w="10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660" w:type="dxa"/>
            <w:vAlign w:val="bottom"/>
          </w:tcPr>
          <w:p>
            <w:pPr>
              <w:jc w:val="center"/>
              <w:spacing w:after="0"/>
              <w:rPr>
                <w:sz w:val="20"/>
                <w:szCs w:val="20"/>
                <w:color w:val="auto"/>
              </w:rPr>
            </w:pPr>
            <w:r>
              <w:rPr>
                <w:rFonts w:ascii="Arial" w:cs="Arial" w:eastAsia="Arial" w:hAnsi="Arial"/>
                <w:sz w:val="18"/>
                <w:szCs w:val="18"/>
                <w:color w:val="auto"/>
                <w:w w:val="91"/>
              </w:rPr>
              <w:t>/s/ Richard K. Templeton</w:t>
            </w: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1"/>
              </w:rPr>
              <w:t>Director, Chairman of the Board, President and Chief Executive Officer</w:t>
            </w:r>
          </w:p>
        </w:tc>
        <w:tc>
          <w:tcPr>
            <w:tcW w:w="0" w:type="dxa"/>
            <w:vAlign w:val="bottom"/>
          </w:tcPr>
          <w:p>
            <w:pPr>
              <w:spacing w:after="0"/>
              <w:rPr>
                <w:sz w:val="1"/>
                <w:szCs w:val="1"/>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1"/>
              </w:rPr>
              <w:t>Richard K. Templeton</w:t>
            </w:r>
          </w:p>
        </w:tc>
        <w:tc>
          <w:tcPr>
            <w:tcW w:w="10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660" w:type="dxa"/>
            <w:vAlign w:val="bottom"/>
          </w:tcPr>
          <w:p>
            <w:pPr>
              <w:jc w:val="center"/>
              <w:spacing w:after="0"/>
              <w:rPr>
                <w:sz w:val="20"/>
                <w:szCs w:val="20"/>
                <w:color w:val="auto"/>
              </w:rPr>
            </w:pPr>
            <w:r>
              <w:rPr>
                <w:rFonts w:ascii="Arial" w:cs="Arial" w:eastAsia="Arial" w:hAnsi="Arial"/>
                <w:sz w:val="18"/>
                <w:szCs w:val="18"/>
                <w:color w:val="auto"/>
                <w:w w:val="92"/>
              </w:rPr>
              <w:t>/s/ Rafael R. Lizardi</w:t>
            </w: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2"/>
              </w:rPr>
              <w:t>Senior Vice President, Chief Financial Officer and Chief Accounting Officer</w:t>
            </w:r>
          </w:p>
        </w:tc>
        <w:tc>
          <w:tcPr>
            <w:tcW w:w="0" w:type="dxa"/>
            <w:vAlign w:val="bottom"/>
          </w:tcPr>
          <w:p>
            <w:pPr>
              <w:spacing w:after="0"/>
              <w:rPr>
                <w:sz w:val="1"/>
                <w:szCs w:val="1"/>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5"/>
              </w:rPr>
              <w:t>Rafael R. Lizardi</w:t>
            </w:r>
          </w:p>
        </w:tc>
        <w:tc>
          <w:tcPr>
            <w:tcW w:w="10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1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00"/>
          </w:cols>
          <w:pgMar w:left="240" w:top="1111" w:right="25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u w:val="single" w:color="auto"/>
          <w:color w:val="auto"/>
        </w:rPr>
        <w:t>Exhibit 4(l)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Texas Instruments Incorporated’s (“we,” “us” and “our”) common stock, $1.00 par value per share, is our only class of securities registered under Section 12 of the Securities Exchange Act of 1934.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following description of our common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this Annual Report on Form 10-K. You should read the Restated Certificate of Incorporation and By-Laws for the provisions that are important to you.</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5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Restated Certificate of Incorporation authorizes us to issue 2,400,000,000 shares of common stock, $1.00 par value per share, and 10,000,000 shares of preferred stock, $25.00 par value per share.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our net assets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fully paid and nonassessable. Our common stock is listed on The Nasdaq Global Select Market. The transfer agent and registrar for our common stock is Computershare Trust Company, N.A.</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our board of directors and as stated in a written notice, which must be mailed or delivered to each stockholder at least 10 days prior to any stockholder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ectPr>
          <w:pgSz w:w="11900" w:h="16838" w:orient="portrait"/>
          <w:cols w:equalWidth="0" w:num="1">
            <w:col w:w="11420"/>
          </w:cols>
          <w:pgMar w:left="240" w:top="125" w:right="239" w:bottom="1440" w:gutter="0" w:footer="0" w:header="0"/>
        </w:sectPr>
      </w:pPr>
    </w:p>
    <w:bookmarkStart w:id="68" w:name="page69"/>
    <w:bookmarkEnd w:id="6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181" w:lineRule="exact"/>
        <w:rPr>
          <w:sz w:val="20"/>
          <w:szCs w:val="20"/>
          <w:color w:val="auto"/>
        </w:rPr>
      </w:pPr>
    </w:p>
    <w:p>
      <w:pPr>
        <w:ind w:left="480" w:hanging="310"/>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23" w:lineRule="exact"/>
        <w:rPr>
          <w:rFonts w:ascii="Arial" w:cs="Arial" w:eastAsia="Arial" w:hAnsi="Arial"/>
          <w:sz w:val="18"/>
          <w:szCs w:val="18"/>
          <w:color w:val="auto"/>
        </w:rPr>
      </w:pPr>
    </w:p>
    <w:p>
      <w:pPr>
        <w:ind w:left="500" w:right="80" w:hanging="330"/>
        <w:spacing w:after="0" w:line="250"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ind w:left="500" w:right="20" w:hanging="330"/>
        <w:spacing w:after="0" w:line="261"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ectPr>
          <w:pgSz w:w="11900" w:h="16838" w:orient="portrait"/>
          <w:cols w:equalWidth="0" w:num="1">
            <w:col w:w="11360"/>
          </w:cols>
          <w:pgMar w:left="240" w:top="1440" w:right="2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u w:val="single" w:color="auto"/>
          <w:color w:val="auto"/>
        </w:rPr>
        <w:t>Exhibit 10(k)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2018 DIRECTOR COMPENSATION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December 5, 2019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12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Texas Instruments 2018 Director Compensation Plan (“the Plan”) is intended as a successor plan to the Company’s 2009 Director Compensation Plan. This Plan is designed to attract and retain qualified individuals to serve as directors of the Company and to increase the proprietary and vested interest of such directors in the growth and performance of the Company. This Plan is effective for Awards granted on or after the Effective Date.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34"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“Account” means </w:t>
      </w:r>
      <w:r>
        <w:rPr>
          <w:rFonts w:ascii="Arial" w:cs="Arial" w:eastAsia="Arial" w:hAnsi="Arial"/>
          <w:sz w:val="18"/>
          <w:szCs w:val="18"/>
          <w:color w:val="auto"/>
        </w:rPr>
        <w:t>a Cash Account or Stock Unit Account established under Section 11 of the Plan.</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“Administrato</w:t>
      </w:r>
      <w:r>
        <w:rPr>
          <w:rFonts w:ascii="Arial" w:cs="Arial" w:eastAsia="Arial" w:hAnsi="Arial"/>
          <w:sz w:val="18"/>
          <w:szCs w:val="18"/>
          <w:color w:val="auto"/>
        </w:rPr>
        <w:t>r</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or a committee of directors designated by the Board to administer the Plan.</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Stock Appreciation Right or other stock-based award under the Plan.</w:t>
      </w:r>
    </w:p>
    <w:p>
      <w:pPr>
        <w:spacing w:after="0" w:line="252" w:lineRule="exact"/>
        <w:rPr>
          <w:rFonts w:ascii="Arial" w:cs="Arial" w:eastAsia="Arial" w:hAnsi="Arial"/>
          <w:sz w:val="18"/>
          <w:szCs w:val="18"/>
          <w:color w:val="auto"/>
        </w:rPr>
      </w:pPr>
    </w:p>
    <w:p>
      <w:pPr>
        <w:ind w:left="500" w:right="20" w:hanging="492"/>
        <w:spacing w:after="0" w:line="282"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but need not, be executed or acknowledged by a Director. An Award Agreement may be in electronic form.</w:t>
      </w:r>
    </w:p>
    <w:p>
      <w:pPr>
        <w:spacing w:after="0" w:line="188"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252" w:lineRule="exact"/>
        <w:rPr>
          <w:rFonts w:ascii="Arial" w:cs="Arial" w:eastAsia="Arial" w:hAnsi="Arial"/>
          <w:sz w:val="18"/>
          <w:szCs w:val="18"/>
          <w:color w:val="auto"/>
        </w:rPr>
      </w:pPr>
    </w:p>
    <w:p>
      <w:pPr>
        <w:ind w:left="500" w:right="340" w:hanging="492"/>
        <w:spacing w:after="0" w:line="282" w:lineRule="auto"/>
        <w:tabs>
          <w:tab w:leader="none" w:pos="28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accounts established or maintained pursuant to Section 11(b)(i) on behalf of each Director who</w:t>
      </w:r>
      <w:r>
        <w:rPr>
          <w:rFonts w:ascii="Arial" w:cs="Arial" w:eastAsia="Arial" w:hAnsi="Arial"/>
          <w:sz w:val="18"/>
          <w:szCs w:val="18"/>
          <w:i w:val="1"/>
          <w:iCs w:val="1"/>
          <w:color w:val="auto"/>
        </w:rPr>
        <w:t xml:space="preserve"> </w:t>
      </w:r>
      <w:r>
        <w:rPr>
          <w:rFonts w:ascii="Arial" w:cs="Arial" w:eastAsia="Arial" w:hAnsi="Arial"/>
          <w:sz w:val="18"/>
          <w:szCs w:val="18"/>
          <w:color w:val="auto"/>
        </w:rPr>
        <w:t>elects pursuant to Section 11(b) to have any of his or her Deferred Compensation credited to a cash account.</w:t>
      </w:r>
    </w:p>
    <w:p>
      <w:pPr>
        <w:spacing w:after="0" w:line="188"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mean an event that will be deemed to have occurred:</w:t>
      </w:r>
    </w:p>
    <w:p>
      <w:pPr>
        <w:spacing w:after="0" w:line="270" w:lineRule="exact"/>
        <w:rPr>
          <w:rFonts w:ascii="Arial" w:cs="Arial" w:eastAsia="Arial" w:hAnsi="Arial"/>
          <w:sz w:val="18"/>
          <w:szCs w:val="18"/>
          <w:color w:val="auto"/>
        </w:rPr>
      </w:pPr>
    </w:p>
    <w:p>
      <w:pPr>
        <w:ind w:left="980" w:right="20" w:hanging="486"/>
        <w:spacing w:after="0" w:line="252" w:lineRule="auto"/>
        <w:tabs>
          <w:tab w:leader="none" w:pos="704"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the date any Person, other than (i) the Company or any of its Subsidiaries, (ii) a trustee or other fiduciary holding stock under an employee benefit plan of the Company or any of its Affiliates, (iii) an underwriter temporarily holding stock pursuant to an offering of such stock, or (iv)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w:t>
      </w:r>
    </w:p>
    <w:p>
      <w:pPr>
        <w:spacing w:after="0" w:line="234" w:lineRule="exact"/>
        <w:rPr>
          <w:rFonts w:ascii="Arial" w:cs="Arial" w:eastAsia="Arial" w:hAnsi="Arial"/>
          <w:sz w:val="18"/>
          <w:szCs w:val="18"/>
          <w:color w:val="auto"/>
        </w:rPr>
      </w:pPr>
    </w:p>
    <w:p>
      <w:pPr>
        <w:ind w:left="980" w:right="60" w:hanging="486"/>
        <w:spacing w:after="0" w:line="262" w:lineRule="auto"/>
        <w:tabs>
          <w:tab w:leader="none" w:pos="7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223" w:lineRule="exact"/>
        <w:rPr>
          <w:rFonts w:ascii="Arial" w:cs="Arial" w:eastAsia="Arial" w:hAnsi="Arial"/>
          <w:sz w:val="18"/>
          <w:szCs w:val="18"/>
          <w:color w:val="auto"/>
        </w:rPr>
      </w:pPr>
    </w:p>
    <w:p>
      <w:pPr>
        <w:ind w:left="980" w:right="40" w:hanging="486"/>
        <w:spacing w:after="0" w:line="254" w:lineRule="auto"/>
        <w:tabs>
          <w:tab w:leader="none" w:pos="784"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89" w:right="239" w:bottom="1440" w:gutter="0" w:footer="0" w:header="0"/>
        </w:sectPr>
      </w:pPr>
    </w:p>
    <w:bookmarkStart w:id="70" w:name="page71"/>
    <w:bookmarkEnd w:id="70"/>
    <w:p>
      <w:pPr>
        <w:ind w:left="972"/>
        <w:spacing w:after="0" w:line="252" w:lineRule="auto"/>
        <w:rPr>
          <w:sz w:val="20"/>
          <w:szCs w:val="20"/>
          <w:color w:val="auto"/>
        </w:rPr>
      </w:pPr>
      <w:r>
        <w:rPr>
          <w:rFonts w:ascii="Arial" w:cs="Arial" w:eastAsia="Arial" w:hAnsi="Arial"/>
          <w:sz w:val="18"/>
          <w:szCs w:val="18"/>
          <w:color w:val="auto"/>
        </w:rPr>
        <w:t>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 (iii) 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 50 percent of the total value or voting power of the outstanding stock of the Company.</w:t>
      </w:r>
    </w:p>
    <w:p>
      <w:pPr>
        <w:spacing w:after="0" w:line="234" w:lineRule="exact"/>
        <w:rPr>
          <w:sz w:val="20"/>
          <w:szCs w:val="20"/>
          <w:color w:val="auto"/>
        </w:rPr>
      </w:pPr>
    </w:p>
    <w:p>
      <w:pPr>
        <w:ind w:left="792" w:hanging="306"/>
        <w:spacing w:after="0"/>
        <w:tabs>
          <w:tab w:leader="none" w:pos="7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purposes of (i), (ii) and (iii) of this Section 2(g):</w:t>
      </w:r>
    </w:p>
    <w:p>
      <w:pPr>
        <w:spacing w:after="0" w:line="252" w:lineRule="exact"/>
        <w:rPr>
          <w:rFonts w:ascii="Arial" w:cs="Arial" w:eastAsia="Arial" w:hAnsi="Arial"/>
          <w:sz w:val="18"/>
          <w:szCs w:val="18"/>
          <w:color w:val="auto"/>
        </w:rPr>
      </w:pPr>
    </w:p>
    <w:p>
      <w:pPr>
        <w:ind w:left="1452" w:right="20" w:hanging="480"/>
        <w:spacing w:after="0" w:line="262" w:lineRule="auto"/>
        <w:tabs>
          <w:tab w:leader="none" w:pos="1256" w:val="left"/>
        </w:tabs>
        <w:numPr>
          <w:ilvl w:val="2"/>
          <w:numId w:val="36"/>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Section 12 of the Securities Exchange Act of 1934, as amended;</w:t>
      </w:r>
    </w:p>
    <w:p>
      <w:pPr>
        <w:spacing w:after="0" w:line="223" w:lineRule="exact"/>
        <w:rPr>
          <w:rFonts w:ascii="Arial" w:cs="Arial" w:eastAsia="Arial" w:hAnsi="Arial"/>
          <w:sz w:val="18"/>
          <w:szCs w:val="18"/>
          <w:color w:val="auto"/>
        </w:rPr>
      </w:pPr>
    </w:p>
    <w:p>
      <w:pPr>
        <w:ind w:left="1452" w:right="20" w:hanging="480"/>
        <w:spacing w:after="0" w:line="262" w:lineRule="auto"/>
        <w:tabs>
          <w:tab w:leader="none" w:pos="1256" w:val="left"/>
        </w:tabs>
        <w:numPr>
          <w:ilvl w:val="2"/>
          <w:numId w:val="36"/>
        </w:numPr>
        <w:rPr>
          <w:rFonts w:ascii="Arial" w:cs="Arial" w:eastAsia="Arial" w:hAnsi="Arial"/>
          <w:sz w:val="18"/>
          <w:szCs w:val="18"/>
          <w:color w:val="auto"/>
        </w:rPr>
      </w:pPr>
      <w:r>
        <w:rPr>
          <w:rFonts w:ascii="Arial" w:cs="Arial" w:eastAsia="Arial" w:hAnsi="Arial"/>
          <w:sz w:val="18"/>
          <w:szCs w:val="18"/>
          <w:color w:val="auto"/>
        </w:rPr>
        <w:t>“Person” shall have the meaning given in Section 7701(a)(1) of the Code. Person shall include more than one Person acting as a group as defined by the Final Treasury Regulations issued under Section 409A of the Code; and</w:t>
      </w:r>
    </w:p>
    <w:p>
      <w:pPr>
        <w:spacing w:after="0" w:line="223" w:lineRule="exact"/>
        <w:rPr>
          <w:rFonts w:ascii="Arial" w:cs="Arial" w:eastAsia="Arial" w:hAnsi="Arial"/>
          <w:sz w:val="18"/>
          <w:szCs w:val="18"/>
          <w:color w:val="auto"/>
        </w:rPr>
      </w:pPr>
    </w:p>
    <w:p>
      <w:pPr>
        <w:ind w:left="1452" w:right="40" w:hanging="480"/>
        <w:spacing w:after="0" w:line="262" w:lineRule="auto"/>
        <w:tabs>
          <w:tab w:leader="none" w:pos="1266" w:val="left"/>
        </w:tabs>
        <w:numPr>
          <w:ilvl w:val="2"/>
          <w:numId w:val="36"/>
        </w:numPr>
        <w:rPr>
          <w:rFonts w:ascii="Arial" w:cs="Arial" w:eastAsia="Arial" w:hAnsi="Arial"/>
          <w:sz w:val="18"/>
          <w:szCs w:val="18"/>
          <w:color w:val="auto"/>
        </w:rPr>
      </w:pPr>
      <w:r>
        <w:rPr>
          <w:rFonts w:ascii="Arial" w:cs="Arial" w:eastAsia="Arial" w:hAnsi="Arial"/>
          <w:sz w:val="18"/>
          <w:szCs w:val="18"/>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223" w:lineRule="exact"/>
        <w:rPr>
          <w:rFonts w:ascii="Arial" w:cs="Arial" w:eastAsia="Arial" w:hAnsi="Arial"/>
          <w:sz w:val="18"/>
          <w:szCs w:val="18"/>
          <w:color w:val="auto"/>
        </w:rPr>
      </w:pPr>
    </w:p>
    <w:p>
      <w:pPr>
        <w:ind w:left="972" w:right="160" w:hanging="486"/>
        <w:spacing w:after="0" w:line="256" w:lineRule="auto"/>
        <w:tabs>
          <w:tab w:leader="none" w:pos="746"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Notwithstanding the foregoing, in no case will an event in (i), (ii) or (iii) of this Section 2(g) be treated as a Change in Control unless such event also constitutes a “change in control event” with respect to the Company within the meaning of Treas. Reg. § 1.409A-3(i)(5) or any successor provision.</w:t>
      </w:r>
    </w:p>
    <w:p>
      <w:pPr>
        <w:spacing w:after="0" w:line="210" w:lineRule="exact"/>
        <w:rPr>
          <w:rFonts w:ascii="Arial" w:cs="Arial" w:eastAsia="Arial" w:hAnsi="Arial"/>
          <w:sz w:val="18"/>
          <w:szCs w:val="18"/>
          <w:color w:val="auto"/>
        </w:rPr>
      </w:pPr>
    </w:p>
    <w:p>
      <w:pPr>
        <w:ind w:left="272" w:hanging="272"/>
        <w:spacing w:after="0"/>
        <w:tabs>
          <w:tab w:leader="none" w:pos="27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52" w:lineRule="exact"/>
        <w:rPr>
          <w:rFonts w:ascii="Arial" w:cs="Arial" w:eastAsia="Arial" w:hAnsi="Arial"/>
          <w:sz w:val="18"/>
          <w:szCs w:val="18"/>
          <w:color w:val="auto"/>
        </w:rPr>
      </w:pPr>
    </w:p>
    <w:p>
      <w:pPr>
        <w:ind w:left="212" w:hanging="212"/>
        <w:spacing w:after="0"/>
        <w:tabs>
          <w:tab w:leader="none" w:pos="21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252" w:lineRule="exact"/>
        <w:rPr>
          <w:rFonts w:ascii="Arial" w:cs="Arial" w:eastAsia="Arial" w:hAnsi="Arial"/>
          <w:sz w:val="18"/>
          <w:szCs w:val="18"/>
          <w:color w:val="auto"/>
        </w:rPr>
      </w:pPr>
    </w:p>
    <w:p>
      <w:pPr>
        <w:ind w:left="492" w:right="80" w:hanging="492"/>
        <w:spacing w:after="0" w:line="282" w:lineRule="auto"/>
        <w:tabs>
          <w:tab w:leader="none" w:pos="21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“Deferred Cash Compensation” </w:t>
      </w:r>
      <w:r>
        <w:rPr>
          <w:rFonts w:ascii="Arial" w:cs="Arial" w:eastAsia="Arial" w:hAnsi="Arial"/>
          <w:sz w:val="18"/>
          <w:szCs w:val="18"/>
          <w:color w:val="auto"/>
        </w:rPr>
        <w:t>means that portion of any Director’s Eligible Compensation that is payable in cash and that he or she elects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11(a) to be deferred in accordance with this Plan.</w:t>
      </w:r>
    </w:p>
    <w:p>
      <w:pPr>
        <w:spacing w:after="0" w:line="188" w:lineRule="exact"/>
        <w:rPr>
          <w:rFonts w:ascii="Arial" w:cs="Arial" w:eastAsia="Arial" w:hAnsi="Arial"/>
          <w:sz w:val="18"/>
          <w:szCs w:val="18"/>
          <w:color w:val="auto"/>
        </w:rPr>
      </w:pPr>
    </w:p>
    <w:p>
      <w:pPr>
        <w:ind w:left="492" w:right="160" w:hanging="492"/>
        <w:spacing w:after="0" w:line="282" w:lineRule="auto"/>
        <w:tabs>
          <w:tab w:leader="none" w:pos="26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11(a)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 accordance with this Plan.</w:t>
      </w:r>
    </w:p>
    <w:p>
      <w:pPr>
        <w:spacing w:after="0" w:line="188" w:lineRule="exact"/>
        <w:rPr>
          <w:rFonts w:ascii="Arial" w:cs="Arial" w:eastAsia="Arial" w:hAnsi="Arial"/>
          <w:sz w:val="18"/>
          <w:szCs w:val="18"/>
          <w:color w:val="auto"/>
        </w:rPr>
      </w:pPr>
    </w:p>
    <w:p>
      <w:pPr>
        <w:ind w:left="492" w:right="200" w:hanging="492"/>
        <w:spacing w:after="0" w:line="282" w:lineRule="auto"/>
        <w:tabs>
          <w:tab w:leader="none" w:pos="21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Account” </w:t>
      </w:r>
      <w:r>
        <w:rPr>
          <w:rFonts w:ascii="Arial" w:cs="Arial" w:eastAsia="Arial" w:hAnsi="Arial"/>
          <w:sz w:val="18"/>
          <w:szCs w:val="18"/>
          <w:color w:val="auto"/>
        </w:rPr>
        <w:t>means a Cash Account or Stock Unit Account containing amounts earned and deferred under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Restricted Stock Units, the receipt of which a Director has elected to defer.</w:t>
      </w:r>
    </w:p>
    <w:p>
      <w:pPr>
        <w:spacing w:after="0" w:line="188" w:lineRule="exact"/>
        <w:rPr>
          <w:rFonts w:ascii="Arial" w:cs="Arial" w:eastAsia="Arial" w:hAnsi="Arial"/>
          <w:sz w:val="18"/>
          <w:szCs w:val="18"/>
          <w:color w:val="auto"/>
        </w:rPr>
      </w:pPr>
    </w:p>
    <w:p>
      <w:pPr>
        <w:ind w:left="312" w:hanging="312"/>
        <w:spacing w:after="0"/>
        <w:tabs>
          <w:tab w:leader="none" w:pos="31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252" w:lineRule="exact"/>
        <w:rPr>
          <w:rFonts w:ascii="Arial" w:cs="Arial" w:eastAsia="Arial" w:hAnsi="Arial"/>
          <w:sz w:val="18"/>
          <w:szCs w:val="18"/>
          <w:color w:val="auto"/>
        </w:rPr>
      </w:pPr>
    </w:p>
    <w:p>
      <w:pPr>
        <w:ind w:left="272" w:hanging="272"/>
        <w:spacing w:after="0"/>
        <w:tabs>
          <w:tab w:leader="none" w:pos="2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this Plan is approved by stockholders of the Company.</w:t>
      </w:r>
    </w:p>
    <w:p>
      <w:pPr>
        <w:spacing w:after="0" w:line="252" w:lineRule="exact"/>
        <w:rPr>
          <w:rFonts w:ascii="Arial" w:cs="Arial" w:eastAsia="Arial" w:hAnsi="Arial"/>
          <w:sz w:val="18"/>
          <w:szCs w:val="18"/>
          <w:color w:val="auto"/>
        </w:rPr>
      </w:pPr>
    </w:p>
    <w:p>
      <w:pPr>
        <w:ind w:left="492" w:right="40" w:hanging="492"/>
        <w:spacing w:after="0" w:line="258" w:lineRule="auto"/>
        <w:tabs>
          <w:tab w:leader="none" w:pos="2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Compensation</w:t>
      </w:r>
      <w:r>
        <w:rPr>
          <w:rFonts w:ascii="Arial" w:cs="Arial" w:eastAsia="Arial" w:hAnsi="Arial"/>
          <w:sz w:val="18"/>
          <w:szCs w:val="18"/>
          <w:color w:val="auto"/>
        </w:rPr>
        <w:t>” means (i) the cash portion of any 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 (ii) any Restricted Stock Units granted by the Company to a Director for his or her services as a Director, and (iii) any dividend equivalents paid on Restricted Stock Units pursuant to Section 9(d).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908" w:right="279" w:bottom="1440" w:gutter="0" w:footer="0" w:header="0"/>
        </w:sectPr>
      </w:pPr>
    </w:p>
    <w:bookmarkStart w:id="71" w:name="page72"/>
    <w:bookmarkEnd w:id="71"/>
    <w:p>
      <w:pPr>
        <w:ind w:left="492" w:right="120" w:hanging="492"/>
        <w:spacing w:after="0" w:line="266" w:lineRule="auto"/>
        <w:tabs>
          <w:tab w:leader="none" w:pos="27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the closing price of the Shares on the date specified (or, if there is no trading on The NASDAQ Stock Market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date, then on the first previous date on which there is such trading) as reported by WSJ.com or Bloomberg L.P.</w:t>
      </w:r>
      <w:r>
        <w:rPr>
          <w:rFonts w:ascii="Arial" w:cs="Arial" w:eastAsia="Arial" w:hAnsi="Arial"/>
          <w:sz w:val="18"/>
          <w:szCs w:val="18"/>
          <w:i w:val="1"/>
          <w:iCs w:val="1"/>
          <w:color w:val="auto"/>
        </w:rPr>
        <w:t>,</w:t>
      </w:r>
      <w:r>
        <w:rPr>
          <w:rFonts w:ascii="Arial" w:cs="Arial" w:eastAsia="Arial" w:hAnsi="Arial"/>
          <w:sz w:val="18"/>
          <w:szCs w:val="18"/>
          <w:color w:val="auto"/>
        </w:rPr>
        <w:t xml:space="preserve"> or if unavailable, then by reference to any other source as may be deemed appropriate by the GSR Committee.</w:t>
      </w:r>
    </w:p>
    <w:p>
      <w:pPr>
        <w:spacing w:after="0" w:line="203" w:lineRule="exact"/>
        <w:rPr>
          <w:rFonts w:ascii="Arial" w:cs="Arial" w:eastAsia="Arial" w:hAnsi="Arial"/>
          <w:sz w:val="18"/>
          <w:szCs w:val="18"/>
          <w:color w:val="auto"/>
        </w:rPr>
      </w:pPr>
    </w:p>
    <w:p>
      <w:pPr>
        <w:ind w:left="312" w:hanging="312"/>
        <w:spacing w:after="0"/>
        <w:tabs>
          <w:tab w:leader="none" w:pos="31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“GSR Committee” </w:t>
      </w:r>
      <w:r>
        <w:rPr>
          <w:rFonts w:ascii="Arial" w:cs="Arial" w:eastAsia="Arial" w:hAnsi="Arial"/>
          <w:sz w:val="18"/>
          <w:szCs w:val="18"/>
          <w:color w:val="auto"/>
        </w:rPr>
        <w:t>means the Governance and Stockholder Relations Committee of the Board or any successor committee.</w:t>
      </w:r>
    </w:p>
    <w:p>
      <w:pPr>
        <w:spacing w:after="0" w:line="252" w:lineRule="exact"/>
        <w:rPr>
          <w:rFonts w:ascii="Arial" w:cs="Arial" w:eastAsia="Arial" w:hAnsi="Arial"/>
          <w:sz w:val="18"/>
          <w:szCs w:val="18"/>
          <w:color w:val="auto"/>
        </w:rPr>
      </w:pPr>
    </w:p>
    <w:p>
      <w:pPr>
        <w:ind w:left="492" w:right="260" w:hanging="492"/>
        <w:spacing w:after="0" w:line="282" w:lineRule="auto"/>
        <w:tabs>
          <w:tab w:leader="none" w:pos="23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this Plan to purchase Shares on the terms and conditions set forth in the Plan and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w:t>
      </w:r>
    </w:p>
    <w:p>
      <w:pPr>
        <w:spacing w:after="0" w:line="188" w:lineRule="exact"/>
        <w:rPr>
          <w:rFonts w:ascii="Arial" w:cs="Arial" w:eastAsia="Arial" w:hAnsi="Arial"/>
          <w:sz w:val="18"/>
          <w:szCs w:val="18"/>
          <w:color w:val="auto"/>
        </w:rPr>
      </w:pPr>
    </w:p>
    <w:p>
      <w:pPr>
        <w:ind w:left="252" w:hanging="252"/>
        <w:spacing w:after="0"/>
        <w:tabs>
          <w:tab w:leader="none" w:pos="25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252" w:lineRule="exact"/>
        <w:rPr>
          <w:rFonts w:ascii="Arial" w:cs="Arial" w:eastAsia="Arial" w:hAnsi="Arial"/>
          <w:sz w:val="18"/>
          <w:szCs w:val="18"/>
          <w:color w:val="auto"/>
        </w:rPr>
      </w:pPr>
    </w:p>
    <w:p>
      <w:pPr>
        <w:ind w:left="212" w:hanging="212"/>
        <w:spacing w:after="0"/>
        <w:tabs>
          <w:tab w:leader="none" w:pos="21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2018 Director Compensation Plan.</w:t>
      </w:r>
    </w:p>
    <w:p>
      <w:pPr>
        <w:spacing w:after="0" w:line="252" w:lineRule="exact"/>
        <w:rPr>
          <w:rFonts w:ascii="Arial" w:cs="Arial" w:eastAsia="Arial" w:hAnsi="Arial"/>
          <w:sz w:val="18"/>
          <w:szCs w:val="18"/>
          <w:color w:val="auto"/>
        </w:rPr>
      </w:pPr>
    </w:p>
    <w:p>
      <w:pPr>
        <w:ind w:left="492" w:right="80" w:hanging="492"/>
        <w:spacing w:after="0" w:line="260" w:lineRule="auto"/>
        <w:tabs>
          <w:tab w:leader="none" w:pos="27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this Plan that is denominated in Shares, each of which represents a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Share on the terms and conditions set forth in the Plan and the applicable Award Agreement.</w:t>
      </w:r>
    </w:p>
    <w:p>
      <w:pPr>
        <w:spacing w:after="0" w:line="1" w:lineRule="exact"/>
        <w:rPr>
          <w:rFonts w:ascii="Arial" w:cs="Arial" w:eastAsia="Arial" w:hAnsi="Arial"/>
          <w:sz w:val="18"/>
          <w:szCs w:val="18"/>
          <w:color w:val="auto"/>
        </w:rPr>
      </w:pPr>
    </w:p>
    <w:p>
      <w:pPr>
        <w:ind w:left="252" w:hanging="252"/>
        <w:spacing w:after="0"/>
        <w:tabs>
          <w:tab w:leader="none" w:pos="25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234" w:lineRule="exact"/>
        <w:rPr>
          <w:rFonts w:ascii="Arial" w:cs="Arial" w:eastAsia="Arial" w:hAnsi="Arial"/>
          <w:sz w:val="18"/>
          <w:szCs w:val="18"/>
          <w:color w:val="auto"/>
        </w:rPr>
      </w:pPr>
    </w:p>
    <w:p>
      <w:pPr>
        <w:ind w:left="492" w:right="80" w:hanging="492"/>
        <w:spacing w:after="0" w:line="257" w:lineRule="auto"/>
        <w:tabs>
          <w:tab w:leader="none" w:pos="306" w:val="left"/>
        </w:tabs>
        <w:numPr>
          <w:ilvl w:val="0"/>
          <w:numId w:val="38"/>
        </w:numPr>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8"/>
          <w:szCs w:val="18"/>
          <w:i w:val="1"/>
          <w:iCs w:val="1"/>
          <w:color w:val="auto"/>
        </w:rPr>
        <w:t>eparation from Service”</w:t>
      </w:r>
      <w:r>
        <w:rPr>
          <w:rFonts w:ascii="Arial" w:cs="Arial" w:eastAsia="Arial" w:hAnsi="Arial"/>
          <w:sz w:val="18"/>
          <w:szCs w:val="18"/>
          <w:color w:val="auto"/>
        </w:rPr>
        <w:t xml:space="preserve"> means a termination of services provided by a Participant as a member of the Board or of the board of directors of any other member of the controlled group of corporations (as defined in Section 414(b) of the Code) which includes the Company (for purposes of this Section 2(x), the controlled group members other than the Company are referred to collectively as “ERISA Affiliates”), whether such termination is voluntary or involuntary, as determined by the Administrator in accordance with Treas. Reg. §1.409A-1(h). In determining whether a Participant has experienced a Separation from Service as a member of the Board or of a board of directors of an ERISA Affiliate, the following provisions shall apply:</w:t>
      </w:r>
    </w:p>
    <w:p>
      <w:pPr>
        <w:spacing w:after="0" w:line="227" w:lineRule="exact"/>
        <w:rPr>
          <w:rFonts w:ascii="Arial" w:cs="Arial" w:eastAsia="Arial" w:hAnsi="Arial"/>
          <w:sz w:val="18"/>
          <w:szCs w:val="18"/>
          <w:color w:val="auto"/>
        </w:rPr>
      </w:pPr>
    </w:p>
    <w:p>
      <w:pPr>
        <w:ind w:left="972" w:right="100" w:hanging="486"/>
        <w:spacing w:after="0" w:line="253" w:lineRule="auto"/>
        <w:tabs>
          <w:tab w:leader="none" w:pos="696"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a Director also provides services to the Company or any ERISA Affiliate as an employee at the time of his Separation from Service as a member of the Board, the services such Participant provides as an employee shall not be taken into account in determining whether the Participant has a Separation from Service as a Director for purposes of this Plan (provided that this Plan is not, at the time of such determination, aggregated under Treas. Reg. §1.409A-1(c)(2)(ii) with any plan in which the Participant participates as an employee).</w:t>
      </w:r>
    </w:p>
    <w:p>
      <w:pPr>
        <w:spacing w:after="0" w:line="232" w:lineRule="exact"/>
        <w:rPr>
          <w:rFonts w:ascii="Arial" w:cs="Arial" w:eastAsia="Arial" w:hAnsi="Arial"/>
          <w:sz w:val="18"/>
          <w:szCs w:val="18"/>
          <w:color w:val="auto"/>
        </w:rPr>
      </w:pPr>
    </w:p>
    <w:p>
      <w:pPr>
        <w:ind w:left="972" w:right="40" w:hanging="486"/>
        <w:spacing w:after="0" w:line="254" w:lineRule="auto"/>
        <w:tabs>
          <w:tab w:leader="none" w:pos="72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Participant shall be considered to have experienced a termination of services when the facts and circumstances indicate that the Participant, the Company and each ERISA Affiliate reasonably anticipate that the Participant will perform no further services for the Company or any ERISA Affiliate as a member of the Board (or the board of directors of any ERISA Affiliate), and the Participant’s term as a member of the Board has expired.</w:t>
      </w:r>
    </w:p>
    <w:p>
      <w:pPr>
        <w:spacing w:after="0" w:line="231" w:lineRule="exact"/>
        <w:rPr>
          <w:rFonts w:ascii="Arial" w:cs="Arial" w:eastAsia="Arial" w:hAnsi="Arial"/>
          <w:sz w:val="18"/>
          <w:szCs w:val="18"/>
          <w:color w:val="auto"/>
        </w:rPr>
      </w:pPr>
    </w:p>
    <w:p>
      <w:pPr>
        <w:ind w:left="972" w:right="180" w:hanging="486"/>
        <w:spacing w:after="0" w:line="256" w:lineRule="auto"/>
        <w:tabs>
          <w:tab w:leader="none" w:pos="7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a Director is also providing additional services to the Company as an independent contractor, he or she cannot have a Separation from Service for purposes of Section 409A of the Code until he or she has separated from service both as a Director and as an independent contractor.</w:t>
      </w:r>
    </w:p>
    <w:p>
      <w:pPr>
        <w:spacing w:after="0" w:line="210" w:lineRule="exact"/>
        <w:rPr>
          <w:rFonts w:ascii="Arial" w:cs="Arial" w:eastAsia="Arial" w:hAnsi="Arial"/>
          <w:sz w:val="18"/>
          <w:szCs w:val="18"/>
          <w:color w:val="auto"/>
        </w:rPr>
      </w:pPr>
    </w:p>
    <w:p>
      <w:pPr>
        <w:ind w:left="252" w:hanging="252"/>
        <w:spacing w:after="0"/>
        <w:tabs>
          <w:tab w:leader="none" w:pos="25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252" w:lineRule="exact"/>
        <w:rPr>
          <w:rFonts w:ascii="Arial" w:cs="Arial" w:eastAsia="Arial" w:hAnsi="Arial"/>
          <w:sz w:val="18"/>
          <w:szCs w:val="18"/>
          <w:color w:val="auto"/>
        </w:rPr>
      </w:pPr>
    </w:p>
    <w:p>
      <w:pPr>
        <w:ind w:left="492" w:hanging="492"/>
        <w:spacing w:after="0" w:line="266" w:lineRule="auto"/>
        <w:tabs>
          <w:tab w:leader="none" w:pos="26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means any Participant who is determined to be a “key employee” (as defined under Section 416(i) of the Code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paragraph (5) thereof) for the applicable period, as determined annually by the Administrator in accordance with Treas. Reg. §1.409A-1(i). In determining whether a Participant is a Specified Employee, the following provisions shall apply: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890" w:right="239" w:bottom="1440" w:gutter="0" w:footer="0" w:header="0"/>
        </w:sectPr>
      </w:pPr>
    </w:p>
    <w:bookmarkStart w:id="72" w:name="page73"/>
    <w:bookmarkEnd w:id="72"/>
    <w:p>
      <w:pPr>
        <w:ind w:left="980" w:right="80" w:hanging="486"/>
        <w:spacing w:after="0" w:line="253" w:lineRule="auto"/>
        <w:tabs>
          <w:tab w:leader="none" w:pos="7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Identification of the individuals who fall within the above-referenced definition of “key employee” shall be based upon the 12-month period ending on each December 31st (referred to below as the “identification date”). In applying the applicable provisions of Code Section 416(i) to identify such individuals, “compensation” shall be determined in accordance with Treas. Reg. §1.415(c)2(a) without regard to (i) any safe harbor provided in Treas. Reg. §1.415(c)-2(d), (ii) any of the special timing rules provided in Treas. Reg. §1.415(c)-2(e), and (iii) any of the special rules provided in Treas. Reg. §1.415(c)-2(g); and</w:t>
      </w:r>
    </w:p>
    <w:p>
      <w:pPr>
        <w:spacing w:after="0" w:line="232" w:lineRule="exact"/>
        <w:rPr>
          <w:rFonts w:ascii="Arial" w:cs="Arial" w:eastAsia="Arial" w:hAnsi="Arial"/>
          <w:sz w:val="18"/>
          <w:szCs w:val="18"/>
          <w:color w:val="auto"/>
        </w:rPr>
      </w:pPr>
    </w:p>
    <w:p>
      <w:pPr>
        <w:ind w:left="980" w:right="80" w:hanging="486"/>
        <w:spacing w:after="0" w:line="256" w:lineRule="auto"/>
        <w:tabs>
          <w:tab w:leader="none" w:pos="7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Participant who is among the individuals identified as a “key employee” in accordance with part (i) of this Section 2(y) shall be treated as a Specified Employee for purposes of this Plan if such Participant experiences a Separation from Service during the 12-month period that begins on the April 1st following the applicable identification date.</w:t>
      </w:r>
    </w:p>
    <w:p>
      <w:pPr>
        <w:spacing w:after="0" w:line="206" w:lineRule="exact"/>
        <w:rPr>
          <w:rFonts w:ascii="Arial" w:cs="Arial" w:eastAsia="Arial" w:hAnsi="Arial"/>
          <w:sz w:val="18"/>
          <w:szCs w:val="18"/>
          <w:color w:val="auto"/>
        </w:rPr>
      </w:pPr>
    </w:p>
    <w:p>
      <w:pPr>
        <w:jc w:val="both"/>
        <w:ind w:left="500" w:right="20" w:hanging="492"/>
        <w:spacing w:after="0" w:line="262" w:lineRule="auto"/>
        <w:tabs>
          <w:tab w:leader="none" w:pos="27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“Stock Appreciation Right</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“SAR” </w:t>
      </w:r>
      <w:r>
        <w:rPr>
          <w:rFonts w:ascii="Arial" w:cs="Arial" w:eastAsia="Arial" w:hAnsi="Arial"/>
          <w:sz w:val="18"/>
          <w:szCs w:val="18"/>
          <w:color w:val="auto"/>
        </w:rPr>
        <w:t>means a right granted pursuant to Section 10 to receive, upon exercise by the Participant, the excess</w:t>
      </w:r>
      <w:r>
        <w:rPr>
          <w:rFonts w:ascii="Arial" w:cs="Arial" w:eastAsia="Arial" w:hAnsi="Arial"/>
          <w:sz w:val="18"/>
          <w:szCs w:val="18"/>
          <w:i w:val="1"/>
          <w:iCs w:val="1"/>
          <w:color w:val="auto"/>
        </w:rPr>
        <w:t xml:space="preserve"> </w:t>
      </w:r>
      <w:r>
        <w:rPr>
          <w:rFonts w:ascii="Arial" w:cs="Arial" w:eastAsia="Arial" w:hAnsi="Arial"/>
          <w:sz w:val="18"/>
          <w:szCs w:val="18"/>
          <w:color w:val="auto"/>
        </w:rPr>
        <w:t>of (i) the Fair Market Value of one Share on the date of exercise or any date or dates during a specified period before the date of exercise over (ii) the grant price of the right, which grant price shall not be less than the Fair Market Value of one Share on the date of grant of the right.</w:t>
      </w:r>
    </w:p>
    <w:p>
      <w:pPr>
        <w:spacing w:after="0" w:line="208" w:lineRule="exact"/>
        <w:rPr>
          <w:sz w:val="20"/>
          <w:szCs w:val="20"/>
          <w:color w:val="auto"/>
        </w:rPr>
      </w:pPr>
    </w:p>
    <w:p>
      <w:pPr>
        <w:ind w:left="500" w:right="280" w:hanging="492"/>
        <w:spacing w:after="0" w:line="282" w:lineRule="auto"/>
        <w:tabs>
          <w:tab w:leader="none" w:pos="38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accounts established, pursuant to Section 11(b)(ii), on behalf of each Director who elects,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11(b), to have any of his or her Deferred Cash Compensation credited to a stock unit account.</w:t>
      </w:r>
    </w:p>
    <w:p>
      <w:pPr>
        <w:spacing w:after="0" w:line="188" w:lineRule="exact"/>
        <w:rPr>
          <w:rFonts w:ascii="Arial" w:cs="Arial" w:eastAsia="Arial" w:hAnsi="Arial"/>
          <w:sz w:val="18"/>
          <w:szCs w:val="18"/>
          <w:color w:val="auto"/>
        </w:rPr>
      </w:pPr>
    </w:p>
    <w:p>
      <w:pPr>
        <w:ind w:left="500" w:right="20" w:hanging="492"/>
        <w:spacing w:after="0" w:line="258" w:lineRule="auto"/>
        <w:tabs>
          <w:tab w:leader="none" w:pos="38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"Unforeseeable Emergency" </w:t>
      </w:r>
      <w:r>
        <w:rPr>
          <w:rFonts w:ascii="Arial" w:cs="Arial" w:eastAsia="Arial" w:hAnsi="Arial"/>
          <w:sz w:val="18"/>
          <w:szCs w:val="18"/>
          <w:color w:val="auto"/>
        </w:rPr>
        <w:t>means a severe financial hardship to the Participant resulting from (i) an illness or accident of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or the Participant’s spouse, beneficiary, or dependent (as defined in Section 152 of the Code, without regard to Sections 152(b)(1), (b)(2), and (d)(1)(B) of the Code), (ii) loss of the Participant’s property due to casualty, or (iii) other similar extraordinary and unforeseeable circumstances arising as a result of events beyond the Participant’s control, all as determined by the Administrator based on the relevant facts and circumstances and as provided for in Treas. Reg. §1.409A-3(i)(3) or any successor provision.</w:t>
      </w:r>
    </w:p>
    <w:p>
      <w:pPr>
        <w:spacing w:after="0" w:line="210"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Eligible Compensation and to receive Awards under the Plan.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ADMINISTRATION.</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Plan shall be administered by the Administrator. Subject to the terms of the Plan and applicable law, the Administrator shall have full power and authority to: (i) 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SHARES AVAILABLE FOR AWARDS.</w:t>
      </w:r>
    </w:p>
    <w:p>
      <w:pPr>
        <w:spacing w:after="0" w:line="274" w:lineRule="exact"/>
        <w:rPr>
          <w:sz w:val="20"/>
          <w:szCs w:val="20"/>
          <w:color w:val="auto"/>
        </w:rPr>
      </w:pPr>
    </w:p>
    <w:p>
      <w:pPr>
        <w:ind w:left="500" w:right="40" w:hanging="492"/>
        <w:spacing w:after="0" w:line="256" w:lineRule="auto"/>
        <w:tabs>
          <w:tab w:leader="none" w:pos="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adjustment as provided in this Section 5, the number of Shares available for issuance under the Plan shall be 2,000,000 Shares. Notwithstanding anything to the contrary set forth herein, in any given Year, the total value of Awards granted to any Director shall not exceed $500,000 in grant-date value.</w:t>
      </w:r>
    </w:p>
    <w:p>
      <w:pPr>
        <w:spacing w:after="0" w:line="228" w:lineRule="exact"/>
        <w:rPr>
          <w:rFonts w:ascii="Arial" w:cs="Arial" w:eastAsia="Arial" w:hAnsi="Arial"/>
          <w:sz w:val="18"/>
          <w:szCs w:val="18"/>
          <w:color w:val="auto"/>
        </w:rPr>
      </w:pPr>
    </w:p>
    <w:p>
      <w:pPr>
        <w:ind w:left="500" w:hanging="492"/>
        <w:spacing w:after="0" w:line="256" w:lineRule="auto"/>
        <w:tabs>
          <w:tab w:leader="none" w:pos="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after the effective date of the Plan, (i) any Shares covered by an Award or Stock Unit Account, or to which such an Award relates, are forfeited, or (ii) if an Award or Account expires or is cancelled or is otherwise terminated without the delivery of Shares, then such Shares, 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08" w:right="239" w:bottom="1440" w:gutter="0" w:footer="0" w:header="0"/>
        </w:sectPr>
      </w:pPr>
    </w:p>
    <w:bookmarkStart w:id="73" w:name="page74"/>
    <w:bookmarkEnd w:id="73"/>
    <w:p>
      <w:pPr>
        <w:ind w:left="500" w:right="20"/>
        <w:spacing w:after="0" w:line="252" w:lineRule="auto"/>
        <w:rPr>
          <w:sz w:val="20"/>
          <w:szCs w:val="20"/>
          <w:color w:val="auto"/>
        </w:rPr>
      </w:pPr>
      <w:r>
        <w:rPr>
          <w:rFonts w:ascii="Arial" w:cs="Arial" w:eastAsia="Arial" w:hAnsi="Arial"/>
          <w:sz w:val="18"/>
          <w:szCs w:val="18"/>
          <w:color w:val="auto"/>
        </w:rPr>
        <w:t xml:space="preserve">the extent of any such forfeiture, expiration, cancellation, or termination, shall again be, or shall become, available for issuance under the Plan. For purposes of this Section, awards and options granted under any previous director compensation plan of the Company shall be treated as Awards, and accounts established under any such plan shall be treated as Accounts. For the avoidance of doubt, the number of Shares available for issuance under the Plan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increased by: (1) the withholding of Shares as a result of the net settlement of an outstanding Option; (2) the delivery of Shares to pay the exercise price or withholding taxes relating to an Award; or (3) the repurchase of Shares on the open market using the proceeds of an Option’s exercise.</w:t>
      </w:r>
    </w:p>
    <w:p>
      <w:pPr>
        <w:spacing w:after="0" w:line="236" w:lineRule="exact"/>
        <w:rPr>
          <w:sz w:val="20"/>
          <w:szCs w:val="20"/>
          <w:color w:val="auto"/>
        </w:rPr>
      </w:pPr>
    </w:p>
    <w:p>
      <w:pPr>
        <w:ind w:left="500" w:right="180" w:hanging="492"/>
        <w:spacing w:after="0" w:line="262" w:lineRule="auto"/>
        <w:tabs>
          <w:tab w:leader="none" w:pos="31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of treasury Shares or of both.</w:t>
      </w:r>
    </w:p>
    <w:p>
      <w:pPr>
        <w:spacing w:after="0" w:line="223" w:lineRule="exact"/>
        <w:rPr>
          <w:rFonts w:ascii="Arial" w:cs="Arial" w:eastAsia="Arial" w:hAnsi="Arial"/>
          <w:sz w:val="18"/>
          <w:szCs w:val="18"/>
          <w:color w:val="auto"/>
        </w:rPr>
      </w:pPr>
    </w:p>
    <w:p>
      <w:pPr>
        <w:ind w:left="500" w:hanging="492"/>
        <w:spacing w:after="0" w:line="251"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Administrator shall equitably adjust any or all of (i) the number of outstanding Restricted Stock Units, (ii) the number and type of Shares credited to Stock Unit Accounts, (iii) the number and type of Shares subject to Options and SARs, (iv) the exercise price with respect to any Option or SAR or, if deemed appropriate, make provision for a cash payment to the holder of an outstanding Option or SAR, and (v) the limits specified in Section 5(a); provided, however, that no fractional Restricted Stock Units or Shares shall be issued or outstanding hereunder. Any such adjustment with respect to a “Stock Right” outstanding under the Plan as defined in Section 409A of the Code, shall be made in a manner that is intended to avoid imposition of any additional tax or penalty under Section 409A.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EQUITY GRANT UPON INITIAL ELECTION.</w:t>
      </w:r>
    </w:p>
    <w:p>
      <w:pPr>
        <w:spacing w:after="0" w:line="256" w:lineRule="exact"/>
        <w:rPr>
          <w:sz w:val="20"/>
          <w:szCs w:val="20"/>
          <w:color w:val="auto"/>
        </w:rPr>
      </w:pPr>
    </w:p>
    <w:p>
      <w:pPr>
        <w:ind w:left="500" w:hanging="492"/>
        <w:spacing w:after="0" w:line="257"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Initial Grant</w:t>
      </w:r>
      <w:r>
        <w:rPr>
          <w:rFonts w:ascii="Arial" w:cs="Arial" w:eastAsia="Arial" w:hAnsi="Arial"/>
          <w:sz w:val="18"/>
          <w:szCs w:val="18"/>
          <w:color w:val="auto"/>
        </w:rPr>
        <w:t>. Following the effective date of this Plan, each Director shall, effective as of the date of such individual’s initial election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to the Board, be granted a Restricted Stock Unit Award with a grant-date value of approximately $200,000, rounded down to the nearest whole share.</w:t>
      </w:r>
    </w:p>
    <w:p>
      <w:pPr>
        <w:spacing w:after="0" w:line="1" w:lineRule="exact"/>
        <w:rPr>
          <w:rFonts w:ascii="Arial" w:cs="Arial" w:eastAsia="Arial" w:hAnsi="Arial"/>
          <w:sz w:val="18"/>
          <w:szCs w:val="18"/>
          <w:color w:val="auto"/>
        </w:rPr>
      </w:pPr>
    </w:p>
    <w:p>
      <w:pPr>
        <w:ind w:left="500" w:right="260" w:hanging="492"/>
        <w:spacing w:after="0" w:line="256"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Reductions in Awards</w:t>
      </w:r>
      <w:r>
        <w:rPr>
          <w:rFonts w:ascii="Arial" w:cs="Arial" w:eastAsia="Arial" w:hAnsi="Arial"/>
          <w:sz w:val="18"/>
          <w:szCs w:val="18"/>
          <w:color w:val="auto"/>
        </w:rPr>
        <w:t>. Prior to the effective date of any initial grant as described in this Section 6, the Board shall have the right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in the Awards to be granted under this Section 6. In determining whether to reduce any Award and the amount of any reduction, the Board shall take into consideration such factors as the Board shall determine.</w:t>
      </w:r>
    </w:p>
    <w:p>
      <w:pPr>
        <w:spacing w:after="0" w:line="210" w:lineRule="exact"/>
        <w:rPr>
          <w:rFonts w:ascii="Arial" w:cs="Arial" w:eastAsia="Arial" w:hAnsi="Arial"/>
          <w:sz w:val="18"/>
          <w:szCs w:val="18"/>
          <w:color w:val="auto"/>
        </w:rPr>
      </w:pPr>
    </w:p>
    <w:p>
      <w:pPr>
        <w:ind w:left="500" w:right="20" w:hanging="492"/>
        <w:spacing w:after="0" w:line="282" w:lineRule="auto"/>
        <w:tabs>
          <w:tab w:leader="none" w:pos="27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The terms and conditions of each Restricted Stock Unit granted under this Section 6 shall be as described in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ANNUAL EQUITY GRANTS.</w:t>
      </w:r>
    </w:p>
    <w:p>
      <w:pPr>
        <w:spacing w:after="0" w:line="256" w:lineRule="exact"/>
        <w:rPr>
          <w:sz w:val="20"/>
          <w:szCs w:val="20"/>
          <w:color w:val="auto"/>
        </w:rPr>
      </w:pPr>
    </w:p>
    <w:p>
      <w:pPr>
        <w:ind w:left="500" w:right="160" w:hanging="492"/>
        <w:spacing w:after="0" w:line="261"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Annual Grant</w:t>
      </w:r>
      <w:r>
        <w:rPr>
          <w:rFonts w:ascii="Arial" w:cs="Arial" w:eastAsia="Arial" w:hAnsi="Arial"/>
          <w:sz w:val="18"/>
          <w:szCs w:val="18"/>
          <w:color w:val="auto"/>
        </w:rPr>
        <w:t>. Each Director will be granted annually an Option with a grant-date value of approximately $100,000 determined using a</w:t>
      </w:r>
      <w:r>
        <w:rPr>
          <w:rFonts w:ascii="Arial" w:cs="Arial" w:eastAsia="Arial" w:hAnsi="Arial"/>
          <w:sz w:val="18"/>
          <w:szCs w:val="18"/>
          <w:i w:val="1"/>
          <w:iCs w:val="1"/>
          <w:color w:val="auto"/>
        </w:rPr>
        <w:t xml:space="preserve"> </w:t>
      </w:r>
      <w:r>
        <w:rPr>
          <w:rFonts w:ascii="Arial" w:cs="Arial" w:eastAsia="Arial" w:hAnsi="Arial"/>
          <w:sz w:val="18"/>
          <w:szCs w:val="18"/>
          <w:color w:val="auto"/>
        </w:rPr>
        <w:t>Black-Scholes option-pricing model and a Restricted Stock Unit Award with a grant-date value of approximately $100,000, in each case rounded down to the nearest whole share. The Restricted Stock Units granted under this Section 7(a) shall be in addition to any RSUs granted to any Director pursuant to Section 6.</w:t>
      </w:r>
    </w:p>
    <w:p>
      <w:pPr>
        <w:spacing w:after="0" w:line="207" w:lineRule="exact"/>
        <w:rPr>
          <w:rFonts w:ascii="Arial" w:cs="Arial" w:eastAsia="Arial" w:hAnsi="Arial"/>
          <w:sz w:val="18"/>
          <w:szCs w:val="18"/>
          <w:color w:val="auto"/>
        </w:rPr>
      </w:pPr>
    </w:p>
    <w:p>
      <w:pPr>
        <w:ind w:left="500" w:right="360" w:hanging="492"/>
        <w:spacing w:after="0" w:line="261"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Effective Date of Annual Grant</w:t>
      </w:r>
      <w:r>
        <w:rPr>
          <w:rFonts w:ascii="Arial" w:cs="Arial" w:eastAsia="Arial" w:hAnsi="Arial"/>
          <w:sz w:val="18"/>
          <w:szCs w:val="18"/>
          <w:color w:val="auto"/>
        </w:rPr>
        <w:t>. In each year the effective date for the annual grant of equity to the Company’s executive officers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the Board (or any successor committee) shall be the date the Options and Restricted Stock Units are granted; provided that in any year in which the Compensation Committee does not grant equity to any of the Company’s executive officers in connection with the annual compensation review process,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908" w:right="259" w:bottom="1440" w:gutter="0" w:footer="0" w:header="0"/>
        </w:sectPr>
      </w:pPr>
    </w:p>
    <w:bookmarkStart w:id="74" w:name="page75"/>
    <w:bookmarkEnd w:id="74"/>
    <w:p>
      <w:pPr>
        <w:ind w:left="500" w:right="620"/>
        <w:spacing w:after="0" w:line="262" w:lineRule="auto"/>
        <w:rPr>
          <w:sz w:val="20"/>
          <w:szCs w:val="20"/>
          <w:color w:val="auto"/>
        </w:rPr>
      </w:pPr>
      <w:r>
        <w:rPr>
          <w:rFonts w:ascii="Arial" w:cs="Arial" w:eastAsia="Arial" w:hAnsi="Arial"/>
          <w:sz w:val="18"/>
          <w:szCs w:val="18"/>
          <w:color w:val="auto"/>
        </w:rPr>
        <w:t>then the third trading day after the release of the Company’s financial results for the first quarter of such year shall be the date the Options and Restricted Stock Units are granted.</w:t>
      </w:r>
    </w:p>
    <w:p>
      <w:pPr>
        <w:spacing w:after="0" w:line="205" w:lineRule="exact"/>
        <w:rPr>
          <w:sz w:val="20"/>
          <w:szCs w:val="20"/>
          <w:color w:val="auto"/>
        </w:rPr>
      </w:pPr>
    </w:p>
    <w:p>
      <w:pPr>
        <w:ind w:left="500" w:right="720" w:hanging="492"/>
        <w:spacing w:after="0" w:line="282" w:lineRule="auto"/>
        <w:tabs>
          <w:tab w:leader="none" w:pos="324"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The terms and conditions of each Option and Restricted Stock Unit granted under this Section 6 shall be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Sections 8 and 9, respectively.</w:t>
      </w:r>
    </w:p>
    <w:p>
      <w:pPr>
        <w:spacing w:after="0" w:line="188" w:lineRule="exact"/>
        <w:rPr>
          <w:rFonts w:ascii="Arial" w:cs="Arial" w:eastAsia="Arial" w:hAnsi="Arial"/>
          <w:sz w:val="18"/>
          <w:szCs w:val="18"/>
          <w:color w:val="auto"/>
        </w:rPr>
      </w:pPr>
    </w:p>
    <w:p>
      <w:pPr>
        <w:ind w:left="500" w:right="140" w:hanging="492"/>
        <w:spacing w:after="0" w:line="266" w:lineRule="auto"/>
        <w:tabs>
          <w:tab w:leader="none" w:pos="334"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Reductions in Awards</w:t>
      </w:r>
      <w:r>
        <w:rPr>
          <w:rFonts w:ascii="Arial" w:cs="Arial" w:eastAsia="Arial" w:hAnsi="Arial"/>
          <w:sz w:val="18"/>
          <w:szCs w:val="18"/>
          <w:color w:val="auto"/>
        </w:rPr>
        <w:t>. Prior to the effective date of any annual grant as described in this Section 7, the Board shall have the right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in the Awards to be granted under this Section 7. In determining whether to reduce any Award and the amount of any reduction, the Board shall take into consideration such factors as the Board shall determine.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OPTIONS.</w:t>
      </w:r>
    </w:p>
    <w:p>
      <w:pPr>
        <w:spacing w:after="0" w:line="2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Options granted under this Plan will be nonstatutory stock options not intended to qualify under Section 422 of the Code and shall have the terms and conditions described in this Section 8:</w:t>
      </w:r>
    </w:p>
    <w:p>
      <w:pPr>
        <w:spacing w:after="0" w:line="205" w:lineRule="exact"/>
        <w:rPr>
          <w:sz w:val="20"/>
          <w:szCs w:val="20"/>
          <w:color w:val="auto"/>
        </w:rPr>
      </w:pPr>
    </w:p>
    <w:p>
      <w:pPr>
        <w:ind w:left="500" w:right="140" w:hanging="492"/>
        <w:spacing w:after="0" w:line="282" w:lineRule="auto"/>
        <w:tabs>
          <w:tab w:leader="none" w:pos="284"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Price and Term of Options</w:t>
      </w:r>
      <w:r>
        <w:rPr>
          <w:rFonts w:ascii="Arial" w:cs="Arial" w:eastAsia="Arial" w:hAnsi="Arial"/>
          <w:sz w:val="18"/>
          <w:szCs w:val="18"/>
          <w:color w:val="auto"/>
        </w:rPr>
        <w:t>. The purchase price per share of Shares deliverable upon the exercise of each Option shall be 100% of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per share of the Shares on the effective date of the grant as determined in Section 7(b).</w:t>
      </w:r>
    </w:p>
    <w:p>
      <w:pPr>
        <w:spacing w:after="0" w:line="188" w:lineRule="exact"/>
        <w:rPr>
          <w:rFonts w:ascii="Arial" w:cs="Arial" w:eastAsia="Arial" w:hAnsi="Arial"/>
          <w:sz w:val="18"/>
          <w:szCs w:val="18"/>
          <w:color w:val="auto"/>
        </w:rPr>
      </w:pPr>
    </w:p>
    <w:p>
      <w:pPr>
        <w:ind w:left="500" w:right="20" w:hanging="492"/>
        <w:spacing w:after="0" w:line="266" w:lineRule="auto"/>
        <w:tabs>
          <w:tab w:leader="none" w:pos="284"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property, or any combination thereof, having a Fair Market Value on the exercise date equal to the relevant exercise price, in which payment of the exercise price with respect to an Option may be made or deemed to have been made.</w:t>
      </w:r>
    </w:p>
    <w:p>
      <w:pPr>
        <w:spacing w:after="0" w:line="203" w:lineRule="exact"/>
        <w:rPr>
          <w:rFonts w:ascii="Arial" w:cs="Arial" w:eastAsia="Arial" w:hAnsi="Arial"/>
          <w:sz w:val="18"/>
          <w:szCs w:val="18"/>
          <w:color w:val="auto"/>
        </w:rPr>
      </w:pPr>
    </w:p>
    <w:p>
      <w:pPr>
        <w:ind w:left="500" w:right="820" w:hanging="492"/>
        <w:spacing w:after="0" w:line="282" w:lineRule="auto"/>
        <w:tabs>
          <w:tab w:leader="none" w:pos="274"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 8(d), Options shall become exercisable in four equal annual installments commencing 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date of the grant.</w:t>
      </w:r>
    </w:p>
    <w:p>
      <w:pPr>
        <w:spacing w:after="0" w:line="188"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The effect of a Participant’s termination of service as a member of the Board shall be as follows:</w:t>
      </w:r>
    </w:p>
    <w:p>
      <w:pPr>
        <w:spacing w:after="0" w:line="270" w:lineRule="exact"/>
        <w:rPr>
          <w:rFonts w:ascii="Arial" w:cs="Arial" w:eastAsia="Arial" w:hAnsi="Arial"/>
          <w:sz w:val="18"/>
          <w:szCs w:val="18"/>
          <w:color w:val="auto"/>
        </w:rPr>
      </w:pPr>
    </w:p>
    <w:p>
      <w:pPr>
        <w:ind w:left="700" w:hanging="206"/>
        <w:spacing w:after="0"/>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Termination for cause: All outstanding Options held by the Participant shall be canceled immediately upon termination.</w:t>
      </w:r>
    </w:p>
    <w:p>
      <w:pPr>
        <w:spacing w:after="0" w:line="252" w:lineRule="exact"/>
        <w:rPr>
          <w:rFonts w:ascii="Arial" w:cs="Arial" w:eastAsia="Arial" w:hAnsi="Arial"/>
          <w:sz w:val="18"/>
          <w:szCs w:val="18"/>
          <w:color w:val="auto"/>
        </w:rPr>
      </w:pPr>
    </w:p>
    <w:p>
      <w:pPr>
        <w:ind w:left="980" w:right="340" w:hanging="486"/>
        <w:spacing w:after="0" w:line="262" w:lineRule="auto"/>
        <w:tabs>
          <w:tab w:leader="none" w:pos="74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Death: All outstanding Options held by the Participant shall continue to full term, becoming exercisable in accordance with Section 8(c), and shall be exercisable by such Participant’s heirs or legal representatives.</w:t>
      </w:r>
    </w:p>
    <w:p>
      <w:pPr>
        <w:spacing w:after="0" w:line="223" w:lineRule="exact"/>
        <w:rPr>
          <w:rFonts w:ascii="Arial" w:cs="Arial" w:eastAsia="Arial" w:hAnsi="Arial"/>
          <w:sz w:val="18"/>
          <w:szCs w:val="18"/>
          <w:color w:val="auto"/>
        </w:rPr>
      </w:pPr>
    </w:p>
    <w:p>
      <w:pPr>
        <w:ind w:left="980" w:right="440" w:hanging="486"/>
        <w:spacing w:after="0" w:line="256" w:lineRule="auto"/>
        <w:tabs>
          <w:tab w:leader="none" w:pos="784" w:val="left"/>
        </w:tabs>
        <w:numPr>
          <w:ilvl w:val="1"/>
          <w:numId w:val="47"/>
        </w:numPr>
        <w:rPr>
          <w:rFonts w:ascii="Arial" w:cs="Arial" w:eastAsia="Arial" w:hAnsi="Arial"/>
          <w:sz w:val="18"/>
          <w:szCs w:val="18"/>
          <w:color w:val="auto"/>
        </w:rPr>
      </w:pPr>
      <w:r>
        <w:rPr>
          <w:rFonts w:ascii="Arial" w:cs="Arial" w:eastAsia="Arial" w:hAnsi="Arial"/>
          <w:sz w:val="18"/>
          <w:szCs w:val="18"/>
          <w:color w:val="auto"/>
        </w:rPr>
        <w:t>Permanent disability, termination after 8 years of service, or termination for reason of ineligibility to stand for reelection under the Company’s By-Laws: All outstanding Options held by the Participant shall continue to full term, becoming exercisable in accordance with Section 8(c).</w:t>
      </w:r>
    </w:p>
    <w:p>
      <w:pPr>
        <w:spacing w:after="0" w:line="228" w:lineRule="exact"/>
        <w:rPr>
          <w:rFonts w:ascii="Arial" w:cs="Arial" w:eastAsia="Arial" w:hAnsi="Arial"/>
          <w:sz w:val="18"/>
          <w:szCs w:val="18"/>
          <w:color w:val="auto"/>
        </w:rPr>
      </w:pPr>
    </w:p>
    <w:p>
      <w:pPr>
        <w:ind w:left="980" w:right="120" w:hanging="486"/>
        <w:spacing w:after="0" w:line="256" w:lineRule="auto"/>
        <w:tabs>
          <w:tab w:leader="none" w:pos="7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Change in Control: If a Participant experiences a Separation From Service (other than for cause) within 24 months after a Change in Control, the provisions of Section 8(c) shall not apply and Options held by the Participant shall be immediately exercisable and shall continue to full term.</w:t>
      </w:r>
    </w:p>
    <w:p>
      <w:pPr>
        <w:spacing w:after="0" w:line="228" w:lineRule="exact"/>
        <w:rPr>
          <w:rFonts w:ascii="Arial" w:cs="Arial" w:eastAsia="Arial" w:hAnsi="Arial"/>
          <w:sz w:val="18"/>
          <w:szCs w:val="18"/>
          <w:color w:val="auto"/>
        </w:rPr>
      </w:pPr>
    </w:p>
    <w:p>
      <w:pPr>
        <w:ind w:left="980" w:hanging="486"/>
        <w:spacing w:after="0" w:line="253" w:lineRule="auto"/>
        <w:tabs>
          <w:tab w:leader="none" w:pos="754" w:val="left"/>
        </w:tabs>
        <w:numPr>
          <w:ilvl w:val="1"/>
          <w:numId w:val="47"/>
        </w:numPr>
        <w:rPr>
          <w:rFonts w:ascii="Arial" w:cs="Arial" w:eastAsia="Arial" w:hAnsi="Arial"/>
          <w:sz w:val="18"/>
          <w:szCs w:val="18"/>
          <w:color w:val="auto"/>
        </w:rPr>
      </w:pPr>
      <w:r>
        <w:rPr>
          <w:rFonts w:ascii="Arial" w:cs="Arial" w:eastAsia="Arial" w:hAnsi="Arial"/>
          <w:sz w:val="18"/>
          <w:szCs w:val="18"/>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that 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214" w:lineRule="exact"/>
        <w:rPr>
          <w:rFonts w:ascii="Arial" w:cs="Arial" w:eastAsia="Arial" w:hAnsi="Arial"/>
          <w:sz w:val="18"/>
          <w:szCs w:val="18"/>
          <w:color w:val="auto"/>
        </w:rPr>
      </w:pPr>
    </w:p>
    <w:p>
      <w:pPr>
        <w:ind w:left="500" w:right="80" w:hanging="492"/>
        <w:spacing w:after="0" w:line="282" w:lineRule="auto"/>
        <w:tabs>
          <w:tab w:leader="none" w:pos="284"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under this Plan shall be evidenced by an Award Agreement with the Company, which shall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provisions set forth herein and shall otherwise be consistent with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0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SECTION 9. RESTRICTED STOCK UNITS.</w:t>
      </w:r>
    </w:p>
    <w:p>
      <w:pPr>
        <w:spacing w:after="0" w:line="274"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Each Restricted Stock Unit granted under this Plan shall be paid or settled by the issuance of one Share and shall have the terms and conditions described in this Section 9:</w:t>
      </w:r>
    </w:p>
    <w:p>
      <w:pPr>
        <w:spacing w:after="0" w:line="205" w:lineRule="exact"/>
        <w:rPr>
          <w:sz w:val="20"/>
          <w:szCs w:val="20"/>
          <w:color w:val="auto"/>
        </w:rPr>
      </w:pPr>
    </w:p>
    <w:p>
      <w:pPr>
        <w:ind w:left="500" w:right="220" w:hanging="492"/>
        <w:spacing w:after="0" w:line="266" w:lineRule="auto"/>
        <w:tabs>
          <w:tab w:leader="none" w:pos="284"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Vesting and Settlement</w:t>
      </w:r>
      <w:r>
        <w:rPr>
          <w:rFonts w:ascii="Arial" w:cs="Arial" w:eastAsia="Arial" w:hAnsi="Arial"/>
          <w:sz w:val="18"/>
          <w:szCs w:val="18"/>
          <w:color w:val="auto"/>
        </w:rPr>
        <w:t>. Subject to Section 9(b) and subject to a Director’s election to defer the settlement of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 the shares covered by the Restricted Stock Units shall be paid or settled as soon as practicable after the fourth anniversary of the date of grant.</w:t>
      </w:r>
    </w:p>
    <w:p>
      <w:pPr>
        <w:spacing w:after="0" w:line="203"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Termination of Service as a Director</w:t>
      </w:r>
      <w:r>
        <w:rPr>
          <w:rFonts w:ascii="Arial" w:cs="Arial" w:eastAsia="Arial" w:hAnsi="Arial"/>
          <w:sz w:val="18"/>
          <w:szCs w:val="18"/>
          <w:color w:val="auto"/>
        </w:rPr>
        <w:t>. The effect of a Participant's termination of service as a member of the Board shall be as follows:</w:t>
      </w:r>
    </w:p>
    <w:p>
      <w:pPr>
        <w:spacing w:after="0" w:line="270" w:lineRule="exact"/>
        <w:rPr>
          <w:rFonts w:ascii="Arial" w:cs="Arial" w:eastAsia="Arial" w:hAnsi="Arial"/>
          <w:sz w:val="18"/>
          <w:szCs w:val="18"/>
          <w:color w:val="auto"/>
        </w:rPr>
      </w:pPr>
    </w:p>
    <w:p>
      <w:pPr>
        <w:ind w:left="980" w:right="40" w:hanging="486"/>
        <w:spacing w:after="0" w:line="256" w:lineRule="auto"/>
        <w:tabs>
          <w:tab w:leader="none" w:pos="7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Death: All outstanding Restricted Stock Units held by the Participant shall continue to full term subject to the other terms and conditions of this Plan, and shares shall be issued to such Participant's heirs at such times and in such manner as if the Participant were still a member of the Board.</w:t>
      </w:r>
    </w:p>
    <w:p>
      <w:pPr>
        <w:spacing w:after="0" w:line="228" w:lineRule="exact"/>
        <w:rPr>
          <w:rFonts w:ascii="Arial" w:cs="Arial" w:eastAsia="Arial" w:hAnsi="Arial"/>
          <w:sz w:val="18"/>
          <w:szCs w:val="18"/>
          <w:color w:val="auto"/>
        </w:rPr>
      </w:pPr>
    </w:p>
    <w:p>
      <w:pPr>
        <w:ind w:left="980" w:right="260" w:hanging="486"/>
        <w:spacing w:after="0" w:line="254" w:lineRule="auto"/>
        <w:tabs>
          <w:tab w:leader="none" w:pos="744" w:val="left"/>
        </w:tabs>
        <w:numPr>
          <w:ilvl w:val="1"/>
          <w:numId w:val="48"/>
        </w:numPr>
        <w:rPr>
          <w:rFonts w:ascii="Arial" w:cs="Arial" w:eastAsia="Arial" w:hAnsi="Arial"/>
          <w:sz w:val="18"/>
          <w:szCs w:val="18"/>
          <w:color w:val="auto"/>
        </w:rPr>
      </w:pPr>
      <w:r>
        <w:rPr>
          <w:rFonts w:ascii="Arial" w:cs="Arial" w:eastAsia="Arial" w:hAnsi="Arial"/>
          <w:sz w:val="18"/>
          <w:szCs w:val="18"/>
          <w:color w:val="auto"/>
        </w:rPr>
        <w:t>Permanent disability, termination after 8 years of service, or termination for reason of ineligibility to stand for reelection under the Company's By-Laws: All outstanding Restricted Stock Units held by the Participant shall continue to full term subject to the other terms and conditions of this Plan, and shares shall be issued to such Participant at such times and in such manner as if the Participant were still a member of the Board.</w:t>
      </w:r>
    </w:p>
    <w:p>
      <w:pPr>
        <w:spacing w:after="0" w:line="231" w:lineRule="exact"/>
        <w:rPr>
          <w:rFonts w:ascii="Arial" w:cs="Arial" w:eastAsia="Arial" w:hAnsi="Arial"/>
          <w:sz w:val="18"/>
          <w:szCs w:val="18"/>
          <w:color w:val="auto"/>
        </w:rPr>
      </w:pPr>
    </w:p>
    <w:p>
      <w:pPr>
        <w:ind w:left="980" w:right="360" w:hanging="486"/>
        <w:spacing w:after="0" w:line="262" w:lineRule="auto"/>
        <w:tabs>
          <w:tab w:leader="none" w:pos="784" w:val="left"/>
        </w:tabs>
        <w:numPr>
          <w:ilvl w:val="1"/>
          <w:numId w:val="48"/>
        </w:numPr>
        <w:rPr>
          <w:rFonts w:ascii="Arial" w:cs="Arial" w:eastAsia="Arial" w:hAnsi="Arial"/>
          <w:sz w:val="18"/>
          <w:szCs w:val="18"/>
          <w:color w:val="auto"/>
        </w:rPr>
      </w:pPr>
      <w:r>
        <w:rPr>
          <w:rFonts w:ascii="Arial" w:cs="Arial" w:eastAsia="Arial" w:hAnsi="Arial"/>
          <w:sz w:val="18"/>
          <w:szCs w:val="18"/>
          <w:color w:val="auto"/>
        </w:rPr>
        <w:t>Separation From Service after a Change in Control: If a Participant experiences a Separation From Service (other than for cause) within 24 months after a Change in Control, the provisions of Section 9(a) shall not apply and:</w:t>
      </w:r>
    </w:p>
    <w:p>
      <w:pPr>
        <w:spacing w:after="0" w:line="223" w:lineRule="exact"/>
        <w:rPr>
          <w:rFonts w:ascii="Arial" w:cs="Arial" w:eastAsia="Arial" w:hAnsi="Arial"/>
          <w:sz w:val="18"/>
          <w:szCs w:val="18"/>
          <w:color w:val="auto"/>
        </w:rPr>
      </w:pPr>
    </w:p>
    <w:p>
      <w:pPr>
        <w:ind w:left="1460" w:hanging="480"/>
        <w:spacing w:after="0" w:line="252" w:lineRule="auto"/>
        <w:tabs>
          <w:tab w:leader="none" w:pos="1261" w:val="left"/>
        </w:tabs>
        <w:numPr>
          <w:ilvl w:val="2"/>
          <w:numId w:val="48"/>
        </w:numPr>
        <w:rPr>
          <w:rFonts w:ascii="Arial" w:cs="Arial" w:eastAsia="Arial" w:hAnsi="Arial"/>
          <w:sz w:val="18"/>
          <w:szCs w:val="18"/>
          <w:color w:val="auto"/>
        </w:rPr>
      </w:pPr>
      <w:r>
        <w:rPr>
          <w:rFonts w:ascii="Arial" w:cs="Arial" w:eastAsia="Arial" w:hAnsi="Arial"/>
          <w:sz w:val="18"/>
          <w:szCs w:val="18"/>
          <w:color w:val="auto"/>
        </w:rPr>
        <w:t>To the extent permitted without additional tax or penalty by Section 409A of the Code, all shares underlying such Restricted Stock Units held by the Participant (including any such Restricted Stock Units subject to an election to defer settlement under Section 11) will be issued on, or as soon as practicable (but no later than 60 days) after, the Participant’s Separation From Service; provided, however, that if the participant is a Specified Employee upon such Separation From Service, the shares will be issued on, or as soon as practicable (but no more than 10 days) after, the first day of the seventh month following the Separation From Service and any such Restricted Stock Units outstanding under this Plan shall vest and be paid immediately.</w:t>
      </w:r>
    </w:p>
    <w:p>
      <w:pPr>
        <w:spacing w:after="0" w:line="234" w:lineRule="exact"/>
        <w:rPr>
          <w:rFonts w:ascii="Arial" w:cs="Arial" w:eastAsia="Arial" w:hAnsi="Arial"/>
          <w:sz w:val="18"/>
          <w:szCs w:val="18"/>
          <w:color w:val="auto"/>
        </w:rPr>
      </w:pPr>
    </w:p>
    <w:p>
      <w:pPr>
        <w:ind w:left="1460" w:right="40" w:hanging="480"/>
        <w:spacing w:after="0" w:line="254" w:lineRule="auto"/>
        <w:tabs>
          <w:tab w:leader="none" w:pos="1261" w:val="left"/>
        </w:tabs>
        <w:numPr>
          <w:ilvl w:val="2"/>
          <w:numId w:val="48"/>
        </w:numPr>
        <w:rPr>
          <w:rFonts w:ascii="Arial" w:cs="Arial" w:eastAsia="Arial" w:hAnsi="Arial"/>
          <w:sz w:val="18"/>
          <w:szCs w:val="18"/>
          <w:color w:val="auto"/>
        </w:rPr>
      </w:pPr>
      <w:r>
        <w:rPr>
          <w:rFonts w:ascii="Arial" w:cs="Arial" w:eastAsia="Arial" w:hAnsi="Arial"/>
          <w:sz w:val="18"/>
          <w:szCs w:val="18"/>
          <w:color w:val="auto"/>
        </w:rPr>
        <w:t>To the extent that the issuance of shares is not permitted without additional tax or penalty by Section 409A, the Award will continue to full term and the shares will be issued at the issuance date specified in the Award Agreement as if the Participant were still a Director on such date or (for any such Restricted Stock Units subject to an election to defer settlement pursuant to Section 11) in accordance with Section 11(h)(i).</w:t>
      </w:r>
    </w:p>
    <w:p>
      <w:pPr>
        <w:spacing w:after="0" w:line="231" w:lineRule="exact"/>
        <w:rPr>
          <w:rFonts w:ascii="Arial" w:cs="Arial" w:eastAsia="Arial" w:hAnsi="Arial"/>
          <w:sz w:val="18"/>
          <w:szCs w:val="18"/>
          <w:color w:val="auto"/>
        </w:rPr>
      </w:pPr>
    </w:p>
    <w:p>
      <w:pPr>
        <w:ind w:left="980" w:right="540" w:hanging="486"/>
        <w:spacing w:after="0" w:line="262" w:lineRule="auto"/>
        <w:tabs>
          <w:tab w:leader="none" w:pos="7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Other: For any termination other than those specified above, all outstanding Restricted Stock Units held by the Participant shall terminate and become void without any shares being issued.</w:t>
      </w:r>
    </w:p>
    <w:p>
      <w:pPr>
        <w:spacing w:after="0" w:line="205" w:lineRule="exact"/>
        <w:rPr>
          <w:rFonts w:ascii="Arial" w:cs="Arial" w:eastAsia="Arial" w:hAnsi="Arial"/>
          <w:sz w:val="18"/>
          <w:szCs w:val="18"/>
          <w:color w:val="auto"/>
        </w:rPr>
      </w:pPr>
    </w:p>
    <w:p>
      <w:pPr>
        <w:ind w:left="500" w:right="200" w:hanging="492"/>
        <w:spacing w:after="0" w:line="266" w:lineRule="auto"/>
        <w:tabs>
          <w:tab w:leader="none" w:pos="274"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Restricted Stock Unit Agreement</w:t>
      </w:r>
      <w:r>
        <w:rPr>
          <w:rFonts w:ascii="Arial" w:cs="Arial" w:eastAsia="Arial" w:hAnsi="Arial"/>
          <w:sz w:val="18"/>
          <w:szCs w:val="18"/>
          <w:color w:val="auto"/>
        </w:rPr>
        <w:t>. Each Restricted Stock Unit Award granted under this Plan shall be evidenced by an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Company, which shall contain the terms and conditions set forth herein and shall otherwise be consistent with the provisions of this Plan.</w:t>
      </w:r>
    </w:p>
    <w:p>
      <w:pPr>
        <w:spacing w:after="0" w:line="203" w:lineRule="exact"/>
        <w:rPr>
          <w:rFonts w:ascii="Arial" w:cs="Arial" w:eastAsia="Arial" w:hAnsi="Arial"/>
          <w:sz w:val="18"/>
          <w:szCs w:val="18"/>
          <w:color w:val="auto"/>
        </w:rPr>
      </w:pPr>
    </w:p>
    <w:p>
      <w:pPr>
        <w:ind w:left="500" w:right="360" w:hanging="492"/>
        <w:spacing w:after="0" w:line="266" w:lineRule="auto"/>
        <w:tabs>
          <w:tab w:leader="none" w:pos="284"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Right to Dividend Equivalents. </w:t>
      </w:r>
      <w:r>
        <w:rPr>
          <w:rFonts w:ascii="Arial" w:cs="Arial" w:eastAsia="Arial" w:hAnsi="Arial"/>
          <w:sz w:val="18"/>
          <w:szCs w:val="18"/>
          <w:color w:val="auto"/>
        </w:rPr>
        <w:t>Each recipient of Restricted Stock Units under this Plan shall have the right, during the period when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are outstanding and prior to the termination, forfeiture or payment or settlement thereof, to receive dividend equivalents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87" w:right="239" w:bottom="1440" w:gutter="0" w:footer="0" w:header="0"/>
        </w:sectPr>
      </w:pPr>
    </w:p>
    <w:bookmarkStart w:id="76" w:name="page77"/>
    <w:bookmarkEnd w:id="76"/>
    <w:p>
      <w:pPr>
        <w:ind w:left="500" w:right="100"/>
        <w:spacing w:after="0" w:line="254" w:lineRule="auto"/>
        <w:rPr>
          <w:sz w:val="20"/>
          <w:szCs w:val="20"/>
          <w:color w:val="auto"/>
        </w:rPr>
      </w:pPr>
      <w:r>
        <w:rPr>
          <w:rFonts w:ascii="Arial" w:cs="Arial" w:eastAsia="Arial" w:hAnsi="Arial"/>
          <w:sz w:val="18"/>
          <w:szCs w:val="18"/>
          <w:color w:val="auto"/>
        </w:rPr>
        <w:t>equal to the amount or value of any cash or other distributions or dividends payable on the same number of Shares. The Company shall accumulate dividend equivalents on each dividend payment date and, unless a Director has elected to defer receipt of such dividend equivalents pursuant to Section 11, pay such accumulated amounts without interest in December of each fiscal year, but no later than March 15 of the calendar year following the calendar year in which the related dividend is declared.</w:t>
      </w:r>
    </w:p>
    <w:p>
      <w:pPr>
        <w:spacing w:after="0" w:line="213" w:lineRule="exact"/>
        <w:rPr>
          <w:sz w:val="20"/>
          <w:szCs w:val="20"/>
          <w:color w:val="auto"/>
        </w:rPr>
      </w:pPr>
    </w:p>
    <w:p>
      <w:pPr>
        <w:ind w:left="500" w:right="120" w:hanging="492"/>
        <w:spacing w:after="0" w:line="266" w:lineRule="auto"/>
        <w:tabs>
          <w:tab w:leader="none" w:pos="284"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Issuance of Shares</w:t>
      </w:r>
      <w:r>
        <w:rPr>
          <w:rFonts w:ascii="Arial" w:cs="Arial" w:eastAsia="Arial" w:hAnsi="Arial"/>
          <w:sz w:val="18"/>
          <w:szCs w:val="18"/>
          <w:color w:val="auto"/>
        </w:rPr>
        <w:t>. A stock certificate or certificates shall be registered and issued or other indicia of ownership of shares shall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name or for the benefit of the holder of Restricted Stock Units and delivered to such holder as soon as practicable after such Restricted Stock Units have become payable or settleable in accordance with the terms of the Plan.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STOCK APPRECIATION RIGHTS (SARs).</w:t>
      </w:r>
    </w:p>
    <w:p>
      <w:pPr>
        <w:spacing w:after="0" w:line="274" w:lineRule="exact"/>
        <w:rPr>
          <w:sz w:val="20"/>
          <w:szCs w:val="20"/>
          <w:color w:val="auto"/>
        </w:rPr>
      </w:pPr>
    </w:p>
    <w:p>
      <w:pPr>
        <w:ind w:left="500" w:right="120" w:hanging="492"/>
        <w:spacing w:after="0" w:line="262" w:lineRule="auto"/>
        <w:tabs>
          <w:tab w:leader="none" w:pos="2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SARs may be granted to Directors with such terms and conditions as the Administrator shall determine not inconsistent with the provisions of the Plan.</w:t>
      </w:r>
    </w:p>
    <w:p>
      <w:pPr>
        <w:spacing w:after="0" w:line="223"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of each SAR shall be fixed by the Administrator but shall not exceed 10 years.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DEFERRED COMPENSATION.</w:t>
      </w:r>
    </w:p>
    <w:p>
      <w:pPr>
        <w:spacing w:after="0" w:line="256" w:lineRule="exact"/>
        <w:rPr>
          <w:sz w:val="20"/>
          <w:szCs w:val="20"/>
          <w:color w:val="auto"/>
        </w:rPr>
      </w:pPr>
    </w:p>
    <w:p>
      <w:pPr>
        <w:ind w:left="500" w:right="560" w:hanging="492"/>
        <w:spacing w:after="0" w:line="282" w:lineRule="auto"/>
        <w:tabs>
          <w:tab w:leader="none" w:pos="284"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Director may elect, with respect to any Year, that all or any percentage of his or her Eligible Compensation be</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 accordance with the terms of this Plan.</w:t>
      </w:r>
    </w:p>
    <w:p>
      <w:pPr>
        <w:spacing w:after="0" w:line="188" w:lineRule="exact"/>
        <w:rPr>
          <w:rFonts w:ascii="Arial" w:cs="Arial" w:eastAsia="Arial" w:hAnsi="Arial"/>
          <w:sz w:val="18"/>
          <w:szCs w:val="18"/>
          <w:color w:val="auto"/>
        </w:rPr>
      </w:pPr>
    </w:p>
    <w:p>
      <w:pPr>
        <w:ind w:left="500" w:right="20" w:hanging="492"/>
        <w:spacing w:after="0" w:line="282" w:lineRule="auto"/>
        <w:tabs>
          <w:tab w:leader="none" w:pos="284"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Cash Compensation Investment Alternatives</w:t>
      </w:r>
      <w:r>
        <w:rPr>
          <w:rFonts w:ascii="Arial" w:cs="Arial" w:eastAsia="Arial" w:hAnsi="Arial"/>
          <w:sz w:val="18"/>
          <w:szCs w:val="18"/>
          <w:color w:val="auto"/>
        </w:rPr>
        <w:t>. Each Director may elect that his or her Deferred Cash Compensation for any Year be credited</w:t>
      </w:r>
      <w:r>
        <w:rPr>
          <w:rFonts w:ascii="Arial" w:cs="Arial" w:eastAsia="Arial" w:hAnsi="Arial"/>
          <w:sz w:val="18"/>
          <w:szCs w:val="18"/>
          <w:i w:val="1"/>
          <w:iCs w:val="1"/>
          <w:color w:val="auto"/>
        </w:rPr>
        <w:t xml:space="preserve"> </w:t>
      </w:r>
      <w:r>
        <w:rPr>
          <w:rFonts w:ascii="Arial" w:cs="Arial" w:eastAsia="Arial" w:hAnsi="Arial"/>
          <w:sz w:val="18"/>
          <w:szCs w:val="18"/>
          <w:color w:val="auto"/>
        </w:rPr>
        <w:t>to a Cash Account or a Stock Unit Account or to any combination thereof.</w:t>
      </w:r>
    </w:p>
    <w:p>
      <w:pPr>
        <w:spacing w:after="0" w:line="188" w:lineRule="exact"/>
        <w:rPr>
          <w:rFonts w:ascii="Arial" w:cs="Arial" w:eastAsia="Arial" w:hAnsi="Arial"/>
          <w:sz w:val="18"/>
          <w:szCs w:val="18"/>
          <w:color w:val="auto"/>
        </w:rPr>
      </w:pPr>
    </w:p>
    <w:p>
      <w:pPr>
        <w:ind w:left="700" w:hanging="206"/>
        <w:spacing w:after="0"/>
        <w:tabs>
          <w:tab w:leader="none" w:pos="70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270" w:lineRule="exact"/>
        <w:rPr>
          <w:rFonts w:ascii="Arial" w:cs="Arial" w:eastAsia="Arial" w:hAnsi="Arial"/>
          <w:sz w:val="18"/>
          <w:szCs w:val="18"/>
          <w:color w:val="auto"/>
        </w:rPr>
      </w:pPr>
    </w:p>
    <w:p>
      <w:pPr>
        <w:ind w:left="1460" w:right="520" w:hanging="480"/>
        <w:spacing w:after="0" w:line="262" w:lineRule="auto"/>
        <w:tabs>
          <w:tab w:leader="none" w:pos="1261"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Cash Accounts for each Director who has elected that any portion of his or her Deferred Cash Compensation be credited to a Cash Account.</w:t>
      </w:r>
    </w:p>
    <w:p>
      <w:pPr>
        <w:spacing w:after="0" w:line="223" w:lineRule="exact"/>
        <w:rPr>
          <w:rFonts w:ascii="Arial" w:cs="Arial" w:eastAsia="Arial" w:hAnsi="Arial"/>
          <w:sz w:val="18"/>
          <w:szCs w:val="18"/>
          <w:color w:val="auto"/>
        </w:rPr>
      </w:pPr>
    </w:p>
    <w:p>
      <w:pPr>
        <w:ind w:left="1460" w:right="80" w:hanging="480"/>
        <w:spacing w:after="0" w:line="256" w:lineRule="auto"/>
        <w:tabs>
          <w:tab w:leader="none" w:pos="1254" w:val="left"/>
        </w:tabs>
        <w:numPr>
          <w:ilvl w:val="2"/>
          <w:numId w:val="51"/>
        </w:numPr>
        <w:rPr>
          <w:rFonts w:ascii="Arial" w:cs="Arial" w:eastAsia="Arial" w:hAnsi="Arial"/>
          <w:sz w:val="18"/>
          <w:szCs w:val="18"/>
          <w:color w:val="auto"/>
        </w:rPr>
      </w:pPr>
      <w:r>
        <w:rPr>
          <w:rFonts w:ascii="Arial" w:cs="Arial" w:eastAsia="Arial" w:hAnsi="Arial"/>
          <w:sz w:val="18"/>
          <w:szCs w:val="18"/>
          <w:color w:val="auto"/>
        </w:rPr>
        <w:t>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228" w:lineRule="exact"/>
        <w:rPr>
          <w:rFonts w:ascii="Arial" w:cs="Arial" w:eastAsia="Arial" w:hAnsi="Arial"/>
          <w:sz w:val="18"/>
          <w:szCs w:val="18"/>
          <w:color w:val="auto"/>
        </w:rPr>
      </w:pPr>
    </w:p>
    <w:p>
      <w:pPr>
        <w:ind w:left="1460" w:hanging="480"/>
        <w:spacing w:after="0" w:line="252" w:lineRule="auto"/>
        <w:tabs>
          <w:tab w:leader="none" w:pos="1264" w:val="left"/>
        </w:tabs>
        <w:numPr>
          <w:ilvl w:val="2"/>
          <w:numId w:val="51"/>
        </w:numPr>
        <w:rPr>
          <w:rFonts w:ascii="Arial" w:cs="Arial" w:eastAsia="Arial" w:hAnsi="Arial"/>
          <w:sz w:val="18"/>
          <w:szCs w:val="18"/>
          <w:color w:val="auto"/>
        </w:rPr>
      </w:pPr>
      <w:r>
        <w:rPr>
          <w:rFonts w:ascii="Arial" w:cs="Arial" w:eastAsia="Arial" w:hAnsi="Arial"/>
          <w:sz w:val="18"/>
          <w:szCs w:val="18"/>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that would qualify as a "reasonable rate of interest" as defined by Section 409A of the Code, as may be determined by the GSR Committee for each Year.</w:t>
      </w:r>
    </w:p>
    <w:p>
      <w:pPr>
        <w:spacing w:after="0" w:line="217" w:lineRule="exact"/>
        <w:rPr>
          <w:rFonts w:ascii="Arial" w:cs="Arial" w:eastAsia="Arial" w:hAnsi="Arial"/>
          <w:sz w:val="18"/>
          <w:szCs w:val="18"/>
          <w:color w:val="auto"/>
        </w:rPr>
      </w:pPr>
    </w:p>
    <w:p>
      <w:pPr>
        <w:ind w:left="740" w:hanging="246"/>
        <w:spacing w:after="0"/>
        <w:tabs>
          <w:tab w:leader="none" w:pos="74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Stock Unit Accounts</w:t>
      </w:r>
      <w:r>
        <w:rPr>
          <w:rFonts w:ascii="Arial" w:cs="Arial" w:eastAsia="Arial" w:hAnsi="Arial"/>
          <w:sz w:val="18"/>
          <w:szCs w:val="18"/>
          <w:color w:val="auto"/>
        </w:rPr>
        <w:t>.</w:t>
      </w:r>
    </w:p>
    <w:p>
      <w:pPr>
        <w:spacing w:after="0" w:line="270" w:lineRule="exact"/>
        <w:rPr>
          <w:rFonts w:ascii="Arial" w:cs="Arial" w:eastAsia="Arial" w:hAnsi="Arial"/>
          <w:sz w:val="18"/>
          <w:szCs w:val="18"/>
          <w:color w:val="auto"/>
        </w:rPr>
      </w:pPr>
    </w:p>
    <w:p>
      <w:pPr>
        <w:ind w:left="1460" w:right="120" w:hanging="480"/>
        <w:spacing w:after="0" w:line="262" w:lineRule="auto"/>
        <w:tabs>
          <w:tab w:leader="none" w:pos="1261"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Stock Unit Accounts for each Director who has elected that any portion of his or her Deferred Cash Compensation be credited to a Stock Unit Account.</w:t>
      </w:r>
    </w:p>
    <w:p>
      <w:pPr>
        <w:spacing w:after="0" w:line="223" w:lineRule="exact"/>
        <w:rPr>
          <w:rFonts w:ascii="Arial" w:cs="Arial" w:eastAsia="Arial" w:hAnsi="Arial"/>
          <w:sz w:val="18"/>
          <w:szCs w:val="18"/>
          <w:color w:val="auto"/>
        </w:rPr>
      </w:pPr>
    </w:p>
    <w:p>
      <w:pPr>
        <w:ind w:left="1460" w:right="360" w:hanging="480"/>
        <w:spacing w:after="0" w:line="256" w:lineRule="auto"/>
        <w:tabs>
          <w:tab w:leader="none" w:pos="1254" w:val="left"/>
        </w:tabs>
        <w:numPr>
          <w:ilvl w:val="2"/>
          <w:numId w:val="51"/>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908" w:right="259" w:bottom="1440" w:gutter="0" w:footer="0" w:header="0"/>
        </w:sectPr>
      </w:pPr>
    </w:p>
    <w:bookmarkStart w:id="77" w:name="page78"/>
    <w:bookmarkEnd w:id="77"/>
    <w:p>
      <w:pPr>
        <w:ind w:left="1460"/>
        <w:spacing w:after="0"/>
        <w:rPr>
          <w:sz w:val="20"/>
          <w:szCs w:val="20"/>
          <w:color w:val="auto"/>
        </w:rPr>
      </w:pPr>
      <w:r>
        <w:rPr>
          <w:rFonts w:ascii="Arial" w:cs="Arial" w:eastAsia="Arial" w:hAnsi="Arial"/>
          <w:sz w:val="18"/>
          <w:szCs w:val="18"/>
          <w:color w:val="auto"/>
        </w:rPr>
        <w:t>such Deferred Cash Compensation as such Director has elected be credited to his or her Stock Unit Account.</w:t>
      </w:r>
    </w:p>
    <w:p>
      <w:pPr>
        <w:spacing w:after="0" w:line="252" w:lineRule="exact"/>
        <w:rPr>
          <w:sz w:val="20"/>
          <w:szCs w:val="20"/>
          <w:color w:val="auto"/>
        </w:rPr>
      </w:pPr>
    </w:p>
    <w:p>
      <w:pPr>
        <w:jc w:val="both"/>
        <w:ind w:left="1460" w:hanging="480"/>
        <w:spacing w:after="0" w:line="254" w:lineRule="auto"/>
        <w:tabs>
          <w:tab w:leader="none" w:pos="1264" w:val="left"/>
        </w:tabs>
        <w:numPr>
          <w:ilvl w:val="2"/>
          <w:numId w:val="52"/>
        </w:numPr>
        <w:rPr>
          <w:rFonts w:ascii="Arial" w:cs="Arial" w:eastAsia="Arial" w:hAnsi="Arial"/>
          <w:sz w:val="18"/>
          <w:szCs w:val="18"/>
          <w:color w:val="auto"/>
        </w:rPr>
      </w:pPr>
      <w:r>
        <w:rPr>
          <w:rFonts w:ascii="Arial" w:cs="Arial" w:eastAsia="Arial" w:hAnsi="Arial"/>
          <w:sz w:val="18"/>
          <w:szCs w:val="18"/>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213" w:lineRule="exact"/>
        <w:rPr>
          <w:rFonts w:ascii="Arial" w:cs="Arial" w:eastAsia="Arial" w:hAnsi="Arial"/>
          <w:sz w:val="18"/>
          <w:szCs w:val="18"/>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Each Director may elect to defer all or a portion of any Restricted Stock Unit Award.</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Each Director may elect to defer all or a portion of any dividend equivalents paid on Restricted Stock Units.</w:t>
      </w:r>
    </w:p>
    <w:p>
      <w:pPr>
        <w:spacing w:after="0" w:line="252" w:lineRule="exact"/>
        <w:rPr>
          <w:rFonts w:ascii="Arial" w:cs="Arial" w:eastAsia="Arial" w:hAnsi="Arial"/>
          <w:sz w:val="18"/>
          <w:szCs w:val="18"/>
          <w:color w:val="auto"/>
        </w:rPr>
      </w:pPr>
    </w:p>
    <w:p>
      <w:pPr>
        <w:ind w:left="500" w:right="120" w:hanging="492"/>
        <w:spacing w:after="0" w:line="282" w:lineRule="auto"/>
        <w:tabs>
          <w:tab w:leader="none" w:pos="284"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Time of Election. </w:t>
      </w:r>
      <w:r>
        <w:rPr>
          <w:rFonts w:ascii="Arial" w:cs="Arial" w:eastAsia="Arial" w:hAnsi="Arial"/>
          <w:sz w:val="18"/>
          <w:szCs w:val="18"/>
          <w:color w:val="auto"/>
        </w:rPr>
        <w:t>An election to defer all or any portion of Eligible Compensation for any Year shall be made in writing in the form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Form”) prescribed by the Secretary.</w:t>
      </w:r>
    </w:p>
    <w:p>
      <w:pPr>
        <w:spacing w:after="0" w:line="206" w:lineRule="exact"/>
        <w:rPr>
          <w:rFonts w:ascii="Arial" w:cs="Arial" w:eastAsia="Arial" w:hAnsi="Arial"/>
          <w:sz w:val="18"/>
          <w:szCs w:val="18"/>
          <w:color w:val="auto"/>
        </w:rPr>
      </w:pPr>
    </w:p>
    <w:p>
      <w:pPr>
        <w:ind w:left="980" w:right="60" w:hanging="486"/>
        <w:spacing w:after="0" w:line="252" w:lineRule="auto"/>
        <w:tabs>
          <w:tab w:leader="none" w:pos="704"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Except as hereinafter provided, to be effective, an Election Form relating to payments for a Year, or to Restricted Stock Units that may be granted in such Year, must be received by the Secretary on or before December 31 of the preceding Year. In the case of a Director’s initial election to the Board, the initial Election Form must be received not more than 30 days following his or her election to the Board and, if received within such 30-day period, the Election Form shall be effective only for Eligible Compensation earned after the election becomes irrevocable pursuant to Section 11(f). The time of election and the time of distribution shall comply in all respects with the applicable requirements of Section 409A of the Code.</w:t>
      </w:r>
    </w:p>
    <w:p>
      <w:pPr>
        <w:spacing w:after="0" w:line="217" w:lineRule="exact"/>
        <w:rPr>
          <w:rFonts w:ascii="Arial" w:cs="Arial" w:eastAsia="Arial" w:hAnsi="Arial"/>
          <w:sz w:val="18"/>
          <w:szCs w:val="18"/>
          <w:color w:val="auto"/>
        </w:rPr>
      </w:pPr>
    </w:p>
    <w:p>
      <w:pPr>
        <w:ind w:left="500" w:right="100" w:hanging="492"/>
        <w:spacing w:after="0" w:line="282" w:lineRule="auto"/>
        <w:tabs>
          <w:tab w:leader="none" w:pos="234"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Irrevocability of Election. </w:t>
      </w:r>
      <w:r>
        <w:rPr>
          <w:rFonts w:ascii="Arial" w:cs="Arial" w:eastAsia="Arial" w:hAnsi="Arial"/>
          <w:sz w:val="18"/>
          <w:szCs w:val="18"/>
          <w:color w:val="auto"/>
        </w:rPr>
        <w:t>A Director’s election to defer all or any portion of his or her Eligible Compensation for any Year shall be irrevocable</w:t>
      </w:r>
      <w:r>
        <w:rPr>
          <w:rFonts w:ascii="Arial" w:cs="Arial" w:eastAsia="Arial" w:hAnsi="Arial"/>
          <w:sz w:val="18"/>
          <w:szCs w:val="18"/>
          <w:i w:val="1"/>
          <w:iCs w:val="1"/>
          <w:color w:val="auto"/>
        </w:rPr>
        <w:t xml:space="preserve"> </w:t>
      </w:r>
      <w:r>
        <w:rPr>
          <w:rFonts w:ascii="Arial" w:cs="Arial" w:eastAsia="Arial" w:hAnsi="Arial"/>
          <w:sz w:val="18"/>
          <w:szCs w:val="18"/>
          <w:color w:val="auto"/>
        </w:rPr>
        <w:t>upon receipt by the Secretary of a completed Election Form from the Director.</w:t>
      </w:r>
    </w:p>
    <w:p>
      <w:pPr>
        <w:spacing w:after="0" w:line="188" w:lineRule="exact"/>
        <w:rPr>
          <w:rFonts w:ascii="Arial" w:cs="Arial" w:eastAsia="Arial" w:hAnsi="Arial"/>
          <w:sz w:val="18"/>
          <w:szCs w:val="18"/>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Form of Distributions</w:t>
      </w:r>
      <w:r>
        <w:rPr>
          <w:rFonts w:ascii="Arial" w:cs="Arial" w:eastAsia="Arial" w:hAnsi="Arial"/>
          <w:sz w:val="18"/>
          <w:szCs w:val="18"/>
          <w:color w:val="auto"/>
        </w:rPr>
        <w:t>.</w:t>
      </w:r>
    </w:p>
    <w:p>
      <w:pPr>
        <w:spacing w:after="0" w:line="270" w:lineRule="exact"/>
        <w:rPr>
          <w:rFonts w:ascii="Arial" w:cs="Arial" w:eastAsia="Arial" w:hAnsi="Arial"/>
          <w:sz w:val="18"/>
          <w:szCs w:val="18"/>
          <w:color w:val="auto"/>
        </w:rPr>
      </w:pPr>
    </w:p>
    <w:p>
      <w:pPr>
        <w:ind w:left="700" w:hanging="206"/>
        <w:spacing w:after="0"/>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Distributions of amounts credited to each Participant’s Cash Account shall be made in cash.</w:t>
      </w:r>
    </w:p>
    <w:p>
      <w:pPr>
        <w:spacing w:after="0" w:line="252" w:lineRule="exact"/>
        <w:rPr>
          <w:rFonts w:ascii="Arial" w:cs="Arial" w:eastAsia="Arial" w:hAnsi="Arial"/>
          <w:sz w:val="18"/>
          <w:szCs w:val="18"/>
          <w:color w:val="auto"/>
        </w:rPr>
      </w:pPr>
    </w:p>
    <w:p>
      <w:pPr>
        <w:ind w:left="980" w:right="460" w:hanging="486"/>
        <w:spacing w:after="0" w:line="262" w:lineRule="auto"/>
        <w:tabs>
          <w:tab w:leader="none" w:pos="7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Distributions of units credited to each Participant’s Stock Unit Account shall be made by issuing to such Participant an equivalent number of Shares.</w:t>
      </w:r>
    </w:p>
    <w:p>
      <w:pPr>
        <w:spacing w:after="0" w:line="223" w:lineRule="exact"/>
        <w:rPr>
          <w:rFonts w:ascii="Arial" w:cs="Arial" w:eastAsia="Arial" w:hAnsi="Arial"/>
          <w:sz w:val="18"/>
          <w:szCs w:val="18"/>
          <w:color w:val="auto"/>
        </w:rPr>
      </w:pPr>
    </w:p>
    <w:p>
      <w:pPr>
        <w:ind w:left="980" w:right="200" w:hanging="486"/>
        <w:spacing w:after="0" w:line="254" w:lineRule="auto"/>
        <w:tabs>
          <w:tab w:leader="none" w:pos="78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Distribution of Shares relating to vested Restricted Stock Units the Participant has elected to defer shall be made by issuing to such Participant the whole number of Shares attributable to such vested Restricted Stock Units. Notwithstanding the foregoing, no fractional shares will be issued and any fractional unit will be distributed by payment of cash in the amount represented by such fractional unit based on the Fair Market Value on the date preceding the date of payment.</w:t>
      </w:r>
    </w:p>
    <w:p>
      <w:pPr>
        <w:spacing w:after="0" w:line="213" w:lineRule="exact"/>
        <w:rPr>
          <w:rFonts w:ascii="Arial" w:cs="Arial" w:eastAsia="Arial" w:hAnsi="Arial"/>
          <w:sz w:val="18"/>
          <w:szCs w:val="18"/>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Time of Distributions.</w:t>
      </w:r>
    </w:p>
    <w:p>
      <w:pPr>
        <w:spacing w:after="0" w:line="270" w:lineRule="exact"/>
        <w:rPr>
          <w:rFonts w:ascii="Arial" w:cs="Arial" w:eastAsia="Arial" w:hAnsi="Arial"/>
          <w:sz w:val="18"/>
          <w:szCs w:val="18"/>
          <w:color w:val="auto"/>
        </w:rPr>
      </w:pPr>
    </w:p>
    <w:p>
      <w:pPr>
        <w:ind w:left="980" w:hanging="486"/>
        <w:spacing w:after="0" w:line="256" w:lineRule="auto"/>
        <w:tabs>
          <w:tab w:leader="none" w:pos="704"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Normal Distributions. Except as otherwise hereinafter provided, distributions from a Participant's Deferred Compensation Account shall be made on the first day of the month following such Participant’s Separation from Service on the Board for any reason other than death.</w:t>
      </w:r>
    </w:p>
    <w:p>
      <w:pPr>
        <w:spacing w:after="0" w:line="229" w:lineRule="exact"/>
        <w:rPr>
          <w:sz w:val="20"/>
          <w:szCs w:val="20"/>
          <w:color w:val="auto"/>
        </w:rPr>
      </w:pPr>
    </w:p>
    <w:p>
      <w:pPr>
        <w:ind w:left="980" w:right="380" w:hanging="85"/>
        <w:spacing w:after="0" w:line="262" w:lineRule="auto"/>
        <w:rPr>
          <w:sz w:val="20"/>
          <w:szCs w:val="20"/>
          <w:color w:val="auto"/>
        </w:rPr>
      </w:pPr>
      <w:r>
        <w:rPr>
          <w:rFonts w:ascii="Arial" w:cs="Arial" w:eastAsia="Arial" w:hAnsi="Arial"/>
          <w:sz w:val="18"/>
          <w:szCs w:val="18"/>
          <w:color w:val="auto"/>
        </w:rPr>
        <w:t>Notwithstanding the foregoing, no distribution may be made to a Specified Employee before the date that is six months after the date of Separation from Service or, if earlier, the date of death.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8" w:right="239" w:bottom="1440" w:gutter="0" w:footer="0" w:header="0"/>
        </w:sectPr>
      </w:pPr>
    </w:p>
    <w:bookmarkStart w:id="78" w:name="page79"/>
    <w:bookmarkEnd w:id="78"/>
    <w:p>
      <w:pPr>
        <w:ind w:left="972" w:right="180" w:hanging="486"/>
        <w:spacing w:after="0" w:line="254" w:lineRule="auto"/>
        <w:tabs>
          <w:tab w:leader="none" w:pos="7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in Control. In the event a Participant experiences a Separation From Service (other than for cause) within 24 months after a Change in Control, then, to the extent permitted without additional tax or penalty by Section 409A of the Code, such Participant shall receive a distribution of the balances credited to the Participant’s Account which are attributable to amounts credited to the account. See Section 9(b)(iii) for the effect of such Separation From Service on deferred Restricted Stock Units.</w:t>
      </w:r>
    </w:p>
    <w:p>
      <w:pPr>
        <w:spacing w:after="0" w:line="231" w:lineRule="exact"/>
        <w:rPr>
          <w:sz w:val="20"/>
          <w:szCs w:val="20"/>
          <w:color w:val="auto"/>
        </w:rPr>
      </w:pPr>
    </w:p>
    <w:p>
      <w:pPr>
        <w:ind w:left="972" w:hanging="88"/>
        <w:spacing w:after="0" w:line="254" w:lineRule="auto"/>
        <w:rPr>
          <w:sz w:val="20"/>
          <w:szCs w:val="20"/>
          <w:color w:val="auto"/>
        </w:rPr>
      </w:pPr>
      <w:r>
        <w:rPr>
          <w:rFonts w:ascii="Arial" w:cs="Arial" w:eastAsia="Arial" w:hAnsi="Arial"/>
          <w:sz w:val="18"/>
          <w:szCs w:val="18"/>
          <w:color w:val="auto"/>
        </w:rPr>
        <w:t>The amounts to be distributed pursuant to this Section 11(h)(ii) shall be paid on, or as soon as practicable (but no later than 60 days) after, the Participant’s Separation from Service, provided, however, that if the Participant is a Specified Employee upon such Separation From Service, the balances credited to the Participant’s Account will be distributed on, or as soon as practicable (but no more than 10 days) after, the first day of the seventh month following such Separation From Service.</w:t>
      </w:r>
    </w:p>
    <w:p>
      <w:pPr>
        <w:spacing w:after="0" w:line="231" w:lineRule="exact"/>
        <w:rPr>
          <w:sz w:val="20"/>
          <w:szCs w:val="20"/>
          <w:color w:val="auto"/>
        </w:rPr>
      </w:pPr>
    </w:p>
    <w:p>
      <w:pPr>
        <w:jc w:val="both"/>
        <w:ind w:left="972" w:right="300" w:hanging="88"/>
        <w:spacing w:after="0" w:line="256" w:lineRule="auto"/>
        <w:rPr>
          <w:sz w:val="20"/>
          <w:szCs w:val="20"/>
          <w:color w:val="auto"/>
        </w:rPr>
      </w:pPr>
      <w:r>
        <w:rPr>
          <w:rFonts w:ascii="Arial" w:cs="Arial" w:eastAsia="Arial" w:hAnsi="Arial"/>
          <w:sz w:val="18"/>
          <w:szCs w:val="18"/>
          <w:color w:val="auto"/>
        </w:rPr>
        <w:t>To the extent that distributions of amounts pursuant to this Section 11(h)(ii) are not permitted without additional tax or penalty by Section 409A of the Code, the affected Participant shall receive distribution of the amounts referred to in this Section 11(h)(ii) in accordance with Section 11(h)(i).</w:t>
      </w:r>
    </w:p>
    <w:p>
      <w:pPr>
        <w:spacing w:after="0" w:line="229" w:lineRule="exact"/>
        <w:rPr>
          <w:sz w:val="20"/>
          <w:szCs w:val="20"/>
          <w:color w:val="auto"/>
        </w:rPr>
      </w:pPr>
    </w:p>
    <w:p>
      <w:pPr>
        <w:ind w:left="972" w:right="40" w:hanging="486"/>
        <w:spacing w:after="0" w:line="253" w:lineRule="auto"/>
        <w:tabs>
          <w:tab w:leader="none" w:pos="7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Unforeseeable Emergency. An earlier distribution may be made upon a finding that the Participant is suffering from an Unforeseeable Emergency. A withdrawal on account of Unforeseeable Emergency may not be made to the extent that such emergency is or may be relieved (A) through reimbursement or compensation from insurance or otherwise, (B) by liquidation of the Participant’s assets, to the extent the liquidation of such assets would not cause severe financial hardship, or (C) by cessation of deferrals under the Plan.</w:t>
      </w:r>
    </w:p>
    <w:p>
      <w:pPr>
        <w:spacing w:after="0" w:line="233" w:lineRule="exact"/>
        <w:rPr>
          <w:sz w:val="20"/>
          <w:szCs w:val="20"/>
          <w:color w:val="auto"/>
        </w:rPr>
      </w:pPr>
    </w:p>
    <w:p>
      <w:pPr>
        <w:ind w:left="972" w:right="40" w:hanging="85"/>
        <w:spacing w:after="0" w:line="270" w:lineRule="auto"/>
        <w:rPr>
          <w:sz w:val="20"/>
          <w:szCs w:val="20"/>
          <w:color w:val="auto"/>
        </w:rPr>
      </w:pPr>
      <w:r>
        <w:rPr>
          <w:rFonts w:ascii="Arial" w:cs="Arial" w:eastAsia="Arial" w:hAnsi="Arial"/>
          <w:sz w:val="17"/>
          <w:szCs w:val="17"/>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Administrator, in its sole discretion. The Participant must apply in writing for a payment upon an “Unforeseeable Emergency,” using the form prescribed by the Administrator. The Administrator retains the sole and absolute discretion to grant or deny a payment upon an Unforeseeable Emergency. In the event of approval of a payment upon an Unforeseeable Emergency, the Participant’s outstanding deferral elections under the Plan shall be cancelled.</w:t>
      </w:r>
    </w:p>
    <w:p>
      <w:pPr>
        <w:spacing w:after="0" w:line="202" w:lineRule="exact"/>
        <w:rPr>
          <w:sz w:val="20"/>
          <w:szCs w:val="20"/>
          <w:color w:val="auto"/>
        </w:rPr>
      </w:pPr>
    </w:p>
    <w:p>
      <w:pPr>
        <w:ind w:left="492" w:right="80" w:hanging="492"/>
        <w:spacing w:after="0" w:line="257" w:lineRule="auto"/>
        <w:tabs>
          <w:tab w:leader="none" w:pos="21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Death of Participant</w:t>
      </w:r>
      <w:r>
        <w:rPr>
          <w:rFonts w:ascii="Arial" w:cs="Arial" w:eastAsia="Arial" w:hAnsi="Arial"/>
          <w:sz w:val="18"/>
          <w:szCs w:val="18"/>
          <w:color w:val="auto"/>
        </w:rPr>
        <w:t>. Notwithstanding the foregoing, in the event of the death of a Participant prior to receipt by such Participant of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and number of shares to be distributed from his or her Deferred Compensation Account, all such cash and/or shares will be distributed to the beneficiary or beneficiaries designated by the Participant, or if no beneficiary has been designated, to the Participant’s estate as soon as practicable following the month in which the death occurred. Shares to be distributed to the Participant in connection with deferred Restricted Stock Units shall also be distributed as described in the preceding sentence but in no event earlier than the fourth anniversary of the date of grant.</w:t>
      </w:r>
    </w:p>
    <w:p>
      <w:pPr>
        <w:spacing w:after="0" w:line="209" w:lineRule="exact"/>
        <w:rPr>
          <w:rFonts w:ascii="Arial" w:cs="Arial" w:eastAsia="Arial" w:hAnsi="Arial"/>
          <w:sz w:val="18"/>
          <w:szCs w:val="18"/>
          <w:color w:val="auto"/>
        </w:rPr>
      </w:pPr>
    </w:p>
    <w:p>
      <w:pPr>
        <w:ind w:left="492" w:right="180" w:hanging="492"/>
        <w:spacing w:after="0" w:line="277" w:lineRule="auto"/>
        <w:tabs>
          <w:tab w:leader="none" w:pos="216"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Certain Rights Reserved by the Company</w:t>
      </w:r>
      <w:r>
        <w:rPr>
          <w:rFonts w:ascii="Arial" w:cs="Arial" w:eastAsia="Arial" w:hAnsi="Arial"/>
          <w:sz w:val="17"/>
          <w:szCs w:val="17"/>
          <w:color w:val="auto"/>
        </w:rPr>
        <w:t>. In the event that, pursuant to Section 13, the Company suspends, modifies or terminates this</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Company shall have the right to distribute to each Participant all amounts in such Participant’s Cash Account or Shares equivalent to units in such Participant’s Stock Unit Account, including, in the case of Stock Unit Accounts, the right to distribute cash equivalent to the units in such Accounts and all Shares attributable to vested Restricted Stock Units that a Participant has elected to defer, provided that any such suspension, modification or termination may be effected without penalty under Section 409A of the Code.</w:t>
      </w:r>
    </w:p>
    <w:p>
      <w:pPr>
        <w:spacing w:after="0" w:line="195" w:lineRule="exact"/>
        <w:rPr>
          <w:rFonts w:ascii="Arial" w:cs="Arial" w:eastAsia="Arial" w:hAnsi="Arial"/>
          <w:sz w:val="17"/>
          <w:szCs w:val="17"/>
          <w:color w:val="auto"/>
        </w:rPr>
      </w:pPr>
    </w:p>
    <w:p>
      <w:pPr>
        <w:ind w:left="492" w:right="60" w:hanging="492"/>
        <w:spacing w:after="0" w:line="261" w:lineRule="auto"/>
        <w:tabs>
          <w:tab w:leader="none" w:pos="26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Certain Affiliations</w:t>
      </w:r>
      <w:r>
        <w:rPr>
          <w:rFonts w:ascii="Arial" w:cs="Arial" w:eastAsia="Arial" w:hAnsi="Arial"/>
          <w:sz w:val="18"/>
          <w:szCs w:val="18"/>
          <w:color w:val="auto"/>
        </w:rPr>
        <w:t>. In the event that a Participant terminates his or her membership on the Board and becomes affiliated with a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agency, all amounts in such Participant’s Cash Account, shares equivalent to units in such Participant’s Stock Unit Account and Shares attributable to Restricted Stock Units that such Participant has elected to defer will be distributed to the Participant if such payment is necessary to avoid violation of any applicable</w:t>
      </w:r>
    </w:p>
    <w:p>
      <w:pPr>
        <w:spacing w:after="0" w:line="200" w:lineRule="exact"/>
        <w:rPr>
          <w:sz w:val="20"/>
          <w:szCs w:val="20"/>
          <w:color w:val="auto"/>
        </w:rPr>
      </w:pPr>
    </w:p>
    <w:p>
      <w:pPr>
        <w:spacing w:after="0" w:line="33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908" w:right="259" w:bottom="1440" w:gutter="0" w:footer="0" w:header="0"/>
        </w:sectPr>
      </w:pPr>
    </w:p>
    <w:bookmarkStart w:id="79" w:name="page80"/>
    <w:bookmarkEnd w:id="79"/>
    <w:p>
      <w:pPr>
        <w:ind w:left="500" w:right="720"/>
        <w:spacing w:after="0" w:line="262" w:lineRule="auto"/>
        <w:rPr>
          <w:sz w:val="20"/>
          <w:szCs w:val="20"/>
          <w:color w:val="auto"/>
        </w:rPr>
      </w:pPr>
      <w:r>
        <w:rPr>
          <w:rFonts w:ascii="Arial" w:cs="Arial" w:eastAsia="Arial" w:hAnsi="Arial"/>
          <w:sz w:val="18"/>
          <w:szCs w:val="18"/>
          <w:color w:val="auto"/>
        </w:rPr>
        <w:t>federal, state, local or foreign ethics or conflict of interest law or if necessary to comply with an ethics agreement with the federal government.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OTHER STOCK-BASED AWARDS.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Administrator is hereby authorized to grant to Directors such other Awards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12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 The Company intends that such other Awards granted pursuant to this Section shall comply with Section 409A of the Code if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AMENDMENT AND TERMINATION.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or inconsistent with applicable law:</w:t>
      </w:r>
    </w:p>
    <w:p>
      <w:pPr>
        <w:spacing w:after="0" w:line="234" w:lineRule="exact"/>
        <w:rPr>
          <w:sz w:val="20"/>
          <w:szCs w:val="20"/>
          <w:color w:val="auto"/>
        </w:rPr>
      </w:pPr>
    </w:p>
    <w:p>
      <w:pPr>
        <w:ind w:left="500" w:right="20" w:hanging="492"/>
        <w:spacing w:after="0" w:line="252" w:lineRule="auto"/>
        <w:tabs>
          <w:tab w:leader="none" w:pos="284"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The Board may amend, alter, suspend, discontinue or terminate the Plan, including, without limitation,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subject to Awards granted pursuant to Sections 6, 7 and 10, without the consent of any stockholder, Participant, other holder or beneficiary of any Award, or other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amendment, alteration, suspension, discontinuation or termination shall be made without (i) stockholder approval if such approval is necessary to comply with the listing requirements of The NASDAQ Stock Market or (ii) the consent of the affected Participants, if such action would adversely affect the rights of such Participants under any outstanding Award;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no such amendment or alteration shall increase the aggregate number of shares that may be issued under the Plan or increase the total value of Awards that may be granted in any given Year, in each case except as provided in Section 5(d). In addition, any such amendment shall be in compliance with Section 409A of the Code. The Administrator may modify any outstanding Awards to comply with Section 409A without consent from Participants. Notwithstanding any other provision of the Plan or any Award Agreement, no amendment, alteration, suspension, discontinuation or termination of the Plan or any Award Agreement shall be made that would (1) permit Options or SARs to be granted with a per Share exercise price of less than the Fair Market Value of a Share on the date of grant thereof or (2) except as provided in Section 5(d), (w) reduce the exercise price of any Option or SAR established at the time of grant thereof, (x) be treated as a repricing under U.S. generally accepted accounting principles (“GAAP”), (y) cancel an Option or SAR in exchange for another Option, SAR, restricted stock unit or any other Award, or (z) terminate an Option or SAR in exchange for a cash amount equal to or greater than the excess, if any, of the Fair Market Value of the underlying Shares on the date of cancellation over the exercise price times the number of Shares outstanding under the Award. A cancellation and exchange described in clause (y) of the immediately preceding sentence is prohibited regardless of whether the option, SAR, restricted stock unit or other equity is delivered simultaneously with the cancellation and regardless of whether the cancellation and exchange are treated as a repricing under GAAP or are voluntary on the part of the Participant.</w:t>
      </w:r>
    </w:p>
    <w:p>
      <w:pPr>
        <w:spacing w:after="0" w:line="219" w:lineRule="exact"/>
        <w:rPr>
          <w:rFonts w:ascii="Arial" w:cs="Arial" w:eastAsia="Arial" w:hAnsi="Arial"/>
          <w:sz w:val="18"/>
          <w:szCs w:val="18"/>
          <w:color w:val="auto"/>
        </w:rPr>
      </w:pPr>
    </w:p>
    <w:p>
      <w:pPr>
        <w:ind w:left="500" w:right="380" w:hanging="492"/>
        <w:spacing w:after="0" w:line="282" w:lineRule="auto"/>
        <w:tabs>
          <w:tab w:leader="none" w:pos="284"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Correction of Defects, Omissions and Inconsistencies</w:t>
      </w:r>
      <w:r>
        <w:rPr>
          <w:rFonts w:ascii="Arial" w:cs="Arial" w:eastAsia="Arial" w:hAnsi="Arial"/>
          <w:sz w:val="18"/>
          <w:szCs w:val="18"/>
          <w:color w:val="auto"/>
        </w:rPr>
        <w:t>. The Administrator may correct any defect, supply any omission, or reconcile any</w:t>
      </w:r>
      <w:r>
        <w:rPr>
          <w:rFonts w:ascii="Arial" w:cs="Arial" w:eastAsia="Arial" w:hAnsi="Arial"/>
          <w:sz w:val="18"/>
          <w:szCs w:val="18"/>
          <w:i w:val="1"/>
          <w:iCs w:val="1"/>
          <w:color w:val="auto"/>
        </w:rPr>
        <w:t xml:space="preserve"> </w:t>
      </w:r>
      <w:r>
        <w:rPr>
          <w:rFonts w:ascii="Arial" w:cs="Arial" w:eastAsia="Arial" w:hAnsi="Arial"/>
          <w:sz w:val="18"/>
          <w:szCs w:val="18"/>
          <w:color w:val="auto"/>
        </w:rPr>
        <w:t>inconsistency in the Plan or any Award in the manner and to the extent it shall deem desirable to carry the Plan into effect.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GENERAL PROVISIONS.</w:t>
      </w:r>
    </w:p>
    <w:p>
      <w:pPr>
        <w:spacing w:after="0" w:line="256" w:lineRule="exact"/>
        <w:rPr>
          <w:sz w:val="20"/>
          <w:szCs w:val="20"/>
          <w:color w:val="auto"/>
        </w:rPr>
      </w:pPr>
    </w:p>
    <w:p>
      <w:pPr>
        <w:ind w:left="500" w:right="80" w:hanging="492"/>
        <w:spacing w:after="0" w:line="282" w:lineRule="auto"/>
        <w:tabs>
          <w:tab w:leader="none" w:pos="28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w:t>
      </w:r>
      <w:r>
        <w:rPr>
          <w:rFonts w:ascii="Arial" w:cs="Arial" w:eastAsia="Arial" w:hAnsi="Arial"/>
          <w:sz w:val="18"/>
          <w:szCs w:val="18"/>
          <w:i w:val="1"/>
          <w:iCs w:val="1"/>
          <w:color w:val="auto"/>
        </w:rPr>
        <w:t xml:space="preserve"> </w:t>
      </w:r>
      <w:r>
        <w:rPr>
          <w:rFonts w:ascii="Arial" w:cs="Arial" w:eastAsia="Arial" w:hAnsi="Arial"/>
          <w:sz w:val="18"/>
          <w:szCs w:val="18"/>
          <w:color w:val="auto"/>
        </w:rPr>
        <w:t>a stockholder of the Company in respect of any</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908" w:right="259" w:bottom="1440" w:gutter="0" w:footer="0" w:header="0"/>
        </w:sectPr>
      </w:pPr>
    </w:p>
    <w:bookmarkStart w:id="80" w:name="page81"/>
    <w:bookmarkEnd w:id="80"/>
    <w:p>
      <w:pPr>
        <w:ind w:left="492" w:right="120"/>
        <w:spacing w:after="0" w:line="262" w:lineRule="auto"/>
        <w:rPr>
          <w:sz w:val="20"/>
          <w:szCs w:val="20"/>
          <w:color w:val="auto"/>
        </w:rPr>
      </w:pPr>
      <w:r>
        <w:rPr>
          <w:rFonts w:ascii="Arial" w:cs="Arial" w:eastAsia="Arial" w:hAnsi="Arial"/>
          <w:sz w:val="18"/>
          <w:szCs w:val="18"/>
          <w:color w:val="auto"/>
        </w:rPr>
        <w:t>Shares issuable under the Plan in connection with any Award or Account, in whole or in part, unless and until certificates or other indicia of ownership of such shares shall have been issued.</w:t>
      </w:r>
    </w:p>
    <w:p>
      <w:pPr>
        <w:spacing w:after="0" w:line="205" w:lineRule="exact"/>
        <w:rPr>
          <w:sz w:val="20"/>
          <w:szCs w:val="20"/>
          <w:color w:val="auto"/>
        </w:rPr>
      </w:pPr>
    </w:p>
    <w:p>
      <w:pPr>
        <w:ind w:left="492" w:right="140" w:hanging="492"/>
        <w:spacing w:after="0" w:line="266" w:lineRule="auto"/>
        <w:tabs>
          <w:tab w:leader="none" w:pos="27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Limits of Transfer of Awards. </w:t>
      </w:r>
      <w:r>
        <w:rPr>
          <w:rFonts w:ascii="Arial" w:cs="Arial" w:eastAsia="Arial" w:hAnsi="Arial"/>
          <w:sz w:val="18"/>
          <w:szCs w:val="18"/>
          <w:color w:val="auto"/>
        </w:rPr>
        <w:t>No Award and no right under any such Award, shall be assignable, alienable, saleable or transferable by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203" w:lineRule="exact"/>
        <w:rPr>
          <w:rFonts w:ascii="Arial" w:cs="Arial" w:eastAsia="Arial" w:hAnsi="Arial"/>
          <w:sz w:val="18"/>
          <w:szCs w:val="18"/>
          <w:color w:val="auto"/>
        </w:rPr>
      </w:pPr>
    </w:p>
    <w:p>
      <w:pPr>
        <w:ind w:left="492" w:right="260" w:hanging="492"/>
        <w:spacing w:after="0" w:line="266" w:lineRule="auto"/>
        <w:tabs>
          <w:tab w:leader="none" w:pos="26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No Limit on Other Compensation Arrangements</w:t>
      </w:r>
      <w:r>
        <w:rPr>
          <w:rFonts w:ascii="Arial" w:cs="Arial" w:eastAsia="Arial" w:hAnsi="Arial"/>
          <w:sz w:val="18"/>
          <w:szCs w:val="18"/>
          <w:color w:val="auto"/>
        </w:rPr>
        <w:t>. Nothing contained in the Plan shall prevent the Company from adopting or continuing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other or additional compensation arrangements, and such arrangements may be either generally applicable or applicable only in specific cases.</w:t>
      </w:r>
    </w:p>
    <w:p>
      <w:pPr>
        <w:spacing w:after="0" w:line="203" w:lineRule="exact"/>
        <w:rPr>
          <w:rFonts w:ascii="Arial" w:cs="Arial" w:eastAsia="Arial" w:hAnsi="Arial"/>
          <w:sz w:val="18"/>
          <w:szCs w:val="18"/>
          <w:color w:val="auto"/>
        </w:rPr>
      </w:pPr>
    </w:p>
    <w:p>
      <w:pPr>
        <w:ind w:left="492" w:right="300" w:hanging="492"/>
        <w:spacing w:after="0" w:line="282" w:lineRule="auto"/>
        <w:tabs>
          <w:tab w:leader="none" w:pos="27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Delaware without giving effect to the principles of conflict of laws thereof.</w:t>
      </w:r>
    </w:p>
    <w:p>
      <w:pPr>
        <w:spacing w:after="0" w:line="188" w:lineRule="exact"/>
        <w:rPr>
          <w:rFonts w:ascii="Arial" w:cs="Arial" w:eastAsia="Arial" w:hAnsi="Arial"/>
          <w:sz w:val="18"/>
          <w:szCs w:val="18"/>
          <w:color w:val="auto"/>
        </w:rPr>
      </w:pPr>
    </w:p>
    <w:p>
      <w:pPr>
        <w:ind w:left="492" w:hanging="492"/>
        <w:spacing w:after="0" w:line="257" w:lineRule="auto"/>
        <w:tabs>
          <w:tab w:leader="none" w:pos="27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Agreement is or becomes or is deemed to be invalid, illegal, or unenforceable in any</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or 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209" w:lineRule="exact"/>
        <w:rPr>
          <w:rFonts w:ascii="Arial" w:cs="Arial" w:eastAsia="Arial" w:hAnsi="Arial"/>
          <w:sz w:val="18"/>
          <w:szCs w:val="18"/>
          <w:color w:val="auto"/>
        </w:rPr>
      </w:pPr>
    </w:p>
    <w:p>
      <w:pPr>
        <w:ind w:left="492" w:right="180" w:hanging="492"/>
        <w:spacing w:after="0" w:line="261" w:lineRule="auto"/>
        <w:tabs>
          <w:tab w:leader="none" w:pos="22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 of any</w:t>
      </w:r>
      <w:r>
        <w:rPr>
          <w:rFonts w:ascii="Arial" w:cs="Arial" w:eastAsia="Arial" w:hAnsi="Arial"/>
          <w:sz w:val="18"/>
          <w:szCs w:val="18"/>
          <w:i w:val="1"/>
          <w:iCs w:val="1"/>
          <w:color w:val="auto"/>
        </w:rPr>
        <w:t xml:space="preserve"> </w:t>
      </w:r>
      <w:r>
        <w:rPr>
          <w:rFonts w:ascii="Arial" w:cs="Arial" w:eastAsia="Arial" w:hAnsi="Arial"/>
          <w:sz w:val="18"/>
          <w:szCs w:val="18"/>
          <w:color w:val="auto"/>
        </w:rPr>
        <w:t>kind or a 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207" w:lineRule="exact"/>
        <w:rPr>
          <w:rFonts w:ascii="Arial" w:cs="Arial" w:eastAsia="Arial" w:hAnsi="Arial"/>
          <w:sz w:val="18"/>
          <w:szCs w:val="18"/>
          <w:color w:val="auto"/>
        </w:rPr>
      </w:pPr>
    </w:p>
    <w:p>
      <w:pPr>
        <w:ind w:left="492" w:right="500" w:hanging="492"/>
        <w:spacing w:after="0" w:line="261"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Accounts Unsecured</w:t>
      </w:r>
      <w:r>
        <w:rPr>
          <w:rFonts w:ascii="Arial" w:cs="Arial" w:eastAsia="Arial" w:hAnsi="Arial"/>
          <w:sz w:val="18"/>
          <w:szCs w:val="18"/>
          <w:color w:val="auto"/>
        </w:rPr>
        <w:t>. Until distributed, all amounts credited to any Cash Accounts or represented by units credited to any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shall be property of the Company, available for the Company’s use, and subject to the claims of general creditors of the Company. The rights of any Participant or beneficiary to distributions under this Plan are not subject to anticipation, alienation, sale, transfer, assignment, or encumbrance, and shall not be subject to the debts or liabilities of any Participant or beneficiary.</w:t>
      </w:r>
    </w:p>
    <w:p>
      <w:pPr>
        <w:spacing w:after="0" w:line="207" w:lineRule="exact"/>
        <w:rPr>
          <w:rFonts w:ascii="Arial" w:cs="Arial" w:eastAsia="Arial" w:hAnsi="Arial"/>
          <w:sz w:val="18"/>
          <w:szCs w:val="18"/>
          <w:color w:val="auto"/>
        </w:rPr>
      </w:pPr>
    </w:p>
    <w:p>
      <w:pPr>
        <w:ind w:left="492" w:right="100" w:hanging="492"/>
        <w:spacing w:after="0" w:line="258" w:lineRule="auto"/>
        <w:tabs>
          <w:tab w:leader="none" w:pos="27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The Company shall be authorized to withhold from any Awards granted or any transfer made under any Award or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or from any 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of the Company for the payment of any such taxes.</w:t>
      </w:r>
    </w:p>
    <w:p>
      <w:pPr>
        <w:spacing w:after="0" w:line="210" w:lineRule="exact"/>
        <w:rPr>
          <w:rFonts w:ascii="Arial" w:cs="Arial" w:eastAsia="Arial" w:hAnsi="Arial"/>
          <w:sz w:val="18"/>
          <w:szCs w:val="18"/>
          <w:color w:val="auto"/>
        </w:rPr>
      </w:pPr>
    </w:p>
    <w:p>
      <w:pPr>
        <w:jc w:val="both"/>
        <w:ind w:left="492" w:right="280" w:hanging="492"/>
        <w:spacing w:after="0" w:line="261" w:lineRule="auto"/>
        <w:tabs>
          <w:tab w:leader="none" w:pos="21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the 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207" w:lineRule="exact"/>
        <w:rPr>
          <w:rFonts w:ascii="Arial" w:cs="Arial" w:eastAsia="Arial" w:hAnsi="Arial"/>
          <w:sz w:val="18"/>
          <w:szCs w:val="18"/>
          <w:color w:val="auto"/>
        </w:rPr>
      </w:pPr>
    </w:p>
    <w:p>
      <w:pPr>
        <w:ind w:left="492" w:right="200" w:hanging="492"/>
        <w:spacing w:after="0" w:line="282" w:lineRule="auto"/>
        <w:tabs>
          <w:tab w:leader="none" w:pos="21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409A Compliance</w:t>
      </w:r>
      <w:r>
        <w:rPr>
          <w:rFonts w:ascii="Arial" w:cs="Arial" w:eastAsia="Arial" w:hAnsi="Arial"/>
          <w:sz w:val="18"/>
          <w:szCs w:val="18"/>
          <w:color w:val="auto"/>
        </w:rPr>
        <w:t>. The Company makes no representations or covenants that any Award granted or Deferred Compensation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under the Plan will comply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90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SECTION 15. EFFECTIVE DATE OF THE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TERM OF THE PLAN.</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 Award shall be granted or compensation deferred under the Plan after the tenth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and the Board under Section 13 to amend, alter, adjust, suspend, discontinue, or terminate any such Award or Account, or to waive any conditions or rights thereunder, shall extend beyond such date.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886" w:right="47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0" w:type="dxa"/>
            <w:vAlign w:val="bottom"/>
            <w:gridSpan w:val="4"/>
          </w:tcPr>
          <w:p>
            <w:pPr>
              <w:ind w:left="3200"/>
              <w:spacing w:after="0"/>
              <w:rPr>
                <w:sz w:val="20"/>
                <w:szCs w:val="20"/>
                <w:color w:val="auto"/>
              </w:rPr>
            </w:pPr>
            <w:r>
              <w:rPr>
                <w:rFonts w:ascii="Arial" w:cs="Arial" w:eastAsia="Arial" w:hAnsi="Arial"/>
                <w:sz w:val="18"/>
                <w:szCs w:val="18"/>
                <w:color w:val="auto"/>
              </w:rPr>
              <w:t>TEXAS INSTRUMENTS INCORPORATED AND SUBSIDIARIES</w:t>
            </w:r>
          </w:p>
        </w:tc>
      </w:tr>
      <w:tr>
        <w:trPr>
          <w:trHeight w:val="230"/>
        </w:trPr>
        <w:tc>
          <w:tcPr>
            <w:tcW w:w="20" w:type="dxa"/>
            <w:vAlign w:val="bottom"/>
          </w:tcPr>
          <w:p>
            <w:pPr>
              <w:spacing w:after="0"/>
              <w:rPr>
                <w:sz w:val="20"/>
                <w:szCs w:val="20"/>
                <w:color w:val="auto"/>
              </w:rPr>
            </w:pPr>
          </w:p>
        </w:tc>
        <w:tc>
          <w:tcPr>
            <w:tcW w:w="8800" w:type="dxa"/>
            <w:vAlign w:val="bottom"/>
            <w:gridSpan w:val="4"/>
          </w:tcPr>
          <w:p>
            <w:pPr>
              <w:ind w:left="3820"/>
              <w:spacing w:after="0"/>
              <w:rPr>
                <w:sz w:val="20"/>
                <w:szCs w:val="20"/>
                <w:color w:val="auto"/>
              </w:rPr>
            </w:pPr>
            <w:r>
              <w:rPr>
                <w:rFonts w:ascii="Arial" w:cs="Arial" w:eastAsia="Arial" w:hAnsi="Arial"/>
                <w:sz w:val="18"/>
                <w:szCs w:val="18"/>
                <w:color w:val="auto"/>
              </w:rPr>
              <w:t>LIST OF SUBSIDIARIES OF THE REGISTRANT</w:t>
            </w:r>
          </w:p>
        </w:tc>
      </w:tr>
      <w:tr>
        <w:trPr>
          <w:trHeight w:val="419"/>
        </w:trPr>
        <w:tc>
          <w:tcPr>
            <w:tcW w:w="6400" w:type="dxa"/>
            <w:vAlign w:val="bottom"/>
            <w:gridSpan w:val="3"/>
          </w:tcPr>
          <w:p>
            <w:pPr>
              <w:spacing w:after="0"/>
              <w:rPr>
                <w:sz w:val="20"/>
                <w:szCs w:val="20"/>
                <w:color w:val="auto"/>
              </w:rPr>
            </w:pPr>
            <w:r>
              <w:rPr>
                <w:rFonts w:ascii="Arial" w:cs="Arial" w:eastAsia="Arial" w:hAnsi="Arial"/>
                <w:sz w:val="18"/>
                <w:szCs w:val="18"/>
                <w:color w:val="auto"/>
              </w:rPr>
              <w:t>The following are subsidiaries of the Registrant as of December 31, 2019.</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w w:val="89"/>
              </w:rPr>
              <w:t>Subsidiary and Name Under Which Business is Done</w:t>
            </w:r>
          </w:p>
        </w:tc>
        <w:tc>
          <w:tcPr>
            <w:tcW w:w="2300" w:type="dxa"/>
            <w:vAlign w:val="bottom"/>
          </w:tcPr>
          <w:p>
            <w:pPr>
              <w:spacing w:after="0"/>
              <w:rPr>
                <w:sz w:val="24"/>
                <w:szCs w:val="24"/>
                <w:color w:val="auto"/>
              </w:rPr>
            </w:pPr>
          </w:p>
        </w:tc>
        <w:tc>
          <w:tcPr>
            <w:tcW w:w="2420" w:type="dxa"/>
            <w:vAlign w:val="bottom"/>
            <w:gridSpan w:val="2"/>
          </w:tcPr>
          <w:p>
            <w:pPr>
              <w:ind w:left="1060"/>
              <w:spacing w:after="0"/>
              <w:rPr>
                <w:sz w:val="20"/>
                <w:szCs w:val="20"/>
                <w:color w:val="auto"/>
              </w:rPr>
            </w:pPr>
            <w:r>
              <w:rPr>
                <w:rFonts w:ascii="Arial" w:cs="Arial" w:eastAsia="Arial" w:hAnsi="Arial"/>
                <w:sz w:val="18"/>
                <w:szCs w:val="18"/>
                <w:b w:val="1"/>
                <w:bCs w:val="1"/>
                <w:color w:val="auto"/>
                <w:w w:val="90"/>
              </w:rPr>
              <w:t>Where Organized</w:t>
            </w:r>
          </w:p>
        </w:tc>
      </w:tr>
      <w:tr>
        <w:trPr>
          <w:trHeight w:val="20"/>
        </w:trPr>
        <w:tc>
          <w:tcPr>
            <w:tcW w:w="2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ActSolar, Inc.</w:t>
            </w:r>
          </w:p>
        </w:tc>
        <w:tc>
          <w:tcPr>
            <w:tcW w:w="2300" w:type="dxa"/>
            <w:vAlign w:val="bottom"/>
          </w:tcPr>
          <w:p>
            <w:pPr>
              <w:spacing w:after="0"/>
              <w:rPr>
                <w:sz w:val="24"/>
                <w:szCs w:val="24"/>
                <w:color w:val="auto"/>
              </w:rPr>
            </w:pP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Delaware</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Algorex Inc.</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California</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ASIC II Limited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Hawaii</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Delaware</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Delaware</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California</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innoCOMM wireless</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California</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Maryland</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California</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National Acquisition Sub, Inc.</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Delaware</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National Semiconductor (Maine), Inc.</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Delaware</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National Semiconductor Corporation</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Delaware</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National Semiconductor GmbH</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Germany</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National Semiconductor Holding Sdn. Bhd.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Malaysia</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B.V.</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Netherlands</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Inc.</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Delaware</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National Semiconductor Labuan Ltd.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Malaysia</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Delaware</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India</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(Philippines) LLC</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Delaware</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PRC</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(U.K.) Holdings Limited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United Kingdom</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(U.K.) Limited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United Kingdom</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Delaware</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Austin Incorporated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Delaware</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Australia</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Benelux B.V.</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Netherlands</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Germany</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Canada</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China Sales Limited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Hong Kong</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China Trading Limited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Hong Kong</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CZ, s.r.o.</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Czech Republic</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Mexico</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Denmark ApS</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Denmark</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Germany</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Education Technology GmbH</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Germany</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Electronics Malaysia Sdn. Bhd.</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Malaysia</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EMEA Sales GmbH</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Germany</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España, S.A. Unipersonal</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Spain</w:t>
            </w: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Texas Instruments Finland Oy</w:t>
            </w:r>
          </w:p>
        </w:tc>
        <w:tc>
          <w:tcPr>
            <w:tcW w:w="2420" w:type="dxa"/>
            <w:vAlign w:val="bottom"/>
            <w:gridSpan w:val="2"/>
          </w:tcPr>
          <w:p>
            <w:pPr>
              <w:ind w:left="1060"/>
              <w:spacing w:after="0"/>
              <w:rPr>
                <w:sz w:val="20"/>
                <w:szCs w:val="20"/>
                <w:color w:val="auto"/>
              </w:rPr>
            </w:pPr>
            <w:r>
              <w:rPr>
                <w:rFonts w:ascii="Arial" w:cs="Arial" w:eastAsia="Arial" w:hAnsi="Arial"/>
                <w:sz w:val="18"/>
                <w:szCs w:val="18"/>
                <w:color w:val="auto"/>
              </w:rPr>
              <w:t>Finland</w:t>
            </w:r>
          </w:p>
        </w:tc>
      </w:tr>
    </w:tbl>
    <w:p>
      <w:pPr>
        <w:sectPr>
          <w:pgSz w:w="11900" w:h="16838" w:orient="portrait"/>
          <w:cols w:equalWidth="0" w:num="1">
            <w:col w:w="11420"/>
          </w:cols>
          <w:pgMar w:left="240" w:top="895"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Subsidiary and Name Under Which Business is Done</w:t>
            </w:r>
          </w:p>
        </w:tc>
        <w:tc>
          <w:tcPr>
            <w:tcW w:w="3420" w:type="dxa"/>
            <w:vAlign w:val="bottom"/>
          </w:tcPr>
          <w:p>
            <w:pPr>
              <w:spacing w:after="0"/>
              <w:rPr>
                <w:sz w:val="17"/>
                <w:szCs w:val="17"/>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Where Organized</w:t>
            </w: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France SAS</w:t>
            </w:r>
          </w:p>
        </w:tc>
        <w:tc>
          <w:tcPr>
            <w:tcW w:w="13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1380" w:type="dxa"/>
            <w:vAlign w:val="bottom"/>
          </w:tcPr>
          <w:p>
            <w:pPr>
              <w:spacing w:after="0"/>
              <w:rPr>
                <w:sz w:val="20"/>
                <w:szCs w:val="20"/>
                <w:color w:val="auto"/>
              </w:rPr>
            </w:pPr>
            <w:r>
              <w:rPr>
                <w:rFonts w:ascii="Arial" w:cs="Arial" w:eastAsia="Arial" w:hAnsi="Arial"/>
                <w:sz w:val="18"/>
                <w:szCs w:val="18"/>
                <w:color w:val="auto"/>
              </w:rPr>
              <w:t>Austria</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13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Hong Kong Limited</w:t>
            </w:r>
          </w:p>
        </w:tc>
        <w:tc>
          <w:tcPr>
            <w:tcW w:w="1380" w:type="dxa"/>
            <w:vAlign w:val="bottom"/>
          </w:tcPr>
          <w:p>
            <w:pPr>
              <w:spacing w:after="0"/>
              <w:rPr>
                <w:sz w:val="20"/>
                <w:szCs w:val="20"/>
                <w:color w:val="auto"/>
              </w:rPr>
            </w:pPr>
            <w:r>
              <w:rPr>
                <w:rFonts w:ascii="Arial" w:cs="Arial" w:eastAsia="Arial" w:hAnsi="Arial"/>
                <w:sz w:val="18"/>
                <w:szCs w:val="18"/>
                <w:color w:val="auto"/>
              </w:rPr>
              <w:t>Hong Kong</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Hungary Korlatolt Felelossegu Tarsasag</w:t>
            </w:r>
          </w:p>
        </w:tc>
        <w:tc>
          <w:tcPr>
            <w:tcW w:w="1380" w:type="dxa"/>
            <w:vAlign w:val="bottom"/>
          </w:tcPr>
          <w:p>
            <w:pPr>
              <w:spacing w:after="0"/>
              <w:rPr>
                <w:sz w:val="20"/>
                <w:szCs w:val="20"/>
                <w:color w:val="auto"/>
              </w:rPr>
            </w:pPr>
            <w:r>
              <w:rPr>
                <w:rFonts w:ascii="Arial" w:cs="Arial" w:eastAsia="Arial" w:hAnsi="Arial"/>
                <w:sz w:val="18"/>
                <w:szCs w:val="18"/>
                <w:color w:val="auto"/>
              </w:rPr>
              <w:t>Hungary</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International (U.S.A.) Inc.</w:t>
            </w:r>
          </w:p>
        </w:tc>
        <w:tc>
          <w:tcPr>
            <w:tcW w:w="1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International Capital Corporation</w:t>
            </w:r>
          </w:p>
        </w:tc>
        <w:tc>
          <w:tcPr>
            <w:tcW w:w="1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International Management Company B.V.</w:t>
            </w:r>
          </w:p>
        </w:tc>
        <w:tc>
          <w:tcPr>
            <w:tcW w:w="13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International Trade Corporation</w:t>
            </w:r>
          </w:p>
        </w:tc>
        <w:tc>
          <w:tcPr>
            <w:tcW w:w="1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Ireland Trading Limited</w:t>
            </w:r>
          </w:p>
        </w:tc>
        <w:tc>
          <w:tcPr>
            <w:tcW w:w="1380" w:type="dxa"/>
            <w:vAlign w:val="bottom"/>
          </w:tcPr>
          <w:p>
            <w:pPr>
              <w:spacing w:after="0"/>
              <w:rPr>
                <w:sz w:val="20"/>
                <w:szCs w:val="20"/>
                <w:color w:val="auto"/>
              </w:rPr>
            </w:pPr>
            <w:r>
              <w:rPr>
                <w:rFonts w:ascii="Arial" w:cs="Arial" w:eastAsia="Arial" w:hAnsi="Arial"/>
                <w:sz w:val="18"/>
                <w:szCs w:val="18"/>
                <w:color w:val="auto"/>
              </w:rPr>
              <w:t>Ireland</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1380" w:type="dxa"/>
            <w:vAlign w:val="bottom"/>
          </w:tcPr>
          <w:p>
            <w:pPr>
              <w:spacing w:after="0"/>
              <w:rPr>
                <w:sz w:val="20"/>
                <w:szCs w:val="20"/>
                <w:color w:val="auto"/>
              </w:rPr>
            </w:pPr>
            <w:r>
              <w:rPr>
                <w:rFonts w:ascii="Arial" w:cs="Arial" w:eastAsia="Arial" w:hAnsi="Arial"/>
                <w:sz w:val="18"/>
                <w:szCs w:val="18"/>
                <w:color w:val="auto"/>
              </w:rPr>
              <w:t>Israel</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Italia S.r.l.</w:t>
            </w:r>
          </w:p>
        </w:tc>
        <w:tc>
          <w:tcPr>
            <w:tcW w:w="138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Japan Limited</w:t>
            </w:r>
          </w:p>
        </w:tc>
        <w:tc>
          <w:tcPr>
            <w:tcW w:w="1380" w:type="dxa"/>
            <w:vAlign w:val="bottom"/>
          </w:tcPr>
          <w:p>
            <w:pPr>
              <w:spacing w:after="0"/>
              <w:rPr>
                <w:sz w:val="20"/>
                <w:szCs w:val="20"/>
                <w:color w:val="auto"/>
              </w:rPr>
            </w:pPr>
            <w:r>
              <w:rPr>
                <w:rFonts w:ascii="Arial" w:cs="Arial" w:eastAsia="Arial" w:hAnsi="Arial"/>
                <w:sz w:val="18"/>
                <w:szCs w:val="18"/>
                <w:color w:val="auto"/>
              </w:rPr>
              <w:t>Japan</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Korea Limited</w:t>
            </w:r>
          </w:p>
        </w:tc>
        <w:tc>
          <w:tcPr>
            <w:tcW w:w="1380" w:type="dxa"/>
            <w:vAlign w:val="bottom"/>
          </w:tcPr>
          <w:p>
            <w:pPr>
              <w:spacing w:after="0"/>
              <w:rPr>
                <w:sz w:val="20"/>
                <w:szCs w:val="20"/>
                <w:color w:val="auto"/>
              </w:rPr>
            </w:pPr>
            <w:r>
              <w:rPr>
                <w:rFonts w:ascii="Arial" w:cs="Arial" w:eastAsia="Arial" w:hAnsi="Arial"/>
                <w:sz w:val="18"/>
                <w:szCs w:val="18"/>
                <w:color w:val="auto"/>
              </w:rPr>
              <w:t>Korea</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Lehigh Valley Incorporated</w:t>
            </w:r>
          </w:p>
        </w:tc>
        <w:tc>
          <w:tcPr>
            <w:tcW w:w="1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Limited</w:t>
            </w:r>
          </w:p>
        </w:tc>
        <w:tc>
          <w:tcPr>
            <w:tcW w:w="13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Low Power Wireless San Diego LLC</w:t>
            </w:r>
          </w:p>
        </w:tc>
        <w:tc>
          <w:tcPr>
            <w:tcW w:w="1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Malaysia Sdn. Bhd.</w:t>
            </w:r>
          </w:p>
        </w:tc>
        <w:tc>
          <w:tcPr>
            <w:tcW w:w="1380" w:type="dxa"/>
            <w:vAlign w:val="bottom"/>
          </w:tcPr>
          <w:p>
            <w:pPr>
              <w:spacing w:after="0"/>
              <w:rPr>
                <w:sz w:val="20"/>
                <w:szCs w:val="20"/>
                <w:color w:val="auto"/>
              </w:rPr>
            </w:pPr>
            <w:r>
              <w:rPr>
                <w:rFonts w:ascii="Arial" w:cs="Arial" w:eastAsia="Arial" w:hAnsi="Arial"/>
                <w:sz w:val="18"/>
                <w:szCs w:val="18"/>
                <w:color w:val="auto"/>
              </w:rPr>
              <w:t>Malaysia</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Management GmbH &amp; Co. KG</w:t>
            </w:r>
          </w:p>
        </w:tc>
        <w:tc>
          <w:tcPr>
            <w:tcW w:w="13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Northern Virginia Incorporated</w:t>
            </w:r>
          </w:p>
        </w:tc>
        <w:tc>
          <w:tcPr>
            <w:tcW w:w="1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Norway AS</w:t>
            </w:r>
          </w:p>
        </w:tc>
        <w:tc>
          <w:tcPr>
            <w:tcW w:w="1380" w:type="dxa"/>
            <w:vAlign w:val="bottom"/>
          </w:tcPr>
          <w:p>
            <w:pPr>
              <w:spacing w:after="0"/>
              <w:rPr>
                <w:sz w:val="20"/>
                <w:szCs w:val="20"/>
                <w:color w:val="auto"/>
              </w:rPr>
            </w:pPr>
            <w:r>
              <w:rPr>
                <w:rFonts w:ascii="Arial" w:cs="Arial" w:eastAsia="Arial" w:hAnsi="Arial"/>
                <w:sz w:val="18"/>
                <w:szCs w:val="18"/>
                <w:color w:val="auto"/>
              </w:rPr>
              <w:t>Norway</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Palo Alto Incorporated</w:t>
            </w:r>
          </w:p>
        </w:tc>
        <w:tc>
          <w:tcPr>
            <w:tcW w:w="13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Richardson LLC</w:t>
            </w:r>
          </w:p>
        </w:tc>
        <w:tc>
          <w:tcPr>
            <w:tcW w:w="1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Santa Rosa Incorporated</w:t>
            </w:r>
          </w:p>
        </w:tc>
        <w:tc>
          <w:tcPr>
            <w:tcW w:w="13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Semiconductor Manufacturing (Chengdu) Co., Ltd.</w:t>
            </w: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Semiconductor Trading Limited Company</w:t>
            </w:r>
          </w:p>
        </w:tc>
        <w:tc>
          <w:tcPr>
            <w:tcW w:w="1380" w:type="dxa"/>
            <w:vAlign w:val="bottom"/>
          </w:tcPr>
          <w:p>
            <w:pPr>
              <w:spacing w:after="0"/>
              <w:rPr>
                <w:sz w:val="20"/>
                <w:szCs w:val="20"/>
                <w:color w:val="auto"/>
              </w:rPr>
            </w:pPr>
            <w:r>
              <w:rPr>
                <w:rFonts w:ascii="Arial" w:cs="Arial" w:eastAsia="Arial" w:hAnsi="Arial"/>
                <w:sz w:val="18"/>
                <w:szCs w:val="18"/>
                <w:color w:val="auto"/>
              </w:rPr>
              <w:t>Turkey</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Semicondutores e Tecnologias Ltda.</w:t>
            </w:r>
          </w:p>
        </w:tc>
        <w:tc>
          <w:tcPr>
            <w:tcW w:w="1380" w:type="dxa"/>
            <w:vAlign w:val="bottom"/>
          </w:tcPr>
          <w:p>
            <w:pPr>
              <w:spacing w:after="0"/>
              <w:rPr>
                <w:sz w:val="20"/>
                <w:szCs w:val="20"/>
                <w:color w:val="auto"/>
              </w:rPr>
            </w:pPr>
            <w:r>
              <w:rPr>
                <w:rFonts w:ascii="Arial" w:cs="Arial" w:eastAsia="Arial" w:hAnsi="Arial"/>
                <w:sz w:val="18"/>
                <w:szCs w:val="18"/>
                <w:color w:val="auto"/>
              </w:rPr>
              <w:t>Brazil</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Singapore (Pte) Limited</w:t>
            </w:r>
          </w:p>
        </w:tc>
        <w:tc>
          <w:tcPr>
            <w:tcW w:w="13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Southeast Asia Pte. Ltd.</w:t>
            </w:r>
          </w:p>
        </w:tc>
        <w:tc>
          <w:tcPr>
            <w:tcW w:w="13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Sunnyvale Incorporated</w:t>
            </w:r>
          </w:p>
        </w:tc>
        <w:tc>
          <w:tcPr>
            <w:tcW w:w="1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Sweden AB</w:t>
            </w:r>
          </w:p>
        </w:tc>
        <w:tc>
          <w:tcPr>
            <w:tcW w:w="1380" w:type="dxa"/>
            <w:vAlign w:val="bottom"/>
          </w:tcPr>
          <w:p>
            <w:pPr>
              <w:spacing w:after="0"/>
              <w:rPr>
                <w:sz w:val="20"/>
                <w:szCs w:val="20"/>
                <w:color w:val="auto"/>
              </w:rPr>
            </w:pPr>
            <w:r>
              <w:rPr>
                <w:rFonts w:ascii="Arial" w:cs="Arial" w:eastAsia="Arial" w:hAnsi="Arial"/>
                <w:sz w:val="18"/>
                <w:szCs w:val="18"/>
                <w:color w:val="auto"/>
              </w:rPr>
              <w:t>Sweden</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Taiwan Limited</w:t>
            </w:r>
          </w:p>
        </w:tc>
        <w:tc>
          <w:tcPr>
            <w:tcW w:w="1380" w:type="dxa"/>
            <w:vAlign w:val="bottom"/>
          </w:tcPr>
          <w:p>
            <w:pPr>
              <w:spacing w:after="0"/>
              <w:rPr>
                <w:sz w:val="20"/>
                <w:szCs w:val="20"/>
                <w:color w:val="auto"/>
              </w:rPr>
            </w:pPr>
            <w:r>
              <w:rPr>
                <w:rFonts w:ascii="Arial" w:cs="Arial" w:eastAsia="Arial" w:hAnsi="Arial"/>
                <w:sz w:val="18"/>
                <w:szCs w:val="18"/>
                <w:color w:val="auto"/>
              </w:rPr>
              <w:t>Taiwan</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Texas Instruments Tucson Corporation</w:t>
            </w:r>
          </w:p>
        </w:tc>
        <w:tc>
          <w:tcPr>
            <w:tcW w:w="1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TI (Philippines), Inc.</w:t>
            </w:r>
          </w:p>
        </w:tc>
        <w:tc>
          <w:tcPr>
            <w:tcW w:w="138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TI Europe B.V.</w:t>
            </w:r>
          </w:p>
        </w:tc>
        <w:tc>
          <w:tcPr>
            <w:tcW w:w="13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Unitrode Corporation</w:t>
            </w:r>
          </w:p>
        </w:tc>
        <w:tc>
          <w:tcPr>
            <w:tcW w:w="13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500" w:type="dxa"/>
            <w:vAlign w:val="bottom"/>
            <w:gridSpan w:val="2"/>
          </w:tcPr>
          <w:p>
            <w:pPr>
              <w:spacing w:after="0"/>
              <w:rPr>
                <w:sz w:val="20"/>
                <w:szCs w:val="20"/>
                <w:color w:val="auto"/>
              </w:rPr>
            </w:pPr>
            <w:r>
              <w:rPr>
                <w:rFonts w:ascii="Arial" w:cs="Arial" w:eastAsia="Arial" w:hAnsi="Arial"/>
                <w:sz w:val="18"/>
                <w:szCs w:val="18"/>
                <w:color w:val="auto"/>
              </w:rPr>
              <w:t>Unitrode-Maine</w:t>
            </w:r>
          </w:p>
        </w:tc>
        <w:tc>
          <w:tcPr>
            <w:tcW w:w="1380" w:type="dxa"/>
            <w:vAlign w:val="bottom"/>
          </w:tcPr>
          <w:p>
            <w:pPr>
              <w:spacing w:after="0"/>
              <w:rPr>
                <w:sz w:val="20"/>
                <w:szCs w:val="20"/>
                <w:color w:val="auto"/>
              </w:rPr>
            </w:pPr>
            <w:r>
              <w:rPr>
                <w:rFonts w:ascii="Arial" w:cs="Arial" w:eastAsia="Arial" w:hAnsi="Arial"/>
                <w:sz w:val="18"/>
                <w:szCs w:val="18"/>
                <w:color w:val="auto"/>
              </w:rPr>
              <w:t>Maine</w:t>
            </w:r>
          </w:p>
        </w:tc>
      </w:tr>
    </w:tbl>
    <w:p>
      <w:pPr>
        <w:sectPr>
          <w:pgSz w:w="11900" w:h="16838" w:orient="portrait"/>
          <w:cols w:equalWidth="0" w:num="1">
            <w:col w:w="10199"/>
          </w:cols>
          <w:pgMar w:left="260" w:top="932"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consent to the incorporation by reference in the following registration statements of Texas Instruments Incorporated and in the related prospectuses of our reports dated February 20, 2020, with respect to the consolidated financial statements of Texas Instruments Incorporated, and the effectiveness of internal control over financial reporting of Texas Instruments Incorporated, included in this Annual Report on Form 10-K for the year ended December 31, 2019: Registration Statements (Forms S-8) No. 333-158933, No. 333-158934, No. 33-42172, No. 33-54615, No. 33-61154, No. 333-07127 (as amended), No. 333-41913, No. 333-41919, No. 333-31321 (as amended), No. 333-31323, No. 333-48389, No. 333-44662, No. 333-107759, No. 333-107760, No. 333-107761, No. 333-127021, No. 333-177235, No. 333-195692, No. 333-211111 and No. 333-224639; Registration Statements (Forms S-3) No. 333-165045, No. 333-186803, No. 333-209678, and No. 333-229797; and Registration Statements (Forms S-4) No. 333-89433 (as amended), No. 333-87199, No. 333-80157 (as amended), and No. 333-41030 (as amended).</w:t>
      </w:r>
    </w:p>
    <w:p>
      <w:pPr>
        <w:spacing w:after="0" w:line="2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31750</wp:posOffset>
            </wp:positionV>
            <wp:extent cx="21780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ectPr>
          <w:pgSz w:w="11900" w:h="16838" w:orient="portrait"/>
          <w:cols w:equalWidth="0" w:num="1">
            <w:col w:w="11420"/>
          </w:cols>
          <w:pgMar w:left="240" w:top="1422"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40" w:hanging="486"/>
        <w:spacing w:after="0" w:line="264" w:lineRule="auto"/>
        <w:tabs>
          <w:tab w:leader="none" w:pos="97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486"/>
        <w:spacing w:after="0" w:line="264" w:lineRule="auto"/>
        <w:tabs>
          <w:tab w:leader="none" w:pos="97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486"/>
        <w:spacing w:after="0" w:line="342" w:lineRule="auto"/>
        <w:tabs>
          <w:tab w:leader="none" w:pos="977"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486"/>
        <w:spacing w:after="0" w:line="264" w:lineRule="auto"/>
        <w:tabs>
          <w:tab w:leader="none" w:pos="97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40" w:hanging="486"/>
        <w:spacing w:after="0" w:line="277" w:lineRule="auto"/>
        <w:tabs>
          <w:tab w:leader="none" w:pos="977"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00" w:hanging="486"/>
        <w:spacing w:after="0" w:line="277" w:lineRule="auto"/>
        <w:tabs>
          <w:tab w:leader="none" w:pos="97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63"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31750</wp:posOffset>
            </wp:positionV>
            <wp:extent cx="19812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1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40" w:hanging="486"/>
        <w:spacing w:after="0" w:line="264" w:lineRule="auto"/>
        <w:tabs>
          <w:tab w:leader="none" w:pos="97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486"/>
        <w:spacing w:after="0" w:line="264" w:lineRule="auto"/>
        <w:tabs>
          <w:tab w:leader="none" w:pos="97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486"/>
        <w:spacing w:after="0" w:line="342" w:lineRule="auto"/>
        <w:tabs>
          <w:tab w:leader="none" w:pos="977"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486"/>
        <w:spacing w:after="0" w:line="264" w:lineRule="auto"/>
        <w:tabs>
          <w:tab w:leader="none" w:pos="97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40" w:hanging="486"/>
        <w:spacing w:after="0" w:line="277" w:lineRule="auto"/>
        <w:tabs>
          <w:tab w:leader="none" w:pos="97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00" w:hanging="486"/>
        <w:spacing w:after="0" w:line="277" w:lineRule="auto"/>
        <w:tabs>
          <w:tab w:leader="none" w:pos="97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63"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31750</wp:posOffset>
            </wp:positionV>
            <wp:extent cx="19812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jc w:val="center"/>
        <w:ind w:left="83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83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1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Templeton, chairman, president and chief executive officer of Texas Instruments Incorporated (the “Company”), hereby certifies that, to his knowledge:</w:t>
      </w:r>
    </w:p>
    <w:p>
      <w:pPr>
        <w:spacing w:after="0" w:line="222" w:lineRule="exact"/>
        <w:rPr>
          <w:sz w:val="20"/>
          <w:szCs w:val="20"/>
          <w:color w:val="auto"/>
        </w:rPr>
      </w:pPr>
    </w:p>
    <w:p>
      <w:pPr>
        <w:ind w:right="60" w:firstLine="494"/>
        <w:spacing w:after="0" w:line="342" w:lineRule="auto"/>
        <w:tabs>
          <w:tab w:leader="none" w:pos="7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2019,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760" w:hanging="266"/>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2020</w:t>
      </w:r>
    </w:p>
    <w:p>
      <w:pPr>
        <w:spacing w:after="0" w:line="63"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31750</wp:posOffset>
            </wp:positionV>
            <wp:extent cx="19812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1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47" w:lineRule="exact"/>
        <w:rPr>
          <w:sz w:val="20"/>
          <w:szCs w:val="20"/>
          <w:color w:val="auto"/>
        </w:rPr>
      </w:pPr>
    </w:p>
    <w:p>
      <w:pPr>
        <w:ind w:right="60" w:firstLine="494"/>
        <w:spacing w:after="0" w:line="342" w:lineRule="auto"/>
        <w:tabs>
          <w:tab w:leader="none" w:pos="701"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2019,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280" w:firstLine="494"/>
        <w:spacing w:after="0" w:line="528" w:lineRule="auto"/>
        <w:tabs>
          <w:tab w:leader="none" w:pos="75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20, 2020</w:t>
      </w:r>
    </w:p>
    <w:p>
      <w:pPr>
        <w:spacing w:after="0" w:line="8"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31750</wp:posOffset>
            </wp:positionV>
            <wp:extent cx="19812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jc w:val="center"/>
        <w:ind w:left="83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83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lowerRoman"/>
      <w:start w:val="3"/>
    </w:lvl>
  </w:abstractNum>
  <w:abstractNum w:abstractNumId="3">
    <w:nsid w:val="3006C83E"/>
    <w:multiLevelType w:val="hybridMultilevel"/>
    <w:lvl w:ilvl="0">
      <w:lvlJc w:val="left"/>
      <w:lvlText w:val="(%1)"/>
      <w:numFmt w:val="lowerLetter"/>
      <w:start w:val="1"/>
    </w:lvl>
  </w:abstractNum>
  <w:abstractNum w:abstractNumId="4">
    <w:nsid w:val="614FD4A1"/>
    <w:multiLevelType w:val="hybridMultilevel"/>
    <w:lvl w:ilvl="0">
      <w:lvlJc w:val="left"/>
      <w:lvlText w:val="(%1)"/>
      <w:numFmt w:val="lowerLetter"/>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lvl w:ilvl="1">
      <w:lvlJc w:val="left"/>
      <w:lvlText w:val="◦"/>
      <w:numFmt w:val="bullet"/>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1)"/>
      <w:numFmt w:val="lowerLetter"/>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decimal"/>
      <w:start w:val="2"/>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decimal"/>
      <w:start w:val="3"/>
    </w:lvl>
  </w:abstractNum>
  <w:abstractNum w:abstractNumId="17">
    <w:nsid w:val="580BD78F"/>
    <w:multiLevelType w:val="hybridMultilevel"/>
    <w:lvl w:ilvl="0">
      <w:lvlJc w:val="left"/>
      <w:lvlText w:val="(%1)"/>
      <w:numFmt w:val="lowerLetter"/>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1."/>
      <w:numFmt w:val="decimal"/>
      <w:start w:val="5"/>
    </w:lvl>
  </w:abstractNum>
  <w:abstractNum w:abstractNumId="20">
    <w:nsid w:val="70A64E2A"/>
    <w:multiLevelType w:val="hybridMultilevel"/>
    <w:lvl w:ilvl="0">
      <w:lvlJc w:val="left"/>
      <w:lvlText w:val="%1."/>
      <w:numFmt w:val="decimal"/>
      <w:start w:val="6"/>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1."/>
      <w:numFmt w:val="decimal"/>
      <w:start w:val="8"/>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decimal"/>
      <w:start w:val="9"/>
    </w:lvl>
  </w:abstractNum>
  <w:abstractNum w:abstractNumId="25">
    <w:nsid w:val="2CD89A32"/>
    <w:multiLevelType w:val="hybridMultilevel"/>
    <w:lvl w:ilvl="0">
      <w:lvlJc w:val="left"/>
      <w:lvlText w:val="%1."/>
      <w:numFmt w:val="decimal"/>
      <w:start w:val="10"/>
    </w:lvl>
  </w:abstractNum>
  <w:abstractNum w:abstractNumId="26">
    <w:nsid w:val="57E4CCAF"/>
    <w:multiLevelType w:val="hybridMultilevel"/>
    <w:lvl w:ilvl="0">
      <w:lvlJc w:val="left"/>
      <w:lvlText w:val="%1."/>
      <w:numFmt w:val="decimal"/>
      <w:start w:val="11"/>
    </w:lvl>
  </w:abstractNum>
  <w:abstractNum w:abstractNumId="27">
    <w:nsid w:val="7A6D8D3C"/>
    <w:multiLevelType w:val="hybridMultilevel"/>
    <w:lvl w:ilvl="0">
      <w:lvlJc w:val="left"/>
      <w:lvlText w:val="%1."/>
      <w:numFmt w:val="decimal"/>
      <w:start w:val="12"/>
    </w:lvl>
  </w:abstractNum>
  <w:abstractNum w:abstractNumId="28">
    <w:nsid w:val="4B588F54"/>
    <w:multiLevelType w:val="hybridMultilevel"/>
    <w:lvl w:ilvl="0">
      <w:lvlJc w:val="left"/>
      <w:lvlText w:val="(%1)"/>
      <w:numFmt w:val="lowerLetter"/>
      <w:start w:val="1"/>
    </w:lvl>
  </w:abstractNum>
  <w:abstractNum w:abstractNumId="29">
    <w:nsid w:val="542289EC"/>
    <w:multiLevelType w:val="hybridMultilevel"/>
    <w:lvl w:ilvl="0">
      <w:lvlJc w:val="left"/>
      <w:lvlText w:val="%1."/>
      <w:numFmt w:val="decimal"/>
      <w:start w:val="13"/>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lowerLetter"/>
      <w:start w:val="1"/>
    </w:lvl>
    <w:lvl w:ilvl="1">
      <w:lvlJc w:val="left"/>
      <w:lvlText w:val="(%2)"/>
      <w:numFmt w:val="lowerRoman"/>
      <w:start w:val="1"/>
    </w:lvl>
  </w:abstractNum>
  <w:abstractNum w:abstractNumId="35">
    <w:nsid w:val="579478F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6">
    <w:nsid w:val="749ABB43"/>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37">
    <w:nsid w:val="3DC240FB"/>
    <w:multiLevelType w:val="hybridMultilevel"/>
    <w:lvl w:ilvl="0">
      <w:lvlJc w:val="left"/>
      <w:lvlText w:val="(%1)"/>
      <w:numFmt w:val="lowerLetter"/>
      <w:start w:val="16"/>
    </w:lvl>
    <w:lvl w:ilvl="1">
      <w:lvlJc w:val="left"/>
      <w:lvlText w:val="(%2)"/>
      <w:numFmt w:val="lowerRoman"/>
      <w:start w:val="1"/>
    </w:lvl>
  </w:abstractNum>
  <w:abstractNum w:abstractNumId="38">
    <w:nsid w:val="1BA026FA"/>
    <w:multiLevelType w:val="hybridMultilevel"/>
    <w:lvl w:ilvl="0">
      <w:lvlJc w:val="left"/>
      <w:lvlText w:val="%1"/>
      <w:numFmt w:val="lowerLetter"/>
      <w:start w:val="1"/>
    </w:lvl>
    <w:lvl w:ilvl="1">
      <w:lvlJc w:val="left"/>
      <w:lvlText w:val="(%2)"/>
      <w:numFmt w:val="lowerRoman"/>
      <w:start w:val="1"/>
    </w:lvl>
  </w:abstractNum>
  <w:abstractNum w:abstractNumId="39">
    <w:nsid w:val="79A1DEAA"/>
    <w:multiLevelType w:val="hybridMultilevel"/>
    <w:lvl w:ilvl="0">
      <w:lvlJc w:val="left"/>
      <w:lvlText w:val="(%1)"/>
      <w:numFmt w:val="lowerLetter"/>
      <w:start w:val="26"/>
    </w:lvl>
    <w:lvl w:ilvl="1">
      <w:lvlJc w:val="left"/>
      <w:lvlText w:val="%2"/>
      <w:numFmt w:val="lowerRoman"/>
      <w:start w:val="1"/>
    </w:lvl>
  </w:abstractNum>
  <w:abstractNum w:abstractNumId="40">
    <w:nsid w:val="75C6C33A"/>
    <w:multiLevelType w:val="hybridMultilevel"/>
    <w:lvl w:ilvl="0">
      <w:lvlJc w:val="left"/>
      <w:lvlText w:val="(%1)"/>
      <w:numFmt w:val="lowerLetter"/>
      <w:start w:val="27"/>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Letter"/>
      <w:start w:val="3"/>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lowerLetter"/>
      <w:start w:val="3"/>
    </w:lvl>
  </w:abstractNum>
  <w:abstractNum w:abstractNumId="46">
    <w:nsid w:val="23F9C13C"/>
    <w:multiLevelType w:val="hybridMultilevel"/>
    <w:lvl w:ilvl="0">
      <w:lvlJc w:val="left"/>
      <w:lvlText w:val="(%1)"/>
      <w:numFmt w:val="lowerLetter"/>
      <w:start w:val="1"/>
    </w:lvl>
    <w:lvl w:ilvl="1">
      <w:lvlJc w:val="left"/>
      <w:lvlText w:val="(%2)"/>
      <w:numFmt w:val="lowerRoman"/>
      <w:start w:val="1"/>
    </w:lvl>
  </w:abstractNum>
  <w:abstractNum w:abstractNumId="47">
    <w:nsid w:val="649BB7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
    <w:nsid w:val="275AC794"/>
    <w:multiLevelType w:val="hybridMultilevel"/>
    <w:lvl w:ilvl="0">
      <w:lvlJc w:val="left"/>
      <w:lvlText w:val="(%1)"/>
      <w:numFmt w:val="lowerLetter"/>
      <w:start w:val="5"/>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
    <w:nsid w:val="180115B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52">
    <w:nsid w:val="235BA86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3">
    <w:nsid w:val="47398C89"/>
    <w:multiLevelType w:val="hybridMultilevel"/>
    <w:lvl w:ilvl="0">
      <w:lvlJc w:val="left"/>
      <w:lvlText w:val="(%1)"/>
      <w:numFmt w:val="lowerRoman"/>
      <w:start w:val="2"/>
    </w:lvl>
  </w:abstractNum>
  <w:abstractNum w:abstractNumId="54">
    <w:nsid w:val="354FE9F9"/>
    <w:multiLevelType w:val="hybridMultilevel"/>
    <w:lvl w:ilvl="0">
      <w:lvlJc w:val="left"/>
      <w:lvlText w:val="(%1)"/>
      <w:numFmt w:val="lowerRoman"/>
      <w:start w:val="3"/>
    </w:lvl>
  </w:abstractNum>
  <w:abstractNum w:abstractNumId="55">
    <w:nsid w:val="15B5AF5C"/>
    <w:multiLevelType w:val="hybridMultilevel"/>
    <w:lvl w:ilvl="0">
      <w:lvlJc w:val="left"/>
      <w:lvlText w:val="(%1)"/>
      <w:numFmt w:val="lowerLetter"/>
      <w:start w:val="9"/>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lowerLetter"/>
      <w:start w:val="2"/>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lowerRoman"/>
      <w:start w:val="1"/>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18" Type="http://schemas.openxmlformats.org/officeDocument/2006/relationships/hyperlink" Target="http://www.sec.gov/Archives/edgar/data/97476/000009747615000003/txn-12312014xexhibit3a.htm" TargetMode="External"/><Relationship Id="rId119" Type="http://schemas.openxmlformats.org/officeDocument/2006/relationships/hyperlink" Target="http://www.sec.gov/Archives/edgar/data/97476/000156459016030135/txn-ex3_6.htm" TargetMode="External"/><Relationship Id="rId120" Type="http://schemas.openxmlformats.org/officeDocument/2006/relationships/hyperlink" Target="http://www.sec.gov/Archives/edgar/data/97476/000119312511147104/dex42.htm" TargetMode="External"/><Relationship Id="rId121" Type="http://schemas.openxmlformats.org/officeDocument/2006/relationships/hyperlink" Target="http://www.sec.gov/Archives/edgar/data/97476/000119312513206195/d533359dex42.htm" TargetMode="External"/><Relationship Id="rId122" Type="http://schemas.openxmlformats.org/officeDocument/2006/relationships/hyperlink" Target="http://www.sec.gov/Archives/edgar/data/97476/000119312514094885/d691140dex42.htm" TargetMode="External"/><Relationship Id="rId123" Type="http://schemas.openxmlformats.org/officeDocument/2006/relationships/hyperlink" Target="http://www.sec.gov/Archives/edgar/data/97476/000119312515173382/d920775dex41.htm" TargetMode="External"/><Relationship Id="rId124" Type="http://schemas.openxmlformats.org/officeDocument/2006/relationships/hyperlink" Target="http://www.sec.gov/Archives/edgar/data/97476/000119312516581435/d194090dex41.htm" TargetMode="External"/><Relationship Id="rId125" Type="http://schemas.openxmlformats.org/officeDocument/2006/relationships/hyperlink" Target="http://www.sec.gov/Archives/edgar/data/97476/000119312517158011/d582525dex41.htm" TargetMode="External"/><Relationship Id="rId126" Type="http://schemas.openxmlformats.org/officeDocument/2006/relationships/hyperlink" Target="http://www.sec.gov/Archives/edgar/data/97476/000119312517332507/d482992dex41.htm" TargetMode="External"/><Relationship Id="rId127" Type="http://schemas.openxmlformats.org/officeDocument/2006/relationships/hyperlink" Target="http://www.sec.gov/Archives/edgar/data/97476/000119312518154669/d579571dex41.htm" TargetMode="External"/><Relationship Id="rId128" Type="http://schemas.openxmlformats.org/officeDocument/2006/relationships/hyperlink" Target="http://www.sec.gov/Archives/edgar/data/97476/000119312518187735/d603255dex41.htm" TargetMode="External"/><Relationship Id="rId129" Type="http://schemas.openxmlformats.org/officeDocument/2006/relationships/hyperlink" Target="http://www.sec.gov/Archives/edgar/data/97476/000119312519070297/d713107dex41.htm" TargetMode="External"/><Relationship Id="rId130" Type="http://schemas.openxmlformats.org/officeDocument/2006/relationships/hyperlink" Target="http://www.sec.gov/Archives/edgar/data/97476/000119312519237540/d783480dex41.htm" TargetMode="External"/><Relationship Id="rId131" Type="http://schemas.openxmlformats.org/officeDocument/2006/relationships/hyperlink" Target="http://www.sec.gov/Archives/edgar/data/97476/000156459016013126/txn-ex10a_325.htm" TargetMode="External"/><Relationship Id="rId132" Type="http://schemas.openxmlformats.org/officeDocument/2006/relationships/hyperlink" Target="http://www.sec.gov/Archives/edgar/data/97476/000156459016013126/txn-ex10b_263.htm" TargetMode="External"/><Relationship Id="rId133" Type="http://schemas.openxmlformats.org/officeDocument/2006/relationships/hyperlink" Target="http://www.sec.gov/Archives/edgar/data/97476/000156459016013126/txn-ex10c_264.htm" TargetMode="External"/><Relationship Id="rId134" Type="http://schemas.openxmlformats.org/officeDocument/2006/relationships/hyperlink" Target="http://www.sec.gov/Archives/edgar/data/97476/000009747612000010/txn-12312011xexhibit10c.htm" TargetMode="External"/><Relationship Id="rId135" Type="http://schemas.openxmlformats.org/officeDocument/2006/relationships/hyperlink" Target="http://www.sec.gov/Archives/edgar/data/97476/000009747615000003/txn-12312014xexhibit10e.htm" TargetMode="External"/><Relationship Id="rId136" Type="http://schemas.openxmlformats.org/officeDocument/2006/relationships/hyperlink" Target="http://www.sec.gov/Archives/edgar/data/97476/000009747615000003/txn-12312014xexhibit10j.htm" TargetMode="External"/><Relationship Id="rId137" Type="http://schemas.openxmlformats.org/officeDocument/2006/relationships/hyperlink" Target="http://www.sec.gov/Archives/edgar/data/97476/000156459017002142/txn-ex10k_1019.htm" TargetMode="External"/><Relationship Id="rId138" Type="http://schemas.openxmlformats.org/officeDocument/2006/relationships/hyperlink" Target="http://www.sec.gov/Archives/edgar/data/97476/000156459017002142/txn-ex10l_1018.htm" TargetMode="External"/><Relationship Id="rId139" Type="http://schemas.openxmlformats.org/officeDocument/2006/relationships/hyperlink" Target="http://www.sec.gov/Archives/edgar/data/97476/000119312516497866/d117862ddef14a.htm" TargetMode="External"/><Relationship Id="rId140" Type="http://schemas.openxmlformats.org/officeDocument/2006/relationships/hyperlink" Target="http://www.sec.gov/Archives/edgar/data/97476/000156459017002142/txn-ex10n_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2020-02-20T11:01:56Z</dcterms:created>
  <dcterms:modified xsi:type="dcterms:W3CDTF">2020-02-20T11:01:56Z</dcterms:modified>
</cp:coreProperties>
</file>