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10-Q/A</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1 TO</w:t>
      </w:r>
    </w:p>
    <w:p>
      <w:pPr>
        <w:jc w:val="center"/>
        <w:ind w:right="1979"/>
        <w:spacing w:after="0" w:line="238" w:lineRule="auto"/>
        <w:rPr>
          <w:sz w:val="20"/>
          <w:szCs w:val="20"/>
          <w:color w:val="auto"/>
        </w:rPr>
      </w:pPr>
      <w:r>
        <w:rPr>
          <w:rFonts w:ascii="Courier New" w:cs="Courier New" w:eastAsia="Courier New" w:hAnsi="Courier New"/>
          <w:sz w:val="18"/>
          <w:szCs w:val="18"/>
          <w:color w:val="auto"/>
        </w:rPr>
        <w:t>QUARTERLY REPORT UNDER SECTION 13 or 15(d)</w:t>
      </w:r>
    </w:p>
    <w:p>
      <w:pPr>
        <w:jc w:val="center"/>
        <w:ind w:right="19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For Quarter Ended March 31, 1996</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2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3720" w:space="720"/>
            <w:col w:w="5779"/>
          </w:cols>
          <w:pgMar w:left="240" w:top="244" w:right="1440" w:bottom="2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860" w:right="1259"/>
        <w:spacing w:after="0" w:line="236" w:lineRule="auto"/>
        <w:rPr>
          <w:sz w:val="20"/>
          <w:szCs w:val="20"/>
          <w:color w:val="auto"/>
        </w:rPr>
      </w:pPr>
      <w:r>
        <w:rPr>
          <w:rFonts w:ascii="Courier New" w:cs="Courier New" w:eastAsia="Courier New" w:hAnsi="Courier New"/>
          <w:sz w:val="18"/>
          <w:szCs w:val="18"/>
          <w:color w:val="auto"/>
        </w:rPr>
        <w:t>13500 North Central Expressway, P.O. Box 655474, Dallas, Texas 75265-5474 ----------------------------------------------------------------------------- (Address of principal executive offices) (Zip Code)</w:t>
      </w:r>
    </w:p>
    <w:p>
      <w:pPr>
        <w:spacing w:after="0" w:line="200" w:lineRule="exact"/>
        <w:rPr>
          <w:sz w:val="24"/>
          <w:szCs w:val="24"/>
          <w:color w:val="auto"/>
        </w:rPr>
      </w:pPr>
    </w:p>
    <w:p>
      <w:pPr>
        <w:spacing w:after="0" w:line="211" w:lineRule="exact"/>
        <w:rPr>
          <w:sz w:val="24"/>
          <w:szCs w:val="24"/>
          <w:color w:val="auto"/>
        </w:rPr>
      </w:pPr>
    </w:p>
    <w:p>
      <w:pPr>
        <w:jc w:val="both"/>
        <w:ind w:left="860" w:right="2739"/>
        <w:spacing w:after="0" w:line="290" w:lineRule="auto"/>
        <w:rPr>
          <w:sz w:val="20"/>
          <w:szCs w:val="20"/>
          <w:color w:val="auto"/>
        </w:rPr>
      </w:pPr>
      <w:r>
        <w:rPr>
          <w:rFonts w:ascii="Courier New" w:cs="Courier New" w:eastAsia="Courier New" w:hAnsi="Courier New"/>
          <w:sz w:val="16"/>
          <w:szCs w:val="16"/>
          <w:color w:val="auto"/>
        </w:rPr>
        <w:t>Registrant's telephone number, including area code 214-995-3773 ---------------------------------------------------------------</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p>
      <w:pPr>
        <w:spacing w:after="0" w:line="238" w:lineRule="auto"/>
        <w:rPr>
          <w:sz w:val="20"/>
          <w:szCs w:val="20"/>
          <w:color w:val="auto"/>
        </w:rPr>
      </w:pPr>
      <w:r>
        <w:rPr>
          <w:rFonts w:ascii="Courier New" w:cs="Courier New" w:eastAsia="Courier New" w:hAnsi="Courier New"/>
          <w:sz w:val="18"/>
          <w:szCs w:val="18"/>
          <w:color w:val="auto"/>
        </w:rPr>
        <w:t>required to be filed by Section 13 or 15(d) of the Securities Exchange Act of</w:t>
      </w:r>
    </w:p>
    <w:p>
      <w:pPr>
        <w:spacing w:after="0"/>
        <w:rPr>
          <w:sz w:val="20"/>
          <w:szCs w:val="20"/>
          <w:color w:val="auto"/>
        </w:rPr>
      </w:pPr>
      <w:r>
        <w:rPr>
          <w:rFonts w:ascii="Courier New" w:cs="Courier New" w:eastAsia="Courier New" w:hAnsi="Courier New"/>
          <w:sz w:val="18"/>
          <w:szCs w:val="18"/>
          <w:color w:val="auto"/>
        </w:rPr>
        <w:t>1934 during the preceding 12 months (or for such shorter period that the</w:t>
      </w:r>
    </w:p>
    <w:p>
      <w:pPr>
        <w:spacing w:after="0" w:line="237" w:lineRule="auto"/>
        <w:rPr>
          <w:sz w:val="20"/>
          <w:szCs w:val="20"/>
          <w:color w:val="auto"/>
        </w:rPr>
      </w:pPr>
      <w:r>
        <w:rPr>
          <w:rFonts w:ascii="Courier New" w:cs="Courier New" w:eastAsia="Courier New" w:hAnsi="Courier New"/>
          <w:sz w:val="18"/>
          <w:szCs w:val="18"/>
          <w:color w:val="auto"/>
        </w:rPr>
        <w:t>Registrant was required to file such reports), and (2) has been subject to</w:t>
      </w:r>
    </w:p>
    <w:p>
      <w:pPr>
        <w:spacing w:after="0" w:line="238" w:lineRule="auto"/>
        <w:tabs>
          <w:tab w:leader="none" w:pos="5040" w:val="left"/>
          <w:tab w:leader="none" w:pos="5680" w:val="left"/>
          <w:tab w:leader="none" w:pos="6200" w:val="left"/>
        </w:tabs>
        <w:rPr>
          <w:sz w:val="20"/>
          <w:szCs w:val="20"/>
          <w:color w:val="auto"/>
        </w:rPr>
      </w:pPr>
      <w:r>
        <w:rPr>
          <w:rFonts w:ascii="Courier New" w:cs="Courier New" w:eastAsia="Courier New" w:hAnsi="Courier New"/>
          <w:sz w:val="18"/>
          <w:szCs w:val="18"/>
          <w:color w:val="auto"/>
        </w:rPr>
        <w:t>such filing requirements for the past 90 days.</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5600"/>
        <w:spacing w:after="0"/>
        <w:tabs>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23" w:gutter="0" w:footer="0" w:header="0"/>
          <w:type w:val="continuous"/>
        </w:sectPr>
      </w:pP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189,485,635</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of Registrant's common stock outstanding</w:t>
      </w:r>
    </w:p>
    <w:p>
      <w:pPr>
        <w:ind w:left="3060"/>
        <w:spacing w:after="0"/>
        <w:rPr>
          <w:sz w:val="20"/>
          <w:szCs w:val="20"/>
          <w:color w:val="auto"/>
        </w:rPr>
      </w:pPr>
      <w:r>
        <w:rPr>
          <w:rFonts w:ascii="Courier New" w:cs="Courier New" w:eastAsia="Courier New" w:hAnsi="Courier New"/>
          <w:sz w:val="18"/>
          <w:szCs w:val="18"/>
          <w:color w:val="auto"/>
        </w:rPr>
        <w:t>as of March 31, 1996</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Exhibit 12 to the Registrant's quarterly report on Form 10-Q for the period ended March 31, 1996 is hereby amended and restated in its entirety to correct the filing made on April 19, 1996 and will be effective for all purposes as of that 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Pursuant to the requirements of Rule 12b-15 of the Securities Exchange Act of 1934, the Registrant has duly caused this amendment to be signed on its behalf by the undersigned, thereunto duly authorized.</w:t>
      </w:r>
    </w:p>
    <w:p>
      <w:pPr>
        <w:spacing w:after="0" w:line="203"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BY: /s/ WILLIAM A. 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ind w:left="486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860"/>
        <w:spacing w:after="0" w:line="238" w:lineRule="auto"/>
        <w:rPr>
          <w:sz w:val="20"/>
          <w:szCs w:val="20"/>
          <w:color w:val="auto"/>
        </w:rPr>
      </w:pPr>
      <w:r>
        <w:rPr>
          <w:rFonts w:ascii="Courier New" w:cs="Courier New" w:eastAsia="Courier New" w:hAnsi="Courier New"/>
          <w:sz w:val="18"/>
          <w:szCs w:val="18"/>
          <w:color w:val="auto"/>
        </w:rPr>
        <w:t>Treasurer and</w:t>
      </w:r>
    </w:p>
    <w:p>
      <w:pPr>
        <w:ind w:left="48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244" w:right="1440" w:bottom="23"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38" w:lineRule="auto"/>
        <w:rPr>
          <w:sz w:val="20"/>
          <w:szCs w:val="20"/>
          <w:color w:val="auto"/>
        </w:rPr>
      </w:pPr>
      <w:r>
        <w:rPr>
          <w:rFonts w:ascii="Courier New" w:cs="Courier New" w:eastAsia="Courier New" w:hAnsi="Courier New"/>
          <w:sz w:val="18"/>
          <w:szCs w:val="18"/>
          <w:color w:val="auto"/>
        </w:rPr>
        <w:t>Designation of</w:t>
      </w:r>
    </w:p>
    <w:p>
      <w:pPr>
        <w:ind w:left="120"/>
        <w:spacing w:after="0"/>
        <w:rPr>
          <w:sz w:val="20"/>
          <w:szCs w:val="20"/>
          <w:color w:val="auto"/>
        </w:rPr>
      </w:pPr>
      <w:r>
        <w:rPr>
          <w:rFonts w:ascii="Courier New" w:cs="Courier New" w:eastAsia="Courier New" w:hAnsi="Courier New"/>
          <w:sz w:val="18"/>
          <w:szCs w:val="18"/>
          <w:color w:val="auto"/>
        </w:rPr>
        <w:t>Exhibits in</w:t>
      </w:r>
    </w:p>
    <w:p>
      <w:pPr>
        <w:ind w:left="120"/>
        <w:spacing w:after="0"/>
        <w:tabs>
          <w:tab w:leader="none" w:pos="2620" w:val="left"/>
        </w:tabs>
        <w:rPr>
          <w:sz w:val="20"/>
          <w:szCs w:val="20"/>
          <w:color w:val="auto"/>
        </w:rPr>
      </w:pPr>
      <w:r>
        <w:rPr>
          <w:rFonts w:ascii="Courier New" w:cs="Courier New" w:eastAsia="Courier New" w:hAnsi="Courier New"/>
          <w:sz w:val="18"/>
          <w:szCs w:val="18"/>
          <w:color w:val="auto"/>
        </w:rPr>
        <w:t>this Report</w:t>
      </w:r>
      <w:r>
        <w:rPr>
          <w:sz w:val="20"/>
          <w:szCs w:val="20"/>
          <w:color w:val="auto"/>
        </w:rPr>
        <w:tab/>
      </w:r>
      <w:r>
        <w:rPr>
          <w:rFonts w:ascii="Courier New" w:cs="Courier New" w:eastAsia="Courier New" w:hAnsi="Courier New"/>
          <w:sz w:val="16"/>
          <w:szCs w:val="16"/>
          <w:color w:val="auto"/>
        </w:rPr>
        <w:t>Description of Exhibit</w:t>
      </w:r>
    </w:p>
    <w:p>
      <w:pPr>
        <w:spacing w:after="0"/>
        <w:tabs>
          <w:tab w:leader="none" w:pos="2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Computation of Ratio of</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Earnings to Fixed Charges and</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Ratio of Earnings to Combined</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Fixed Charges and Preferred</w:t>
      </w:r>
    </w:p>
    <w:p>
      <w:pPr>
        <w:ind w:left="2540"/>
        <w:spacing w:after="0" w:line="238" w:lineRule="auto"/>
        <w:rPr>
          <w:sz w:val="20"/>
          <w:szCs w:val="20"/>
          <w:color w:val="auto"/>
        </w:rPr>
      </w:pPr>
      <w:r>
        <w:rPr>
          <w:rFonts w:ascii="Courier New" w:cs="Courier New" w:eastAsia="Courier New" w:hAnsi="Courier New"/>
          <w:sz w:val="18"/>
          <w:szCs w:val="18"/>
          <w:color w:val="auto"/>
        </w:rPr>
        <w:t>Stock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Paper (P)</w:t>
      </w:r>
    </w:p>
    <w:p>
      <w:pPr>
        <w:ind w:left="420"/>
        <w:spacing w:after="0" w:line="238" w:lineRule="auto"/>
        <w:rPr>
          <w:sz w:val="20"/>
          <w:szCs w:val="20"/>
          <w:color w:val="auto"/>
        </w:rPr>
      </w:pPr>
      <w:r>
        <w:rPr>
          <w:rFonts w:ascii="Courier New" w:cs="Courier New" w:eastAsia="Courier New" w:hAnsi="Courier New"/>
          <w:sz w:val="18"/>
          <w:szCs w:val="18"/>
          <w:color w:val="auto"/>
        </w:rPr>
        <w:t>or</w:t>
      </w:r>
    </w:p>
    <w:p>
      <w:pPr>
        <w:spacing w:after="0"/>
        <w:rPr>
          <w:sz w:val="20"/>
          <w:szCs w:val="20"/>
          <w:color w:val="auto"/>
        </w:rPr>
      </w:pPr>
      <w:r>
        <w:rPr>
          <w:rFonts w:ascii="Courier New" w:cs="Courier New" w:eastAsia="Courier New" w:hAnsi="Courier New"/>
          <w:sz w:val="18"/>
          <w:szCs w:val="18"/>
          <w:color w:val="auto"/>
        </w:rPr>
        <w:t>Electronic (E)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2">
            <w:col w:w="5600" w:space="620"/>
            <w:col w:w="3999"/>
          </w:cols>
          <w:pgMar w:left="240" w:top="136" w:right="1440" w:bottom="1440" w:gutter="0" w:footer="0" w:header="0"/>
        </w:sectPr>
      </w:pPr>
    </w:p>
    <w:bookmarkStart w:id="2" w:name="page3"/>
    <w:bookmarkEnd w:id="2"/>
    <w:p>
      <w:pPr>
        <w:ind w:left="9180"/>
        <w:spacing w:after="0"/>
        <w:rPr>
          <w:sz w:val="20"/>
          <w:szCs w:val="20"/>
          <w:color w:val="auto"/>
        </w:rPr>
      </w:pPr>
      <w:r>
        <w:rPr>
          <w:rFonts w:ascii="Courier New" w:cs="Courier New" w:eastAsia="Courier New" w:hAnsi="Courier New"/>
          <w:sz w:val="18"/>
          <w:szCs w:val="18"/>
          <w:color w:val="auto"/>
        </w:rPr>
        <w:t>EXHIBIT 12</w:t>
      </w:r>
    </w:p>
    <w:p>
      <w:pPr>
        <w:ind w:left="91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4" w:lineRule="exact"/>
        <w:rPr>
          <w:sz w:val="20"/>
          <w:szCs w:val="20"/>
          <w:color w:val="auto"/>
        </w:rPr>
      </w:pPr>
    </w:p>
    <w:p>
      <w:pPr>
        <w:jc w:val="center"/>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8"/>
              </w:rPr>
              <w:t>For Three Months</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Ended Mar 31</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before cumulative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and provision for income taxes.......$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1,679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rental and lease expense.............</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5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1,138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and capitalized).......................</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and lease expense......................</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Fixed charges..............................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Combined fixed charges and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Fixed charges..........................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pretax equivalent basis).............</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preferred stock dividends............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7"/>
              </w:rPr>
              <w:t>Ratio of earnings to fixed charges.........</w:t>
            </w:r>
          </w:p>
        </w:tc>
        <w:tc>
          <w:tcPr>
            <w:tcW w:w="10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w:t>
            </w: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w:t>
            </w: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15.6</w:t>
            </w:r>
          </w:p>
        </w:tc>
        <w:tc>
          <w:tcPr>
            <w:tcW w:w="26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w:t>
            </w:r>
          </w:p>
        </w:tc>
        <w:tc>
          <w:tcPr>
            <w:tcW w:w="22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9.4</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Ratio of earnings to combined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stock dividends..........................</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jc w:val="both"/>
        <w:ind w:left="120" w:right="2960" w:firstLine="99"/>
        <w:spacing w:after="0" w:line="558" w:lineRule="auto"/>
        <w:tabs>
          <w:tab w:leader="none" w:pos="43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$309 million in 1991. ** Not meaningful. The coverage deficiency was $343 million in 1991.</w:t>
      </w:r>
    </w:p>
    <w:sectPr>
      <w:pgSz w:w="11900" w:h="16838" w:orient="portrait"/>
      <w:cols w:equalWidth="0" w:num="1">
        <w:col w:w="10340"/>
      </w:cols>
      <w:pgMar w:left="240" w:top="744"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2019-12-13T07:27:04Z</dcterms:created>
  <dcterms:modified xsi:type="dcterms:W3CDTF">2019-12-13T07:27:04Z</dcterms:modified>
</cp:coreProperties>
</file>