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49530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51435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21" w:lineRule="exact"/>
        <w:rPr>
          <w:sz w:val="24"/>
          <w:szCs w:val="24"/>
          <w:color w:val="auto"/>
        </w:rPr>
      </w:pPr>
    </w:p>
    <w:p>
      <w:pPr>
        <w:ind w:left="740" w:right="320" w:hanging="714"/>
        <w:spacing w:after="0" w:line="247"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40" w:lineRule="exact"/>
        <w:rPr>
          <w:sz w:val="24"/>
          <w:szCs w:val="24"/>
          <w:color w:val="auto"/>
        </w:rPr>
      </w:pPr>
    </w:p>
    <w:p>
      <w:pPr>
        <w:ind w:left="760" w:right="320" w:hanging="721"/>
        <w:spacing w:after="0" w:line="247" w:lineRule="auto"/>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0"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34925</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1400" w:type="dxa"/>
        <w:tblCellMar>
          <w:top w:w="0" w:type="dxa"/>
          <w:left w:w="0" w:type="dxa"/>
          <w:bottom w:w="0" w:type="dxa"/>
          <w:right w:w="0" w:type="dxa"/>
        </w:tblCellMar>
      </w:tblPr>
      <w:tr>
        <w:trPr>
          <w:trHeight w:val="239"/>
        </w:trPr>
        <w:tc>
          <w:tcPr>
            <w:tcW w:w="4340" w:type="dxa"/>
            <w:vAlign w:val="bottom"/>
          </w:tcPr>
          <w:p>
            <w:pPr>
              <w:jc w:val="center"/>
              <w:ind w:right="1379"/>
              <w:spacing w:after="0"/>
              <w:rPr>
                <w:sz w:val="20"/>
                <w:szCs w:val="20"/>
                <w:color w:val="auto"/>
              </w:rPr>
            </w:pPr>
            <w:r>
              <w:rPr>
                <w:rFonts w:ascii="Arial" w:cs="Arial" w:eastAsia="Arial" w:hAnsi="Arial"/>
                <w:sz w:val="18"/>
                <w:szCs w:val="18"/>
                <w:b w:val="1"/>
                <w:bCs w:val="1"/>
                <w:color w:val="auto"/>
              </w:rPr>
              <w:t>Delaware</w:t>
            </w:r>
          </w:p>
        </w:tc>
        <w:tc>
          <w:tcPr>
            <w:tcW w:w="3840" w:type="dxa"/>
            <w:vAlign w:val="bottom"/>
          </w:tcPr>
          <w:p>
            <w:pPr>
              <w:jc w:val="right"/>
              <w:ind w:right="619"/>
              <w:spacing w:after="0"/>
              <w:rPr>
                <w:sz w:val="20"/>
                <w:szCs w:val="20"/>
                <w:color w:val="auto"/>
              </w:rPr>
            </w:pPr>
            <w:r>
              <w:rPr>
                <w:rFonts w:ascii="Arial" w:cs="Arial" w:eastAsia="Arial" w:hAnsi="Arial"/>
                <w:sz w:val="18"/>
                <w:szCs w:val="18"/>
                <w:b w:val="1"/>
                <w:bCs w:val="1"/>
                <w:color w:val="auto"/>
              </w:rPr>
              <w:t>75-0289970</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(State of Incorporation)</w:t>
            </w:r>
          </w:p>
        </w:tc>
        <w:tc>
          <w:tcPr>
            <w:tcW w:w="3840" w:type="dxa"/>
            <w:vAlign w:val="bottom"/>
          </w:tcPr>
          <w:p>
            <w:pPr>
              <w:jc w:val="center"/>
              <w:ind w:left="1399"/>
              <w:spacing w:after="0"/>
              <w:rPr>
                <w:sz w:val="20"/>
                <w:szCs w:val="20"/>
                <w:color w:val="auto"/>
              </w:rPr>
            </w:pPr>
            <w:r>
              <w:rPr>
                <w:rFonts w:ascii="Arial" w:cs="Arial" w:eastAsia="Arial" w:hAnsi="Arial"/>
                <w:sz w:val="14"/>
                <w:szCs w:val="14"/>
                <w:b w:val="1"/>
                <w:bCs w:val="1"/>
                <w:color w:val="auto"/>
              </w:rPr>
              <w:t>(I.R.S. Employer Identification No.)</w:t>
            </w:r>
          </w:p>
        </w:tc>
      </w:tr>
      <w:tr>
        <w:trPr>
          <w:trHeight w:val="344"/>
        </w:trPr>
        <w:tc>
          <w:tcPr>
            <w:tcW w:w="4340" w:type="dxa"/>
            <w:vAlign w:val="bottom"/>
          </w:tcPr>
          <w:p>
            <w:pPr>
              <w:jc w:val="center"/>
              <w:ind w:right="1399"/>
              <w:spacing w:after="0"/>
              <w:rPr>
                <w:sz w:val="20"/>
                <w:szCs w:val="20"/>
                <w:color w:val="auto"/>
              </w:rPr>
            </w:pPr>
            <w:r>
              <w:rPr>
                <w:rFonts w:ascii="Arial" w:cs="Arial" w:eastAsia="Arial" w:hAnsi="Arial"/>
                <w:sz w:val="18"/>
                <w:szCs w:val="18"/>
                <w:b w:val="1"/>
                <w:bCs w:val="1"/>
                <w:color w:val="auto"/>
                <w:w w:val="99"/>
              </w:rPr>
              <w:t>12500 TI Boulevard, Dallas, Texas</w:t>
            </w:r>
          </w:p>
        </w:tc>
        <w:tc>
          <w:tcPr>
            <w:tcW w:w="3840" w:type="dxa"/>
            <w:vAlign w:val="bottom"/>
          </w:tcPr>
          <w:p>
            <w:pPr>
              <w:jc w:val="right"/>
              <w:ind w:right="859"/>
              <w:spacing w:after="0"/>
              <w:rPr>
                <w:sz w:val="20"/>
                <w:szCs w:val="20"/>
                <w:color w:val="auto"/>
              </w:rPr>
            </w:pPr>
            <w:r>
              <w:rPr>
                <w:rFonts w:ascii="Arial" w:cs="Arial" w:eastAsia="Arial" w:hAnsi="Arial"/>
                <w:sz w:val="18"/>
                <w:szCs w:val="18"/>
                <w:b w:val="1"/>
                <w:bCs w:val="1"/>
                <w:color w:val="auto"/>
              </w:rPr>
              <w:t>75243</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(Address of principal executive offices)</w:t>
            </w:r>
          </w:p>
        </w:tc>
        <w:tc>
          <w:tcPr>
            <w:tcW w:w="3840" w:type="dxa"/>
            <w:vAlign w:val="bottom"/>
          </w:tcPr>
          <w:p>
            <w:pPr>
              <w:jc w:val="center"/>
              <w:ind w:left="1379"/>
              <w:spacing w:after="0"/>
              <w:rPr>
                <w:sz w:val="20"/>
                <w:szCs w:val="20"/>
                <w:color w:val="auto"/>
              </w:rPr>
            </w:pPr>
            <w:r>
              <w:rPr>
                <w:rFonts w:ascii="Arial" w:cs="Arial" w:eastAsia="Arial" w:hAnsi="Arial"/>
                <w:sz w:val="14"/>
                <w:szCs w:val="14"/>
                <w:b w:val="1"/>
                <w:bCs w:val="1"/>
                <w:color w:val="auto"/>
              </w:rPr>
              <w:t>(Zip Code)</w:t>
            </w:r>
          </w:p>
        </w:tc>
      </w:tr>
    </w:tbl>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92075</wp:posOffset>
            </wp:positionV>
            <wp:extent cx="4166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5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TXN</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84" w:lineRule="exact"/>
        <w:rPr>
          <w:sz w:val="24"/>
          <w:szCs w:val="24"/>
          <w:color w:val="auto"/>
        </w:rPr>
      </w:pPr>
    </w:p>
    <w:p>
      <w:pPr>
        <w:ind w:right="16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jc w:val="both"/>
        <w:ind w:right="34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0"/>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580" w:type="dxa"/>
            <w:vAlign w:val="bottom"/>
          </w:tcPr>
          <w:p>
            <w:pPr>
              <w:ind w:left="20"/>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66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47"/>
        </w:trPr>
        <w:tc>
          <w:tcPr>
            <w:tcW w:w="10580" w:type="dxa"/>
            <w:vAlign w:val="bottom"/>
            <w:vMerge w:val="restart"/>
          </w:tcPr>
          <w:p>
            <w:pPr>
              <w:ind w:left="20"/>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0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1"/>
        </w:trPr>
        <w:tc>
          <w:tcPr>
            <w:tcW w:w="1058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580" w:type="dxa"/>
            <w:vAlign w:val="bottom"/>
          </w:tcPr>
          <w:p>
            <w:pPr>
              <w:jc w:val="center"/>
              <w:ind w:left="570"/>
              <w:spacing w:after="0"/>
              <w:rPr>
                <w:sz w:val="20"/>
                <w:szCs w:val="20"/>
                <w:color w:val="auto"/>
              </w:rPr>
            </w:pPr>
            <w:r>
              <w:rPr>
                <w:rFonts w:ascii="Arial" w:cs="Arial" w:eastAsia="Arial" w:hAnsi="Arial"/>
                <w:sz w:val="18"/>
                <w:szCs w:val="18"/>
                <w:color w:val="auto"/>
                <w:w w:val="99"/>
              </w:rPr>
              <w:t>907,653,862</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0580" w:type="dxa"/>
            <w:vAlign w:val="bottom"/>
          </w:tcPr>
          <w:p>
            <w:pPr>
              <w:jc w:val="center"/>
              <w:ind w:left="590"/>
              <w:spacing w:after="0"/>
              <w:rPr>
                <w:sz w:val="20"/>
                <w:szCs w:val="20"/>
                <w:color w:val="auto"/>
              </w:rPr>
            </w:pPr>
            <w:r>
              <w:rPr>
                <w:rFonts w:ascii="Arial" w:cs="Arial" w:eastAsia="Arial" w:hAnsi="Arial"/>
                <w:sz w:val="18"/>
                <w:szCs w:val="18"/>
                <w:color w:val="auto"/>
                <w:w w:val="99"/>
              </w:rPr>
              <w:t>Number of shares of Registrant’s common stock outstanding as of</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580" w:type="dxa"/>
            <w:vAlign w:val="bottom"/>
          </w:tcPr>
          <w:p>
            <w:pPr>
              <w:jc w:val="center"/>
              <w:ind w:left="570"/>
              <w:spacing w:after="0"/>
              <w:rPr>
                <w:sz w:val="20"/>
                <w:szCs w:val="20"/>
                <w:color w:val="auto"/>
              </w:rPr>
            </w:pPr>
            <w:r>
              <w:rPr>
                <w:rFonts w:ascii="Arial" w:cs="Arial" w:eastAsia="Arial" w:hAnsi="Arial"/>
                <w:sz w:val="18"/>
                <w:szCs w:val="18"/>
                <w:color w:val="auto"/>
              </w:rPr>
              <w:t>April 18, 2023</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058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5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Income</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For Three Months Ended</w:t>
            </w:r>
          </w:p>
        </w:tc>
        <w:tc>
          <w:tcPr>
            <w:tcW w:w="0" w:type="dxa"/>
            <w:vAlign w:val="bottom"/>
          </w:tcPr>
          <w:p>
            <w:pPr>
              <w:spacing w:after="0"/>
              <w:rPr>
                <w:sz w:val="1"/>
                <w:szCs w:val="1"/>
                <w:color w:val="auto"/>
              </w:rPr>
            </w:pPr>
          </w:p>
        </w:tc>
      </w:tr>
      <w:tr>
        <w:trPr>
          <w:trHeight w:val="259"/>
        </w:trPr>
        <w:tc>
          <w:tcPr>
            <w:tcW w:w="856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66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86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4,379</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4,905</w:t>
            </w:r>
          </w:p>
        </w:tc>
        <w:tc>
          <w:tcPr>
            <w:tcW w:w="0" w:type="dxa"/>
            <w:vAlign w:val="bottom"/>
          </w:tcPr>
          <w:p>
            <w:pPr>
              <w:spacing w:after="0"/>
              <w:rPr>
                <w:sz w:val="1"/>
                <w:szCs w:val="1"/>
                <w:color w:val="auto"/>
              </w:rPr>
            </w:pPr>
          </w:p>
        </w:tc>
      </w:tr>
      <w:tr>
        <w:trPr>
          <w:trHeight w:val="229"/>
        </w:trPr>
        <w:tc>
          <w:tcPr>
            <w:tcW w:w="86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1,516</w:t>
            </w:r>
          </w:p>
        </w:tc>
        <w:tc>
          <w:tcPr>
            <w:tcW w:w="1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23"/>
        </w:trPr>
        <w:tc>
          <w:tcPr>
            <w:tcW w:w="86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2,863</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29"/>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9"/>
        </w:trPr>
        <w:tc>
          <w:tcPr>
            <w:tcW w:w="86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474</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Restructuring charges/other</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866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28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1,934</w:t>
            </w:r>
          </w:p>
        </w:tc>
        <w:tc>
          <w:tcPr>
            <w:tcW w:w="12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30"/>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 (OI&amp;E)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6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29"/>
        </w:trPr>
        <w:tc>
          <w:tcPr>
            <w:tcW w:w="86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238</w:t>
            </w:r>
          </w:p>
        </w:tc>
        <w:tc>
          <w:tcPr>
            <w:tcW w:w="12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3"/>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0"/>
        </w:trPr>
        <w:tc>
          <w:tcPr>
            <w:tcW w:w="85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Earnings per common share (EPS):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66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1.87</w:t>
            </w:r>
          </w:p>
        </w:tc>
        <w:tc>
          <w:tcPr>
            <w:tcW w:w="1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85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6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1.85</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85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Average shares outstanding:</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66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907</w:t>
            </w:r>
          </w:p>
        </w:tc>
        <w:tc>
          <w:tcPr>
            <w:tcW w:w="1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spacing w:after="0"/>
              <w:rPr>
                <w:sz w:val="21"/>
                <w:szCs w:val="21"/>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85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6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916</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0" w:right="76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1,708</w:t>
            </w:r>
          </w:p>
        </w:tc>
        <w:tc>
          <w:tcPr>
            <w:tcW w:w="12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2,201</w:t>
            </w:r>
          </w:p>
        </w:tc>
      </w:tr>
      <w:tr>
        <w:trPr>
          <w:trHeight w:val="230"/>
        </w:trPr>
        <w:tc>
          <w:tcPr>
            <w:tcW w:w="8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8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1,699</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2,192</w:t>
            </w:r>
          </w:p>
        </w:tc>
      </w:tr>
      <w:tr>
        <w:trPr>
          <w:trHeight w:val="20"/>
        </w:trPr>
        <w:tc>
          <w:tcPr>
            <w:tcW w:w="866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Comprehensive Income</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For Three Months Ended</w:t>
            </w:r>
          </w:p>
        </w:tc>
        <w:tc>
          <w:tcPr>
            <w:tcW w:w="0" w:type="dxa"/>
            <w:vAlign w:val="bottom"/>
          </w:tcPr>
          <w:p>
            <w:pPr>
              <w:spacing w:after="0"/>
              <w:rPr>
                <w:sz w:val="1"/>
                <w:szCs w:val="1"/>
                <w:color w:val="auto"/>
              </w:rPr>
            </w:pPr>
          </w:p>
        </w:tc>
      </w:tr>
      <w:tr>
        <w:trPr>
          <w:trHeight w:val="259"/>
        </w:trPr>
        <w:tc>
          <w:tcPr>
            <w:tcW w:w="86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1,708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Net actuarial losses of defined benefit plans: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Adjustments, net of tax effect of $1 and ($2)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Recognized within net income, net of tax effect of ($1) and ($1)</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Change in fair value, net of tax effect of $1 and $0</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Available-for-sale investments: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Unrealized gains (losses), net of tax effect of $0 and $1</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1,710</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Balance Sheets</w:t>
            </w:r>
          </w:p>
        </w:tc>
        <w:tc>
          <w:tcPr>
            <w:tcW w:w="12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7"/>
                <w:szCs w:val="17"/>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9"/>
        </w:trPr>
        <w:tc>
          <w:tcPr>
            <w:tcW w:w="832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5"/>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4,477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6,017</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receivable, net of allowances of ($13) and ($13)</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1,877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20"/>
              <w:spacing w:after="0"/>
              <w:rPr>
                <w:sz w:val="20"/>
                <w:szCs w:val="20"/>
                <w:color w:val="auto"/>
              </w:rPr>
            </w:pPr>
            <w:r>
              <w:rPr>
                <w:rFonts w:ascii="Arial" w:cs="Arial" w:eastAsia="Arial" w:hAnsi="Arial"/>
                <w:sz w:val="18"/>
                <w:szCs w:val="18"/>
                <w:color w:val="auto"/>
              </w:rPr>
              <w:t>Raw materials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Work in process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1,850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1,060</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3,288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15,023</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14,021</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10,791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(3,126)</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2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7,665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6,876</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1,355</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27,207</w:t>
            </w:r>
          </w:p>
        </w:tc>
        <w:tc>
          <w:tcPr>
            <w:tcW w:w="0" w:type="dxa"/>
            <w:vAlign w:val="bottom"/>
          </w:tcPr>
          <w:p>
            <w:pPr>
              <w:spacing w:after="0"/>
              <w:rPr>
                <w:sz w:val="1"/>
                <w:szCs w:val="1"/>
                <w:color w:val="auto"/>
              </w:rPr>
            </w:pPr>
          </w:p>
        </w:tc>
      </w:tr>
      <w:tr>
        <w:trPr>
          <w:trHeight w:val="20"/>
        </w:trPr>
        <w:tc>
          <w:tcPr>
            <w:tcW w:w="83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952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2,904</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9,626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8,235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1,251</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13,977</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12,630</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Preferred stock, $25 par value. Shares authorized – 10; none issued</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50,930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50,353</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Treasury common stock at cost</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Shares: March 31, 2023 – 833; December 31, 2022 – 835</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(40,192)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(40,214)</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Accumulated other comprehensive income (loss), net of taxes (AOCI)</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15,243</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14,577</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27,207</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Cash Flows</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For Three Months Ended</w:t>
            </w:r>
          </w:p>
        </w:tc>
        <w:tc>
          <w:tcPr>
            <w:tcW w:w="0" w:type="dxa"/>
            <w:vAlign w:val="bottom"/>
          </w:tcPr>
          <w:p>
            <w:pPr>
              <w:spacing w:after="0"/>
              <w:rPr>
                <w:sz w:val="1"/>
                <w:szCs w:val="1"/>
                <w:color w:val="auto"/>
              </w:rPr>
            </w:pPr>
          </w:p>
        </w:tc>
      </w:tr>
      <w:tr>
        <w:trPr>
          <w:trHeight w:val="259"/>
        </w:trPr>
        <w:tc>
          <w:tcPr>
            <w:tcW w:w="86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1,708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Adjustments to net income: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Amortization of capitalized software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Stock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Gains on sales of assets</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(531)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1,160</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37"/>
        </w:trPr>
        <w:tc>
          <w:tcPr>
            <w:tcW w:w="86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(982)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asset sales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(3,013)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36"/>
        </w:trPr>
        <w:tc>
          <w:tcPr>
            <w:tcW w:w="86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1,397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37"/>
        </w:trPr>
        <w:tc>
          <w:tcPr>
            <w:tcW w:w="86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3,050</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2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1"/>
        </w:trPr>
        <w:tc>
          <w:tcPr>
            <w:tcW w:w="8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 Our segments also reflect how management allocates resources and measures results.</w:t>
      </w:r>
    </w:p>
    <w:p>
      <w:pPr>
        <w:spacing w:after="0" w:line="176" w:lineRule="exact"/>
        <w:rPr>
          <w:sz w:val="20"/>
          <w:szCs w:val="20"/>
          <w:color w:val="auto"/>
        </w:rPr>
      </w:pPr>
    </w:p>
    <w:p>
      <w:pPr>
        <w:ind w:left="620" w:right="40" w:hanging="329"/>
        <w:spacing w:after="0" w:line="259"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1"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5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For Three Months Ended</w:t>
            </w:r>
          </w:p>
        </w:tc>
      </w:tr>
      <w:tr>
        <w:trPr>
          <w:trHeight w:val="203"/>
        </w:trPr>
        <w:tc>
          <w:tcPr>
            <w:tcW w:w="8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r>
      <w:tr>
        <w:trPr>
          <w:trHeight w:val="196"/>
        </w:trPr>
        <w:tc>
          <w:tcPr>
            <w:tcW w:w="87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r>
      <w:tr>
        <w:trPr>
          <w:trHeight w:val="224"/>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r>
      <w:tr>
        <w:trPr>
          <w:trHeight w:val="229"/>
        </w:trPr>
        <w:tc>
          <w:tcPr>
            <w:tcW w:w="870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3,289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3,816</w:t>
            </w:r>
          </w:p>
        </w:tc>
      </w:tr>
      <w:tr>
        <w:trPr>
          <w:trHeight w:val="230"/>
        </w:trPr>
        <w:tc>
          <w:tcPr>
            <w:tcW w:w="8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832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782</w:t>
            </w:r>
          </w:p>
        </w:tc>
      </w:tr>
      <w:tr>
        <w:trPr>
          <w:trHeight w:val="230"/>
        </w:trPr>
        <w:tc>
          <w:tcPr>
            <w:tcW w:w="87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48"/>
        </w:trPr>
        <w:tc>
          <w:tcPr>
            <w:tcW w:w="8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4,379</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4,905</w:t>
            </w:r>
          </w:p>
        </w:tc>
      </w:tr>
      <w:tr>
        <w:trPr>
          <w:trHeight w:val="20"/>
        </w:trPr>
        <w:tc>
          <w:tcPr>
            <w:tcW w:w="87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87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profit: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r>
      <w:tr>
        <w:trPr>
          <w:trHeight w:val="230"/>
        </w:trPr>
        <w:tc>
          <w:tcPr>
            <w:tcW w:w="870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1,574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2,150</w:t>
            </w:r>
          </w:p>
        </w:tc>
      </w:tr>
      <w:tr>
        <w:trPr>
          <w:trHeight w:val="230"/>
        </w:trPr>
        <w:tc>
          <w:tcPr>
            <w:tcW w:w="8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87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 (a)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48"/>
        </w:trPr>
        <w:tc>
          <w:tcPr>
            <w:tcW w:w="8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operating profit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1,934</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2,563</w:t>
            </w:r>
          </w:p>
        </w:tc>
      </w:tr>
      <w:tr>
        <w:trPr>
          <w:trHeight w:val="20"/>
        </w:trPr>
        <w:tc>
          <w:tcPr>
            <w:tcW w:w="87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 Includes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geographic area information is based on product shipment destination, which does not reflect end demand by geography.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For Three Months Ended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6"/>
        </w:trPr>
        <w:tc>
          <w:tcPr>
            <w:tcW w:w="63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4"/>
                <w:szCs w:val="14"/>
                <w:b w:val="1"/>
                <w:bCs w:val="1"/>
                <w:color w:val="auto"/>
              </w:rPr>
              <w:t>2022</w:t>
            </w:r>
          </w:p>
        </w:tc>
      </w:tr>
      <w:tr>
        <w:trPr>
          <w:trHeight w:val="210"/>
        </w:trPr>
        <w:tc>
          <w:tcPr>
            <w:tcW w:w="63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494</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63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 (a)</w:t>
            </w:r>
          </w:p>
        </w:tc>
        <w:tc>
          <w:tcPr>
            <w:tcW w:w="3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1,831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2,548</w:t>
            </w:r>
          </w:p>
        </w:tc>
        <w:tc>
          <w:tcPr>
            <w:tcW w:w="13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52</w:t>
            </w: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655</w:t>
            </w:r>
          </w:p>
        </w:tc>
        <w:tc>
          <w:tcPr>
            <w:tcW w:w="1360" w:type="dxa"/>
            <w:vAlign w:val="bottom"/>
            <w:gridSpan w:val="3"/>
          </w:tcPr>
          <w:p>
            <w:pPr>
              <w:jc w:val="right"/>
              <w:ind w:right="150"/>
              <w:spacing w:after="0"/>
              <w:rPr>
                <w:sz w:val="20"/>
                <w:szCs w:val="20"/>
                <w:color w:val="auto"/>
              </w:rPr>
            </w:pPr>
            <w:r>
              <w:rPr>
                <w:rFonts w:ascii="Arial" w:cs="Arial" w:eastAsia="Arial" w:hAnsi="Arial"/>
                <w:sz w:val="18"/>
                <w:szCs w:val="18"/>
                <w:color w:val="auto"/>
              </w:rPr>
              <w:t>13</w:t>
            </w:r>
          </w:p>
        </w:tc>
      </w:tr>
      <w:tr>
        <w:trPr>
          <w:trHeight w:val="229"/>
        </w:trPr>
        <w:tc>
          <w:tcPr>
            <w:tcW w:w="63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w:t>
            </w:r>
          </w:p>
        </w:tc>
        <w:tc>
          <w:tcPr>
            <w:tcW w:w="3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986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814</w:t>
            </w:r>
          </w:p>
        </w:tc>
        <w:tc>
          <w:tcPr>
            <w:tcW w:w="13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17</w:t>
            </w: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w:t>
            </w:r>
          </w:p>
        </w:tc>
        <w:tc>
          <w:tcPr>
            <w:tcW w:w="1360" w:type="dxa"/>
            <w:vAlign w:val="bottom"/>
            <w:gridSpan w:val="3"/>
          </w:tcPr>
          <w:p>
            <w:pPr>
              <w:jc w:val="right"/>
              <w:ind w:right="150"/>
              <w:spacing w:after="0"/>
              <w:rPr>
                <w:sz w:val="20"/>
                <w:szCs w:val="20"/>
                <w:color w:val="auto"/>
              </w:rPr>
            </w:pPr>
            <w:r>
              <w:rPr>
                <w:rFonts w:ascii="Arial" w:cs="Arial" w:eastAsia="Arial" w:hAnsi="Arial"/>
                <w:sz w:val="18"/>
                <w:szCs w:val="18"/>
                <w:color w:val="auto"/>
              </w:rPr>
              <w:t>5</w:t>
            </w:r>
          </w:p>
        </w:tc>
      </w:tr>
      <w:tr>
        <w:trPr>
          <w:trHeight w:val="230"/>
        </w:trPr>
        <w:tc>
          <w:tcPr>
            <w:tcW w:w="63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3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w:t>
            </w:r>
          </w:p>
        </w:tc>
        <w:tc>
          <w:tcPr>
            <w:tcW w:w="13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3</w:t>
            </w: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6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right="140" w:hanging="332"/>
        <w:spacing w:after="0" w:line="287"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products shipped into China includes shipments to customers that manufacture in China and then export end products to their customers around the world, as well as distributors that transship inventory through China to service other countries.</w:t>
      </w:r>
    </w:p>
    <w:p>
      <w:pPr>
        <w:spacing w:after="0" w:line="153"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The following additional geographic information includes our estimate for revenue based on the location of our end customers’ headquarters, providing a better representation of the geographic profile for where critical decisions are made.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For Three Months Ended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6"/>
        </w:trPr>
        <w:tc>
          <w:tcPr>
            <w:tcW w:w="638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4"/>
                <w:szCs w:val="14"/>
                <w:b w:val="1"/>
                <w:bCs w:val="1"/>
                <w:color w:val="auto"/>
              </w:rPr>
              <w:t>2022</w:t>
            </w:r>
          </w:p>
        </w:tc>
      </w:tr>
      <w:tr>
        <w:trPr>
          <w:trHeight w:val="210"/>
        </w:trPr>
        <w:tc>
          <w:tcPr>
            <w:tcW w:w="63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31 %</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1,570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63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w:t>
            </w:r>
          </w:p>
        </w:tc>
        <w:tc>
          <w:tcPr>
            <w:tcW w:w="3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876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1,275</w:t>
            </w:r>
          </w:p>
        </w:tc>
        <w:tc>
          <w:tcPr>
            <w:tcW w:w="13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26</w:t>
            </w: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540</w:t>
            </w:r>
          </w:p>
        </w:tc>
        <w:tc>
          <w:tcPr>
            <w:tcW w:w="1360" w:type="dxa"/>
            <w:vAlign w:val="bottom"/>
            <w:gridSpan w:val="3"/>
          </w:tcPr>
          <w:p>
            <w:pPr>
              <w:jc w:val="right"/>
              <w:ind w:right="150"/>
              <w:spacing w:after="0"/>
              <w:rPr>
                <w:sz w:val="20"/>
                <w:szCs w:val="20"/>
                <w:color w:val="auto"/>
              </w:rPr>
            </w:pPr>
            <w:r>
              <w:rPr>
                <w:rFonts w:ascii="Arial" w:cs="Arial" w:eastAsia="Arial" w:hAnsi="Arial"/>
                <w:sz w:val="18"/>
                <w:szCs w:val="18"/>
                <w:color w:val="auto"/>
              </w:rPr>
              <w:t>11</w:t>
            </w:r>
          </w:p>
        </w:tc>
      </w:tr>
      <w:tr>
        <w:trPr>
          <w:trHeight w:val="230"/>
        </w:trPr>
        <w:tc>
          <w:tcPr>
            <w:tcW w:w="63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 (a)</w:t>
            </w:r>
          </w:p>
        </w:tc>
        <w:tc>
          <w:tcPr>
            <w:tcW w:w="3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1,270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1,079</w:t>
            </w:r>
          </w:p>
        </w:tc>
        <w:tc>
          <w:tcPr>
            <w:tcW w:w="13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22</w:t>
            </w: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392</w:t>
            </w:r>
          </w:p>
        </w:tc>
        <w:tc>
          <w:tcPr>
            <w:tcW w:w="1360" w:type="dxa"/>
            <w:vAlign w:val="bottom"/>
            <w:gridSpan w:val="3"/>
          </w:tcPr>
          <w:p>
            <w:pPr>
              <w:jc w:val="right"/>
              <w:ind w:right="150"/>
              <w:spacing w:after="0"/>
              <w:rPr>
                <w:sz w:val="20"/>
                <w:szCs w:val="20"/>
                <w:color w:val="auto"/>
              </w:rPr>
            </w:pPr>
            <w:r>
              <w:rPr>
                <w:rFonts w:ascii="Arial" w:cs="Arial" w:eastAsia="Arial" w:hAnsi="Arial"/>
                <w:sz w:val="18"/>
                <w:szCs w:val="18"/>
                <w:color w:val="auto"/>
              </w:rPr>
              <w:t>8</w:t>
            </w:r>
          </w:p>
        </w:tc>
      </w:tr>
      <w:tr>
        <w:trPr>
          <w:trHeight w:val="230"/>
        </w:trPr>
        <w:tc>
          <w:tcPr>
            <w:tcW w:w="63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32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w:t>
            </w:r>
          </w:p>
        </w:tc>
        <w:tc>
          <w:tcPr>
            <w:tcW w:w="1360" w:type="dxa"/>
            <w:vAlign w:val="bottom"/>
            <w:gridSpan w:val="3"/>
            <w:shd w:val="clear" w:color="auto" w:fill="DBDBDB"/>
          </w:tcPr>
          <w:p>
            <w:pPr>
              <w:jc w:val="right"/>
              <w:ind w:right="150"/>
              <w:spacing w:after="0"/>
              <w:rPr>
                <w:sz w:val="20"/>
                <w:szCs w:val="20"/>
                <w:color w:val="auto"/>
              </w:rPr>
            </w:pPr>
            <w:r>
              <w:rPr>
                <w:rFonts w:ascii="Arial" w:cs="Arial" w:eastAsia="Arial" w:hAnsi="Arial"/>
                <w:sz w:val="18"/>
                <w:szCs w:val="18"/>
                <w:color w:val="auto"/>
              </w:rPr>
              <w:t>1</w:t>
            </w: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6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ind w:left="5580" w:right="740" w:hanging="5572"/>
        <w:spacing w:after="0" w:line="929"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from end customers headquartered in Germany was 13% and 10% in the first quarters of 2023 and 2022, respectively.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2022. The Consolidated Statements of Income, Comprehensive Income and Cash Flows for the periods ended March 31, 2023 and 2022, and the Consolidated Balance Sheet as of March 31, 2023,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2022. The results for the three-month periods are not necessarily indicative of a full year’s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For Three Months Ended March 31,</w:t>
            </w: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100" w:type="dxa"/>
            <w:vAlign w:val="bottom"/>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24"/>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9"/>
                <w:szCs w:val="19"/>
                <w:color w:val="auto"/>
              </w:rPr>
            </w:pPr>
          </w:p>
        </w:tc>
        <w:tc>
          <w:tcPr>
            <w:tcW w:w="9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1,708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907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6"/>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11</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7"/>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1,708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1,699</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6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Potentially dilutive securities representing 8 million and 5 million shares of common stock that were outstanding during the first quarters of 2023 and 2022, respectively, were excluded from the computation of diluted earnings per common share during these periods because their effect would have been anti-dilutive.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2"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derivative transactions have not been material. We do not use derivatives for speculative or trading purposes.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5"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The fair values of our derivative financial instruments were not material as of March 31, 2023.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March 31, 2023, the carrying value of long-term debt, including the current portion, was</w:t>
      </w:r>
    </w:p>
    <w:p>
      <w:pPr>
        <w:spacing w:after="0" w:line="2"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$10.13 billion, and the estimated fair value was $9.53 billion. The estimated fair value is measured using broker-dealer quotes, which are Level 2 inputs. See Note 4 for a description of fair value and the definition of Level 2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For Three Months Ended</w:t>
            </w:r>
          </w:p>
        </w:tc>
      </w:tr>
      <w:tr>
        <w:trPr>
          <w:trHeight w:val="203"/>
        </w:trPr>
        <w:tc>
          <w:tcPr>
            <w:tcW w:w="8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196"/>
        </w:trPr>
        <w:tc>
          <w:tcPr>
            <w:tcW w:w="844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r>
      <w:tr>
        <w:trPr>
          <w:trHeight w:val="224"/>
        </w:trPr>
        <w:tc>
          <w:tcPr>
            <w:tcW w:w="8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Taxes calculated using the estimated annual effective tax rate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276</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361</w:t>
            </w:r>
          </w:p>
        </w:tc>
      </w:tr>
      <w:tr>
        <w:trPr>
          <w:trHeight w:val="229"/>
        </w:trPr>
        <w:tc>
          <w:tcPr>
            <w:tcW w:w="84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Discrete tax items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(36)</w:t>
            </w:r>
          </w:p>
        </w:tc>
      </w:tr>
      <w:tr>
        <w:trPr>
          <w:trHeight w:val="248"/>
        </w:trPr>
        <w:tc>
          <w:tcPr>
            <w:tcW w:w="8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238</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325</w:t>
            </w:r>
          </w:p>
        </w:tc>
      </w:tr>
      <w:tr>
        <w:trPr>
          <w:trHeight w:val="20"/>
        </w:trPr>
        <w:tc>
          <w:tcPr>
            <w:tcW w:w="844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29"/>
        </w:trPr>
        <w:tc>
          <w:tcPr>
            <w:tcW w:w="8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differs from the 21% U.S. statutory corporate tax rate due to the effect of U.S. tax benefits.</w:t>
      </w:r>
    </w:p>
    <w:p>
      <w:pPr>
        <w:spacing w:after="0" w:line="225"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Money market funds, debt investments and mutual funds are stated at fair value, which is generally based on market prices or broker quotes. We classify all debt investments as available-for-sale.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Unrealized gains and losses are recorded as an increase or decrease, net of taxes, in AOCI on our Consolidated Balance Sheets, and any credit losses are recorded as an allowance for credit losses with an offset recognized in OI&amp;E in our Consolidated Statements of Income.</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Our other investments include equity-method investments and non-marketable investments, which are not measured at fair value. These investments consist of interests in venture capital funds and other non-marketable securities. Gains and losses from equity-method investments are recognized in OI&amp;E based on our ownership share of the investee’s financial results.</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Non-marketable securities are measured at cost with adjustments for observable changes in price or impairments. Gains and losses on non-marketable investments are recognized in OI&amp;E.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128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rPr>
              <w:t>Cash and Cash</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Long-Term</w:t>
            </w:r>
          </w:p>
        </w:tc>
        <w:tc>
          <w:tcPr>
            <w:tcW w:w="11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040" w:type="dxa"/>
            <w:vAlign w:val="bottom"/>
          </w:tcPr>
          <w:p>
            <w:pPr>
              <w:jc w:val="right"/>
              <w:ind w:right="133"/>
              <w:spacing w:after="0" w:line="147"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3,040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198</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1,350</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6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Non-U.S. government and agency</w:t>
            </w: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149</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148</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140" w:type="dxa"/>
            <w:vAlign w:val="bottom"/>
            <w:gridSpan w:val="2"/>
            <w:vMerge w:val="continue"/>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4,135</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5,068</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6,017</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Non-marketable investments</w:t>
            </w: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Cash on hand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6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4,477</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5,068</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6,017</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6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As of March 31, 2023, and December 31, 2022, unrealized gains and losses associated with our debt investments were not material. We did not recognize any credit losses related to debt investments for the first three months of 2023 and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available-for-sale debt investments as of March 31, 2023: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76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9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One year or less</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6,089</w:t>
            </w:r>
          </w:p>
        </w:tc>
      </w:tr>
      <w:tr>
        <w:trPr>
          <w:trHeight w:val="239"/>
        </w:trPr>
        <w:tc>
          <w:tcPr>
            <w:tcW w:w="9760" w:type="dxa"/>
            <w:vAlign w:val="bottom"/>
          </w:tcPr>
          <w:p>
            <w:pPr>
              <w:ind w:left="20"/>
              <w:spacing w:after="0"/>
              <w:rPr>
                <w:sz w:val="20"/>
                <w:szCs w:val="20"/>
                <w:color w:val="auto"/>
              </w:rPr>
            </w:pPr>
            <w:r>
              <w:rPr>
                <w:rFonts w:ascii="Arial" w:cs="Arial" w:eastAsia="Arial" w:hAnsi="Arial"/>
                <w:sz w:val="18"/>
                <w:szCs w:val="18"/>
                <w:color w:val="auto"/>
              </w:rPr>
              <w:t>One to two years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269" w:lineRule="exact"/>
        <w:rPr>
          <w:sz w:val="20"/>
          <w:szCs w:val="20"/>
          <w:color w:val="auto"/>
        </w:rPr>
      </w:pPr>
    </w:p>
    <w:p>
      <w:pPr>
        <w:jc w:val="both"/>
        <w:ind w:right="120"/>
        <w:spacing w:after="0" w:line="287" w:lineRule="auto"/>
        <w:rPr>
          <w:sz w:val="20"/>
          <w:szCs w:val="20"/>
          <w:color w:val="auto"/>
        </w:rPr>
      </w:pPr>
      <w:r>
        <w:rPr>
          <w:rFonts w:ascii="Arial" w:cs="Arial" w:eastAsia="Arial" w:hAnsi="Arial"/>
          <w:sz w:val="18"/>
          <w:szCs w:val="18"/>
          <w:color w:val="auto"/>
        </w:rPr>
        <w:t>Proceeds from sales, redemptions and maturities of short-term available-for-sale investments were $4.03 billion and $2.77 billion for the first quarters of 2023 and 2022, respectively. Gross realized gains and losses from these sales were not material.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25" w:lineRule="exact"/>
        <w:rPr>
          <w:sz w:val="20"/>
          <w:szCs w:val="20"/>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right="100" w:hanging="329"/>
        <w:spacing w:after="0" w:line="256" w:lineRule="auto"/>
        <w:tabs>
          <w:tab w:leader="none" w:pos="61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reporting date through correlation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4" w:lineRule="exact"/>
        <w:rPr>
          <w:rFonts w:ascii="Arial" w:cs="Arial" w:eastAsia="Arial" w:hAnsi="Arial"/>
          <w:sz w:val="18"/>
          <w:szCs w:val="18"/>
          <w:color w:val="auto"/>
        </w:rPr>
      </w:pPr>
    </w:p>
    <w:p>
      <w:pPr>
        <w:ind w:left="620" w:right="260" w:hanging="329"/>
        <w:spacing w:after="0" w:line="268" w:lineRule="auto"/>
        <w:tabs>
          <w:tab w:leader="none" w:pos="61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These values are generally determined using pricing models that utilize management estimates of market participant assumptions. As of March 31, 2023, and December 31, 2022, we had no Level 3 assets or liabilities.</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March 31, 2023</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6"/>
        </w:trPr>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r>
      <w:tr>
        <w:trPr>
          <w:trHeight w:val="224"/>
        </w:trPr>
        <w:tc>
          <w:tcPr>
            <w:tcW w:w="3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spacing w:after="0"/>
              <w:rPr>
                <w:sz w:val="19"/>
                <w:szCs w:val="19"/>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3,040</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3,040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1,238</w:t>
            </w:r>
          </w:p>
        </w:tc>
      </w:tr>
      <w:tr>
        <w:trPr>
          <w:trHeight w:val="229"/>
        </w:trPr>
        <w:tc>
          <w:tcPr>
            <w:tcW w:w="3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24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1,548</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1,548</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1,811</w:t>
            </w: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4,318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4,318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4,914</w:t>
            </w:r>
          </w:p>
        </w:tc>
      </w:tr>
      <w:tr>
        <w:trPr>
          <w:trHeight w:val="230"/>
        </w:trPr>
        <w:tc>
          <w:tcPr>
            <w:tcW w:w="3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Non-U.S. government and agency securities</w:t>
            </w:r>
          </w:p>
        </w:tc>
        <w:tc>
          <w:tcPr>
            <w:tcW w:w="24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297</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37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7,368</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1,845</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9,213</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6,163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8,371</w:t>
            </w: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48"/>
        </w:trPr>
        <w:tc>
          <w:tcPr>
            <w:tcW w:w="37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326</w:t>
            </w: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b w:val="1"/>
                <w:bCs w:val="1"/>
                <w:color w:val="auto"/>
              </w:rPr>
              <w:t>U.S. Defined Benefit</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U.S. Retiree Health Care</w:t>
            </w:r>
          </w:p>
        </w:tc>
        <w:tc>
          <w:tcPr>
            <w:tcW w:w="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Three Months Ended March 31,</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r>
      <w:tr>
        <w:trPr>
          <w:trHeight w:val="224"/>
        </w:trPr>
        <w:tc>
          <w:tcPr>
            <w:tcW w:w="4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780" w:type="dxa"/>
            <w:vAlign w:val="bottom"/>
            <w:shd w:val="clear" w:color="auto" w:fill="DBDBDB"/>
          </w:tcPr>
          <w:p>
            <w:pPr>
              <w:jc w:val="right"/>
              <w:ind w:right="57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jc w:val="right"/>
              <w:ind w:right="596"/>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Recognized net actuarial losses (gains)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periodic benefit costs (credits)</w:t>
            </w: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DBDBDB"/>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Settlement losses</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41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including other postretirement losses (gains)</w:t>
            </w: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780" w:type="dxa"/>
            <w:vAlign w:val="bottom"/>
            <w:tcBorders>
              <w:top w:val="single" w:sz="8" w:color="auto"/>
              <w:bottom w:val="single" w:sz="8" w:color="auto"/>
            </w:tcBorders>
            <w:shd w:val="clear" w:color="auto" w:fill="DBDBDB"/>
          </w:tcPr>
          <w:p>
            <w:pPr>
              <w:jc w:val="right"/>
              <w:ind w:right="575"/>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760" w:type="dxa"/>
            <w:vAlign w:val="bottom"/>
            <w:tcBorders>
              <w:top w:val="single" w:sz="8" w:color="auto"/>
              <w:bottom w:val="single" w:sz="8" w:color="auto"/>
            </w:tcBorders>
            <w:shd w:val="clear" w:color="auto" w:fill="DBDBDB"/>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800" w:type="dxa"/>
            <w:vAlign w:val="bottom"/>
            <w:tcBorders>
              <w:top w:val="single" w:sz="8" w:color="auto"/>
              <w:bottom w:val="single" w:sz="8" w:color="auto"/>
            </w:tcBorders>
            <w:shd w:val="clear" w:color="auto" w:fill="DBDBDB"/>
          </w:tcPr>
          <w:p>
            <w:pPr>
              <w:jc w:val="right"/>
              <w:ind w:right="5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r>
      <w:tr>
        <w:trPr>
          <w:trHeight w:val="801"/>
        </w:trPr>
        <w:tc>
          <w:tcPr>
            <w:tcW w:w="4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75"/>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1"/>
        </w:trPr>
        <w:tc>
          <w:tcPr>
            <w:tcW w:w="4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a line of credit to provide additional liquidity through bank loans and, if necessary, to support commercial paper borrowings. As of March 31, 2023, the aforementioned line of credit was a variable-rate, revolving credit facility from a consortium of investment-grade banks that allows us to borrow up to $1 billion until March 2024. The interest rate on borrowings under this credit facility, if drawn, is indexed to the applicable Term Secured Overnight Financing Rate (Term SOFR). As of March 31, 2023, our credit facility was undrawn, and we had no commercial paper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In March 2023, we issued two series of senior unsecured notes for an aggregate principal amount of $1.40 billion, consisting of $750 million of 4.90% notes due in 2033 and $650 million of 5.00% notes due in 2053. We incurred $11 million of issuance and other related costs. The proceeds of the offering were $1.40 billion, net of the original issuance discounts, which will be used for general corporate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7"/>
                <w:szCs w:val="17"/>
                <w:color w:val="auto"/>
              </w:rPr>
            </w:pPr>
          </w:p>
        </w:tc>
        <w:tc>
          <w:tcPr>
            <w:tcW w:w="1220" w:type="dxa"/>
            <w:vAlign w:val="bottom"/>
          </w:tcPr>
          <w:p>
            <w:pPr>
              <w:jc w:val="right"/>
              <w:ind w:right="152"/>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32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2023 at 2.25%</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2024 at 2.625%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2024 at 4.70%</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2025 at 1.375%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2026 at 1.125%</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2027 at 2.90%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2028 at 4.60%</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2029 at 2.25%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2030 at 1.75%</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2031 at 1.90%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2032 at 3.65%</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2033 at 4.90%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2039 at 3.875%</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2048 at 4.15%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2051 at 2.70%</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2052 at 4.10%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2053 at 5.00%</w:t>
            </w:r>
          </w:p>
        </w:tc>
        <w:tc>
          <w:tcPr>
            <w:tcW w:w="24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unamortized discounts, premiums and issuance costs</w:t>
            </w:r>
          </w:p>
        </w:tc>
        <w:tc>
          <w:tcPr>
            <w:tcW w:w="24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(74)</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debt, including net unamortized discounts, premiums and issuance costs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10,126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8,735</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9,626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8,235</w:t>
            </w: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Interest and debt expense was $68 million and $52 million for the first quarters of 2023 and 2022, respectively. This was net of the amortized discounts, premiums, issuance and other related costs. Capitalized interest was not material.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2022</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50,353</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(40,214)</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($1.24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Balance, March 31, 2023</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50,930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(40,192)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20"/>
                <w:szCs w:val="20"/>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2021</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45,919</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(36,800)</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($1.15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Balance, March 31, 2022</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47,053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3"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3"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Our stated warranties for semiconductor products obligate us to repair, replace or credit the purchase price of a covered product back to the buyer. Product claim consideration may exceed the price of our products. Historically, we have experienced a low rate of payments on product claims. Although we cannot predict the likelihood or amount of any future claims, we do not believe they will have a material adverse effect on our consolidated financial statements. We accrue for known product-related claims if a loss is probable and can be reasonably estimated. During the periods presented, there have been no material accruals or payments regarding product warranty or product liability.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consolidated financial statements.</w:t>
      </w:r>
    </w:p>
    <w:p>
      <w:pPr>
        <w:spacing w:after="0" w:line="153"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the first quarter of 2022, restructuring charges/other included $66 million of preproduction costs at our Lehi, Utah, manufacturing facility, which were included in Other for segment reporting purposes. These costs transitioned primarily to cost of revenue after production began in December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assets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7"/>
                <w:szCs w:val="17"/>
                <w:color w:val="auto"/>
              </w:rPr>
            </w:pPr>
          </w:p>
        </w:tc>
        <w:tc>
          <w:tcPr>
            <w:tcW w:w="1260" w:type="dxa"/>
            <w:vAlign w:val="bottom"/>
          </w:tcPr>
          <w:p>
            <w:pPr>
              <w:jc w:val="right"/>
              <w:ind w:right="177"/>
              <w:spacing w:after="0"/>
              <w:rPr>
                <w:sz w:val="20"/>
                <w:szCs w:val="20"/>
                <w:color w:val="auto"/>
              </w:rPr>
            </w:pPr>
            <w:r>
              <w:rPr>
                <w:rFonts w:ascii="Arial" w:cs="Arial" w:eastAsia="Arial" w:hAnsi="Arial"/>
                <w:sz w:val="14"/>
                <w:szCs w:val="14"/>
                <w:b w:val="1"/>
                <w:bCs w:val="1"/>
                <w:color w:val="auto"/>
              </w:rPr>
              <w:t>December 31,</w:t>
            </w:r>
          </w:p>
        </w:tc>
      </w:tr>
      <w:tr>
        <w:trPr>
          <w:trHeight w:val="204"/>
        </w:trPr>
        <w:tc>
          <w:tcPr>
            <w:tcW w:w="824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r>
      <w:tr>
        <w:trPr>
          <w:trHeight w:val="224"/>
        </w:trPr>
        <w:tc>
          <w:tcPr>
            <w:tcW w:w="8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CHIPS and Science Act investment tax credit</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619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8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r>
      <w:tr>
        <w:trPr>
          <w:trHeight w:val="248"/>
        </w:trPr>
        <w:tc>
          <w:tcPr>
            <w:tcW w:w="8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1,355</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1,135</w:t>
            </w:r>
          </w:p>
        </w:tc>
      </w:tr>
      <w:tr>
        <w:trPr>
          <w:trHeight w:val="20"/>
        </w:trPr>
        <w:tc>
          <w:tcPr>
            <w:tcW w:w="824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first quarters of 2023 and 2022. The table below details where these transactions are recorded in our Consolidated Statements of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20" w:type="dxa"/>
            <w:vAlign w:val="bottom"/>
          </w:tcPr>
          <w:p>
            <w:pPr>
              <w:spacing w:after="0"/>
              <w:rPr>
                <w:sz w:val="17"/>
                <w:szCs w:val="17"/>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9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March 31,</w:t>
            </w:r>
          </w:p>
        </w:tc>
        <w:tc>
          <w:tcPr>
            <w:tcW w:w="2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Impact to Related Statement of Income</w:t>
            </w:r>
          </w:p>
        </w:tc>
        <w:tc>
          <w:tcPr>
            <w:tcW w:w="0" w:type="dxa"/>
            <w:vAlign w:val="bottom"/>
          </w:tcPr>
          <w:p>
            <w:pPr>
              <w:spacing w:after="0"/>
              <w:rPr>
                <w:sz w:val="1"/>
                <w:szCs w:val="1"/>
                <w:color w:val="auto"/>
              </w:rPr>
            </w:pPr>
          </w:p>
        </w:tc>
      </w:tr>
      <w:tr>
        <w:trPr>
          <w:trHeight w:val="49"/>
        </w:trPr>
        <w:tc>
          <w:tcPr>
            <w:tcW w:w="5920" w:type="dxa"/>
            <w:vAlign w:val="bottom"/>
          </w:tcPr>
          <w:p>
            <w:pPr>
              <w:spacing w:after="0"/>
              <w:rPr>
                <w:sz w:val="4"/>
                <w:szCs w:val="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920" w:type="dxa"/>
            <w:vAlign w:val="bottom"/>
            <w:tcBorders>
              <w:bottom w:val="single" w:sz="8" w:color="DBDBDB"/>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86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Lines</w:t>
            </w:r>
          </w:p>
        </w:tc>
        <w:tc>
          <w:tcPr>
            <w:tcW w:w="0" w:type="dxa"/>
            <w:vAlign w:val="bottom"/>
          </w:tcPr>
          <w:p>
            <w:pPr>
              <w:spacing w:after="0"/>
              <w:rPr>
                <w:sz w:val="1"/>
                <w:szCs w:val="1"/>
                <w:color w:val="auto"/>
              </w:rPr>
            </w:pPr>
          </w:p>
        </w:tc>
      </w:tr>
      <w:tr>
        <w:trPr>
          <w:trHeight w:val="223"/>
        </w:trPr>
        <w:tc>
          <w:tcPr>
            <w:tcW w:w="59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actuarial losses of defined benefit plans:</w:t>
            </w:r>
          </w:p>
        </w:tc>
        <w:tc>
          <w:tcPr>
            <w:tcW w:w="78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140"/>
              <w:spacing w:after="0"/>
              <w:rPr>
                <w:sz w:val="20"/>
                <w:szCs w:val="20"/>
                <w:color w:val="auto"/>
              </w:rPr>
            </w:pPr>
            <w:r>
              <w:rPr>
                <w:rFonts w:ascii="Arial" w:cs="Arial" w:eastAsia="Arial" w:hAnsi="Arial"/>
                <w:sz w:val="18"/>
                <w:szCs w:val="18"/>
                <w:color w:val="auto"/>
              </w:rPr>
              <w:t>Recognized net actuarial loss and settlement losses (a)</w:t>
            </w:r>
          </w:p>
        </w:tc>
        <w:tc>
          <w:tcPr>
            <w:tcW w:w="780" w:type="dxa"/>
            <w:vAlign w:val="bottom"/>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100" w:type="dxa"/>
            <w:vAlign w:val="bottom"/>
          </w:tcPr>
          <w:p>
            <w:pPr>
              <w:spacing w:after="0"/>
              <w:rPr>
                <w:sz w:val="19"/>
                <w:szCs w:val="19"/>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Decrease to OI&amp;E</w:t>
            </w:r>
          </w:p>
        </w:tc>
        <w:tc>
          <w:tcPr>
            <w:tcW w:w="0" w:type="dxa"/>
            <w:vAlign w:val="bottom"/>
          </w:tcPr>
          <w:p>
            <w:pPr>
              <w:spacing w:after="0"/>
              <w:rPr>
                <w:sz w:val="1"/>
                <w:szCs w:val="1"/>
                <w:color w:val="auto"/>
              </w:rPr>
            </w:pPr>
          </w:p>
        </w:tc>
      </w:tr>
      <w:tr>
        <w:trPr>
          <w:trHeight w:val="175"/>
        </w:trPr>
        <w:tc>
          <w:tcPr>
            <w:tcW w:w="5920" w:type="dxa"/>
            <w:vAlign w:val="bottom"/>
            <w:vMerge w:val="restart"/>
            <w:shd w:val="clear" w:color="auto" w:fill="DBDBDB"/>
          </w:tcPr>
          <w:p>
            <w:pPr>
              <w:ind w:left="140"/>
              <w:spacing w:after="0"/>
              <w:rPr>
                <w:sz w:val="20"/>
                <w:szCs w:val="20"/>
                <w:color w:val="auto"/>
              </w:rPr>
            </w:pPr>
            <w:r>
              <w:rPr>
                <w:rFonts w:ascii="Arial" w:cs="Arial" w:eastAsia="Arial" w:hAnsi="Arial"/>
                <w:sz w:val="18"/>
                <w:szCs w:val="18"/>
                <w:color w:val="auto"/>
              </w:rPr>
              <w:t>Tax effect</w:t>
            </w:r>
          </w:p>
        </w:tc>
        <w:tc>
          <w:tcPr>
            <w:tcW w:w="780" w:type="dxa"/>
            <w:vAlign w:val="bottom"/>
            <w:shd w:val="clear" w:color="auto" w:fill="DBDBDB"/>
          </w:tcPr>
          <w:p>
            <w:pPr>
              <w:spacing w:after="0"/>
              <w:rPr>
                <w:sz w:val="15"/>
                <w:szCs w:val="15"/>
                <w:color w:val="auto"/>
              </w:rPr>
            </w:pPr>
          </w:p>
        </w:tc>
        <w:tc>
          <w:tcPr>
            <w:tcW w:w="340" w:type="dxa"/>
            <w:vAlign w:val="bottom"/>
            <w:vMerge w:val="restart"/>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28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DBDBDB"/>
          </w:tcPr>
          <w:p>
            <w:pPr>
              <w:spacing w:after="0"/>
              <w:rPr>
                <w:sz w:val="15"/>
                <w:szCs w:val="15"/>
                <w:color w:val="auto"/>
              </w:rPr>
            </w:pPr>
          </w:p>
        </w:tc>
        <w:tc>
          <w:tcPr>
            <w:tcW w:w="28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Decrease to provision for income</w:t>
            </w:r>
          </w:p>
        </w:tc>
        <w:tc>
          <w:tcPr>
            <w:tcW w:w="0" w:type="dxa"/>
            <w:vAlign w:val="bottom"/>
          </w:tcPr>
          <w:p>
            <w:pPr>
              <w:spacing w:after="0"/>
              <w:rPr>
                <w:sz w:val="1"/>
                <w:szCs w:val="1"/>
                <w:color w:val="auto"/>
              </w:rPr>
            </w:pPr>
          </w:p>
        </w:tc>
      </w:tr>
      <w:tr>
        <w:trPr>
          <w:trHeight w:val="243"/>
        </w:trPr>
        <w:tc>
          <w:tcPr>
            <w:tcW w:w="5920" w:type="dxa"/>
            <w:vAlign w:val="bottom"/>
            <w:vMerge w:val="continue"/>
            <w:shd w:val="clear" w:color="auto" w:fill="DBDBDB"/>
          </w:tcPr>
          <w:p>
            <w:pPr>
              <w:spacing w:after="0"/>
              <w:rPr>
                <w:sz w:val="21"/>
                <w:szCs w:val="21"/>
                <w:color w:val="auto"/>
              </w:rPr>
            </w:pPr>
          </w:p>
        </w:tc>
        <w:tc>
          <w:tcPr>
            <w:tcW w:w="780" w:type="dxa"/>
            <w:vAlign w:val="bottom"/>
            <w:tcBorders>
              <w:bottom w:val="single" w:sz="8" w:color="auto"/>
            </w:tcBorders>
            <w:shd w:val="clear" w:color="auto" w:fill="DBDBDB"/>
          </w:tcPr>
          <w:p>
            <w:pPr>
              <w:spacing w:after="0"/>
              <w:rPr>
                <w:sz w:val="21"/>
                <w:szCs w:val="21"/>
                <w:color w:val="auto"/>
              </w:rPr>
            </w:pPr>
          </w:p>
        </w:tc>
        <w:tc>
          <w:tcPr>
            <w:tcW w:w="340" w:type="dxa"/>
            <w:vAlign w:val="bottom"/>
            <w:tcBorders>
              <w:bottom w:val="single" w:sz="8" w:color="auto"/>
            </w:tcBorders>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840" w:type="dxa"/>
            <w:vAlign w:val="bottom"/>
            <w:tcBorders>
              <w:bottom w:val="single" w:sz="8" w:color="auto"/>
            </w:tcBorders>
            <w:shd w:val="clear" w:color="auto" w:fill="DBDBDB"/>
          </w:tcPr>
          <w:p>
            <w:pPr>
              <w:spacing w:after="0"/>
              <w:rPr>
                <w:sz w:val="21"/>
                <w:szCs w:val="21"/>
                <w:color w:val="auto"/>
              </w:rPr>
            </w:pPr>
          </w:p>
        </w:tc>
        <w:tc>
          <w:tcPr>
            <w:tcW w:w="280" w:type="dxa"/>
            <w:vAlign w:val="bottom"/>
            <w:tcBorders>
              <w:bottom w:val="single" w:sz="8" w:color="auto"/>
            </w:tcBorders>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23"/>
        </w:trPr>
        <w:tc>
          <w:tcPr>
            <w:tcW w:w="5920" w:type="dxa"/>
            <w:vAlign w:val="bottom"/>
          </w:tcPr>
          <w:p>
            <w:pPr>
              <w:ind w:left="140"/>
              <w:spacing w:after="0"/>
              <w:rPr>
                <w:sz w:val="20"/>
                <w:szCs w:val="20"/>
                <w:color w:val="auto"/>
              </w:rPr>
            </w:pPr>
            <w:r>
              <w:rPr>
                <w:rFonts w:ascii="Arial" w:cs="Arial" w:eastAsia="Arial" w:hAnsi="Arial"/>
                <w:sz w:val="18"/>
                <w:szCs w:val="18"/>
                <w:color w:val="auto"/>
              </w:rPr>
              <w:t>Recognized within net income, net of taxes</w:t>
            </w:r>
          </w:p>
        </w:tc>
        <w:tc>
          <w:tcPr>
            <w:tcW w:w="78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Decrease to net income</w:t>
            </w: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 Detailed in Note 5</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2023, 3 million shares were issued from treasury related to stock compensation.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Technology is the foundation of our company, but ultimately, our objective and the best metric for owners to measure our progress is through the growth of free cash flow per share over the long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long-term free cash flow per share growth has three elements:</w:t>
      </w:r>
    </w:p>
    <w:p>
      <w:pPr>
        <w:spacing w:after="0" w:line="225" w:lineRule="exact"/>
        <w:rPr>
          <w:sz w:val="20"/>
          <w:szCs w:val="20"/>
          <w:color w:val="auto"/>
        </w:rPr>
      </w:pPr>
    </w:p>
    <w:p>
      <w:pPr>
        <w:ind w:left="660" w:right="140" w:hanging="328"/>
        <w:spacing w:after="0" w:line="287"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44"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1300" w:right="20" w:hanging="320"/>
        <w:spacing w:after="0" w:line="287" w:lineRule="auto"/>
        <w:tabs>
          <w:tab w:leader="none" w:pos="129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44" w:lineRule="exact"/>
        <w:rPr>
          <w:rFonts w:ascii="Arial" w:cs="Arial" w:eastAsia="Arial" w:hAnsi="Arial"/>
          <w:sz w:val="18"/>
          <w:szCs w:val="18"/>
          <w:color w:val="auto"/>
        </w:rPr>
      </w:pPr>
    </w:p>
    <w:p>
      <w:pPr>
        <w:jc w:val="both"/>
        <w:ind w:left="1300" w:right="440" w:hanging="320"/>
        <w:spacing w:after="0" w:line="318" w:lineRule="auto"/>
        <w:tabs>
          <w:tab w:leader="none" w:pos="1294"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21" w:lineRule="exact"/>
        <w:rPr>
          <w:rFonts w:ascii="Arial" w:cs="Arial" w:eastAsia="Arial" w:hAnsi="Arial"/>
          <w:sz w:val="17"/>
          <w:szCs w:val="17"/>
          <w:color w:val="auto"/>
        </w:rPr>
      </w:pPr>
    </w:p>
    <w:p>
      <w:pPr>
        <w:ind w:left="1300" w:right="20" w:hanging="320"/>
        <w:spacing w:after="0" w:line="287" w:lineRule="auto"/>
        <w:tabs>
          <w:tab w:leader="none" w:pos="127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45" w:lineRule="exact"/>
        <w:rPr>
          <w:sz w:val="20"/>
          <w:szCs w:val="20"/>
          <w:color w:val="auto"/>
        </w:rPr>
      </w:pPr>
    </w:p>
    <w:p>
      <w:pPr>
        <w:ind w:left="660" w:right="20"/>
        <w:spacing w:after="0" w:line="268" w:lineRule="auto"/>
        <w:rPr>
          <w:sz w:val="20"/>
          <w:szCs w:val="20"/>
          <w:color w:val="auto"/>
        </w:rPr>
      </w:pPr>
      <w:r>
        <w:rPr>
          <w:rFonts w:ascii="Arial" w:cs="Arial" w:eastAsia="Arial" w:hAnsi="Arial"/>
          <w:sz w:val="18"/>
          <w:szCs w:val="18"/>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63" w:lineRule="exact"/>
        <w:rPr>
          <w:sz w:val="20"/>
          <w:szCs w:val="20"/>
          <w:color w:val="auto"/>
        </w:rPr>
      </w:pPr>
    </w:p>
    <w:p>
      <w:pPr>
        <w:ind w:left="660" w:right="660" w:hanging="328"/>
        <w:spacing w:after="0" w:line="287"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like TI.com, invest in new manufacturing capacity or how we think about acquisitions and returning cash to our owners.</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7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53" w:lineRule="exact"/>
        <w:rPr>
          <w:sz w:val="20"/>
          <w:szCs w:val="20"/>
          <w:color w:val="auto"/>
        </w:rPr>
      </w:pPr>
    </w:p>
    <w:p>
      <w:pPr>
        <w:ind w:left="620" w:hanging="329"/>
        <w:spacing w:after="0" w:line="268" w:lineRule="auto"/>
        <w:tabs>
          <w:tab w:leader="none" w:pos="6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240" w:hanging="320"/>
        <w:spacing w:after="0" w:line="28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44" w:lineRule="exact"/>
        <w:rPr>
          <w:rFonts w:ascii="Arial" w:cs="Arial" w:eastAsia="Arial" w:hAnsi="Arial"/>
          <w:sz w:val="18"/>
          <w:szCs w:val="18"/>
          <w:color w:val="auto"/>
        </w:rPr>
      </w:pPr>
    </w:p>
    <w:p>
      <w:pPr>
        <w:ind w:left="1300" w:right="480" w:hanging="320"/>
        <w:spacing w:after="0" w:line="28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44" w:lineRule="exact"/>
        <w:rPr>
          <w:rFonts w:ascii="Arial" w:cs="Arial" w:eastAsia="Arial" w:hAnsi="Arial"/>
          <w:sz w:val="18"/>
          <w:szCs w:val="18"/>
          <w:color w:val="auto"/>
        </w:rPr>
      </w:pPr>
    </w:p>
    <w:p>
      <w:pPr>
        <w:ind w:left="1300" w:right="740" w:hanging="320"/>
        <w:spacing w:after="0" w:line="28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p>
      <w:pPr>
        <w:ind w:left="1300" w:right="480" w:hanging="320"/>
        <w:spacing w:after="0" w:line="262"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68"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an explanation of free cash flow, see the Non-GAAP financial information section.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first quarter revenue was $4.38 billion, net income was $1.71 billion and earnings per share (EPS) were $1.85.</w:t>
      </w:r>
    </w:p>
    <w:p>
      <w:pPr>
        <w:spacing w:after="0" w:line="22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Revenue decreased 6% sequentially and decreased 11% from the same quarter a year ago. During the quarter we experienced weakness across our end markets with the exception of automotive, as expected.</w:t>
      </w:r>
    </w:p>
    <w:p>
      <w:pPr>
        <w:spacing w:after="0" w:line="15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cash flow from operations of $7.7 billion for the trailing 12 months again underscored the strength of our business model. Free cash flow for the same period was $4.4 billion and 23% of revenue. This reflects the quality of our product portfolio, as well as the efficiency of our manufacturing strategy, including the benefit of 300-mm production.</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Over the past 12 months we invested $3.5 billion in R&amp;D and SG&amp;A, invested $3.3 billion in capital expenditures and returned $7.5 billion to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quarter 2023 compared with first quarter 2022</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Revenue of $4.38 billion decreased $526 million, or 11%, primarily due to lower revenue from Analog, partially offset by higher revenue from Embedded Processing.</w:t>
      </w:r>
    </w:p>
    <w:p>
      <w:pPr>
        <w:spacing w:after="0" w:line="15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Gross profit of $2.86 billion was down $579 million, or 17%, due to lower revenue and higher manufacturing costs. As a percentage of revenue, gross profit decreased to 65.4% from 70.2%.</w:t>
      </w:r>
    </w:p>
    <w:p>
      <w:pPr>
        <w:spacing w:after="0" w:line="15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Operating expenses (R&amp;D and SG&amp;A) were $929 million compared with $813 million. This increase was due to higher employee-related costs as we invest to strengthen our competitive advantages.</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Restructuring charges/other in the year-ago period was $66 million due to preproduction costs at our Lehi, Utah, manufacturing facility. These costs transitioned primarily to cost of revenue after production began in December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$1.93 billion, or 44.2% of revenue, compared with $2.56 billion, or 52.3%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$80 million of income compared with $15 million of income, due to higher interest income.</w:t>
      </w:r>
    </w:p>
    <w:p>
      <w:pPr>
        <w:spacing w:after="0" w:line="22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Interest and debt expense of $68 million increased $16 million due to the issuance of additional long-term debt. See Note 6 to the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Our provision for income taxes was $238 million compared with $325 million. This decrease was due to lower income before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$1.71 billion compared with $2.20 billion. EPS was $1.85 compared with $2.35.</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First quarter 2023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2023</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2022</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3,289</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3,816</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1,574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47.9 %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56.3 %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Analog revenue decreased in both product lines, led by Power. Operating profit decreased primarily due to lower revenue and associated gross profit.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2023</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2022</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832</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782</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237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28.5 %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40.3 %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color w:val="auto"/>
        </w:rPr>
        <w:t>Embedded Processing revenue increased due to the mix of products shipped. Operating profit decreased primarily due to higher manufacturing costs, partially offset by higher revenue.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0"/>
          <w:szCs w:val="10"/>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2023</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2022</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258</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47.7 %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31.9 %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 Includes restructuring charges/other</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$49 million, and operating profit increased $25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At the end of the first quarter of 2023, total cash (cash and cash equivalents plus short-term investments) was $9.55 billion, an increase of $478 million from the end of 2022.</w:t>
      </w:r>
    </w:p>
    <w:p>
      <w:pPr>
        <w:spacing w:after="0" w:line="15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Accounts receivable were $1.88 billion, a decrease of $18 million compared with the end of 2022. Days sales outstanding for the first quarter of 2023 were 39 compared with 37 at the end of 2022.</w:t>
      </w:r>
    </w:p>
    <w:p>
      <w:pPr>
        <w:spacing w:after="0" w:line="153"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Inventory was $3.29 billion, an increase of $531 million from the end of 2022. Days of inventory for the first quarter of 2023 were 195 compared with 157 at the end of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access to debt markets. We also have a variable-rate, revolving credit facility. As of March 31, 2023, our credit facility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undrawn, and we had no commercial paper outstanding. Cash flows from operating activities for the first three months of 2023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$1.16 billion, a decrease of $984 million from the year-ago period due to lower net income and higher cash used for working capital, as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continued to strategically build inventory.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7" w:name="page18"/>
    <w:bookmarkEnd w:id="17"/>
    <w:p>
      <w:pPr>
        <w:ind w:right="160"/>
        <w:spacing w:after="0" w:line="262" w:lineRule="auto"/>
        <w:rPr>
          <w:sz w:val="20"/>
          <w:szCs w:val="20"/>
          <w:color w:val="auto"/>
        </w:rPr>
      </w:pPr>
      <w:r>
        <w:rPr>
          <w:rFonts w:ascii="Arial" w:cs="Arial" w:eastAsia="Arial" w:hAnsi="Arial"/>
          <w:sz w:val="18"/>
          <w:szCs w:val="18"/>
          <w:color w:val="auto"/>
        </w:rPr>
        <w:t>Investing activities for the first three months of 2023 provided $28 million compared with $ 1.67 billion of cash used in the year-ago period. Capital expenditures were $982 million compared with $443 million in the year-ago period and were primarily for semiconductor manufacturing equipment and facilities in both periods. Short-term investments provided cash of $1.01 billion compared with $1.21 billion of cash used in the year-ago period.</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we continue to invest to strengthen our competitive advantage in manufacturing and technology as part of our long-term capacity planning, our capital expenditures are expected to be higher than historical levels. In August 2022, the U.S. government enacted the U.S. CHIPS and Science Act, which provides funding for manufacturing grants and research investments and establishes a 25% investment tax credit for certain investments in U.S. semiconductor manufacturing. We expect to receive the cash benefit associated with the investment tax credit for qualifying capital expenditures in future periods.</w:t>
      </w:r>
    </w:p>
    <w:p>
      <w:pPr>
        <w:spacing w:after="0" w:line="17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Financing activities for the first three months of 2023 provided $239 million compared with $1.60 billion of cash used in the year-ago period. In 2023, we received net proceeds of $1.40 billion from the issuance of fixed-rate, long-term debt. Dividends paid were $1.13 billion compared with $1.06 billion in the year-ago period, reflecting an increased dividend rate, partially offset by fewer shares outstanding. We used $103 million to repurchase 0.6 million shares of our common stock compared with $589 million used in the year-ago period to repurchase 3.4 million shares. Employee exercises of stock options provided cash proceeds of $85 million compared with $57 million in the year-ago period.</w:t>
      </w:r>
    </w:p>
    <w:p>
      <w:pPr>
        <w:spacing w:after="0" w:line="18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had $4.48 billion of cash and cash equivalents and $5.07 billion of short-term investments as of March 31, 2023. We believe we have the necessary financial resources and operating plans to fund our working capital needs, capital expenditures, dividend and debt-related payments, and other business requirements for at least the next 12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7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For 12 Months Ended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7"/>
        </w:trPr>
        <w:tc>
          <w:tcPr>
            <w:tcW w:w="70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7,736</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9,050</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(3,336)</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(2,597)</w:t>
            </w:r>
          </w:p>
        </w:tc>
        <w:tc>
          <w:tcPr>
            <w:tcW w:w="120" w:type="dxa"/>
            <w:vAlign w:val="bottom"/>
            <w:tcBorders>
              <w:bottom w:val="single" w:sz="8" w:color="DBDBDB"/>
            </w:tcBorders>
          </w:tcPr>
          <w:p>
            <w:pPr>
              <w:spacing w:after="0"/>
              <w:rPr>
                <w:sz w:val="19"/>
                <w:szCs w:val="19"/>
                <w:color w:val="auto"/>
              </w:rPr>
            </w:pPr>
          </w:p>
        </w:tc>
        <w:tc>
          <w:tcPr>
            <w:tcW w:w="1320" w:type="dxa"/>
            <w:vAlign w:val="bottom"/>
            <w:tcBorders>
              <w:bottom w:val="single" w:sz="8" w:color="DBDBDB"/>
            </w:tcBorders>
          </w:tcPr>
          <w:p>
            <w:pPr>
              <w:spacing w:after="0"/>
              <w:rPr>
                <w:sz w:val="19"/>
                <w:szCs w:val="19"/>
                <w:color w:val="auto"/>
              </w:rPr>
            </w:pPr>
          </w:p>
        </w:tc>
      </w:tr>
      <w:tr>
        <w:trPr>
          <w:trHeight w:val="248"/>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4,400</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ind w:right="133"/>
              <w:spacing w:after="0"/>
              <w:rPr>
                <w:sz w:val="20"/>
                <w:szCs w:val="20"/>
                <w:color w:val="auto"/>
              </w:rPr>
            </w:pPr>
            <w:r>
              <w:rPr>
                <w:rFonts w:ascii="Arial" w:cs="Arial" w:eastAsia="Arial" w:hAnsi="Arial"/>
                <w:sz w:val="18"/>
                <w:szCs w:val="18"/>
                <w:color w:val="auto"/>
              </w:rPr>
              <w:t>6,453</w:t>
            </w:r>
          </w:p>
        </w:tc>
        <w:tc>
          <w:tcPr>
            <w:tcW w:w="14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55"/>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19,502</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ind w:right="133"/>
              <w:spacing w:after="0"/>
              <w:rPr>
                <w:sz w:val="20"/>
                <w:szCs w:val="20"/>
                <w:color w:val="auto"/>
              </w:rPr>
            </w:pPr>
            <w:r>
              <w:rPr>
                <w:rFonts w:ascii="Arial" w:cs="Arial" w:eastAsia="Arial" w:hAnsi="Arial"/>
                <w:sz w:val="18"/>
                <w:szCs w:val="18"/>
                <w:color w:val="auto"/>
              </w:rPr>
              <w:t>18,960</w:t>
            </w:r>
          </w:p>
        </w:tc>
        <w:tc>
          <w:tcPr>
            <w:tcW w:w="12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spacing w:after="0"/>
              <w:rPr>
                <w:sz w:val="21"/>
                <w:szCs w:val="21"/>
                <w:color w:val="auto"/>
              </w:rPr>
            </w:pP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29"/>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39.7 %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47.7 %</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22.6 %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34.0 %</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0" w:right="5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2022, and is incorporated by reference 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ectPr>
          <w:pgSz w:w="11900" w:h="16838" w:orient="portrait"/>
          <w:cols w:equalWidth="0" w:num="1">
            <w:col w:w="11220"/>
          </w:cols>
          <w:pgMar w:left="320" w:top="890" w:right="359" w:bottom="1440" w:gutter="0" w:footer="0" w:header="0"/>
        </w:sectPr>
      </w:pP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jc w:val="center"/>
              <w:ind w:left="88"/>
              <w:spacing w:after="0"/>
              <w:rPr>
                <w:sz w:val="20"/>
                <w:szCs w:val="20"/>
                <w:color w:val="auto"/>
              </w:rPr>
            </w:pPr>
            <w:r>
              <w:rPr>
                <w:rFonts w:ascii="Arial" w:cs="Arial" w:eastAsia="Arial" w:hAnsi="Arial"/>
                <w:sz w:val="14"/>
                <w:szCs w:val="14"/>
                <w:b w:val="1"/>
                <w:bCs w:val="1"/>
                <w:color w:val="auto"/>
              </w:rPr>
              <w:t>Total Number of Shares</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jc w:val="center"/>
              <w:ind w:left="88"/>
              <w:spacing w:after="0"/>
              <w:rPr>
                <w:sz w:val="20"/>
                <w:szCs w:val="20"/>
                <w:color w:val="auto"/>
              </w:rPr>
            </w:pPr>
            <w:r>
              <w:rPr>
                <w:rFonts w:ascii="Arial" w:cs="Arial" w:eastAsia="Arial" w:hAnsi="Arial"/>
                <w:sz w:val="14"/>
                <w:szCs w:val="14"/>
                <w:b w:val="1"/>
                <w:bCs w:val="1"/>
                <w:color w:val="auto"/>
              </w:rPr>
              <w:t>Purchased as Part of</w:t>
            </w:r>
          </w:p>
        </w:tc>
        <w:tc>
          <w:tcPr>
            <w:tcW w:w="0" w:type="dxa"/>
            <w:vAlign w:val="bottom"/>
          </w:tcPr>
          <w:p>
            <w:pPr>
              <w:spacing w:after="0"/>
              <w:rPr>
                <w:sz w:val="1"/>
                <w:szCs w:val="1"/>
                <w:color w:val="auto"/>
              </w:rPr>
            </w:pPr>
          </w:p>
        </w:tc>
      </w:tr>
      <w:tr>
        <w:trPr>
          <w:trHeight w:val="185"/>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Total Number of Shares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Average Price</w:t>
            </w: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Publicly Announced</w:t>
            </w:r>
          </w:p>
        </w:tc>
        <w:tc>
          <w:tcPr>
            <w:tcW w:w="0" w:type="dxa"/>
            <w:vAlign w:val="bottom"/>
          </w:tcPr>
          <w:p>
            <w:pPr>
              <w:spacing w:after="0"/>
              <w:rPr>
                <w:sz w:val="1"/>
                <w:szCs w:val="1"/>
                <w:color w:val="auto"/>
              </w:rPr>
            </w:pPr>
          </w:p>
        </w:tc>
      </w:tr>
      <w:tr>
        <w:trPr>
          <w:trHeight w:val="189"/>
        </w:trPr>
        <w:tc>
          <w:tcPr>
            <w:tcW w:w="2340" w:type="dxa"/>
            <w:vAlign w:val="bottom"/>
            <w:vMerge w:val="continue"/>
          </w:tcPr>
          <w:p>
            <w:pPr>
              <w:spacing w:after="0"/>
              <w:rPr>
                <w:sz w:val="16"/>
                <w:szCs w:val="16"/>
                <w:color w:val="auto"/>
              </w:rPr>
            </w:pP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Purchased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Paid per Share</w:t>
            </w: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Plans or Programs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Approximate Dollar Value</w:t>
      </w:r>
    </w:p>
    <w:p>
      <w:pPr>
        <w:spacing w:after="0" w:line="2" w:lineRule="exact"/>
        <w:rPr>
          <w:sz w:val="20"/>
          <w:szCs w:val="20"/>
          <w:color w:val="auto"/>
        </w:rPr>
      </w:pPr>
    </w:p>
    <w:p>
      <w:pPr>
        <w:ind w:right="20" w:firstLine="56"/>
        <w:spacing w:after="0" w:line="211" w:lineRule="auto"/>
        <w:rPr>
          <w:sz w:val="20"/>
          <w:szCs w:val="20"/>
          <w:color w:val="auto"/>
        </w:rPr>
      </w:pPr>
      <w:r>
        <w:rPr>
          <w:rFonts w:ascii="Arial" w:cs="Arial" w:eastAsia="Arial" w:hAnsi="Arial"/>
          <w:sz w:val="14"/>
          <w:szCs w:val="14"/>
          <w:b w:val="1"/>
          <w:bCs w:val="1"/>
          <w:color w:val="auto"/>
        </w:rPr>
        <w:t>of Shares that May Yet Be Purchased Under the Plans</w:t>
      </w:r>
    </w:p>
    <w:p>
      <w:pPr>
        <w:ind w:left="400"/>
        <w:spacing w:after="0"/>
        <w:rPr>
          <w:sz w:val="20"/>
          <w:szCs w:val="20"/>
          <w:color w:val="auto"/>
        </w:rPr>
      </w:pPr>
      <w:r>
        <w:rPr>
          <w:rFonts w:ascii="Arial" w:cs="Arial" w:eastAsia="Arial" w:hAnsi="Arial"/>
          <w:sz w:val="14"/>
          <w:szCs w:val="14"/>
          <w:b w:val="1"/>
          <w:bCs w:val="1"/>
          <w:color w:val="auto"/>
        </w:rPr>
        <w:t>or Programs (a)</w:t>
      </w:r>
    </w:p>
    <w:p>
      <w:pPr>
        <w:spacing w:after="0" w:line="24" w:lineRule="exact"/>
        <w:rPr>
          <w:sz w:val="20"/>
          <w:szCs w:val="20"/>
          <w:color w:val="auto"/>
        </w:rPr>
      </w:pPr>
    </w:p>
    <w:p>
      <w:pPr>
        <w:sectPr>
          <w:pgSz w:w="11900" w:h="16838" w:orient="portrait"/>
          <w:cols w:equalWidth="0" w:num="2">
            <w:col w:w="9120" w:space="200"/>
            <w:col w:w="1900"/>
          </w:cols>
          <w:pgMar w:left="320" w:top="890" w:right="359" w:bottom="1440" w:gutter="0" w:footer="0" w:header="0"/>
          <w:type w:val="continuous"/>
        </w:sectPr>
      </w:pPr>
    </w:p>
    <w:tbl>
      <w:tblPr>
        <w:tblLayout w:type="fixed"/>
        <w:tblInd w:w="20" w:type="dxa"/>
        <w:tblCellMar>
          <w:top w:w="0" w:type="dxa"/>
          <w:left w:w="0" w:type="dxa"/>
          <w:bottom w:w="0" w:type="dxa"/>
          <w:right w:w="0" w:type="dxa"/>
        </w:tblCellMar>
      </w:tblPr>
      <w:tr>
        <w:trPr>
          <w:trHeight w:val="223"/>
        </w:trPr>
        <w:tc>
          <w:tcPr>
            <w:tcW w:w="41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January 1, 2023 through January 31, 2023</w:t>
            </w:r>
          </w:p>
        </w:tc>
        <w:tc>
          <w:tcPr>
            <w:tcW w:w="120" w:type="dxa"/>
            <w:vAlign w:val="bottom"/>
            <w:tcBorders>
              <w:top w:val="single" w:sz="8" w:color="DBDBDB"/>
            </w:tcBorders>
            <w:shd w:val="clear" w:color="auto" w:fill="DBDBDB"/>
          </w:tcPr>
          <w:p>
            <w:pPr>
              <w:spacing w:after="0"/>
              <w:rPr>
                <w:sz w:val="19"/>
                <w:szCs w:val="19"/>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366,522</w:t>
            </w:r>
          </w:p>
        </w:tc>
        <w:tc>
          <w:tcPr>
            <w:tcW w:w="4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171.41</w:t>
            </w:r>
          </w:p>
        </w:tc>
        <w:tc>
          <w:tcPr>
            <w:tcW w:w="4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720" w:type="dxa"/>
            <w:vAlign w:val="bottom"/>
            <w:tcBorders>
              <w:top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123,710</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21.46</w:t>
            </w:r>
          </w:p>
        </w:tc>
        <w:tc>
          <w:tcPr>
            <w:tcW w:w="1080" w:type="dxa"/>
            <w:vAlign w:val="bottom"/>
            <w:tcBorders>
              <w:top w:val="single" w:sz="8" w:color="auto"/>
            </w:tcBorders>
            <w:shd w:val="clear" w:color="auto" w:fill="DBDBDB"/>
          </w:tcPr>
          <w:p>
            <w:pPr>
              <w:ind w:left="60"/>
              <w:spacing w:after="0"/>
              <w:rPr>
                <w:sz w:val="20"/>
                <w:szCs w:val="20"/>
                <w:color w:val="auto"/>
              </w:rPr>
            </w:pPr>
            <w:r>
              <w:rPr>
                <w:rFonts w:ascii="Arial" w:cs="Arial" w:eastAsia="Arial" w:hAnsi="Arial"/>
                <w:sz w:val="18"/>
                <w:szCs w:val="18"/>
                <w:color w:val="auto"/>
              </w:rPr>
              <w:t>billion</w:t>
            </w: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February 1, 2023 through February 28, 2023</w:t>
            </w:r>
          </w:p>
        </w:tc>
        <w:tc>
          <w:tcPr>
            <w:tcW w:w="1280" w:type="dxa"/>
            <w:vAlign w:val="bottom"/>
          </w:tcPr>
          <w:p>
            <w:pPr>
              <w:jc w:val="right"/>
              <w:spacing w:after="0"/>
              <w:rPr>
                <w:sz w:val="20"/>
                <w:szCs w:val="20"/>
                <w:color w:val="auto"/>
              </w:rPr>
            </w:pPr>
            <w:r>
              <w:rPr>
                <w:rFonts w:ascii="Arial" w:cs="Arial" w:eastAsia="Arial" w:hAnsi="Arial"/>
                <w:sz w:val="18"/>
                <w:szCs w:val="18"/>
                <w:color w:val="auto"/>
              </w:rPr>
              <w:t>207,615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175.32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207,615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21.42</w:t>
            </w:r>
          </w:p>
        </w:tc>
        <w:tc>
          <w:tcPr>
            <w:tcW w:w="1080" w:type="dxa"/>
            <w:vAlign w:val="bottom"/>
          </w:tcPr>
          <w:p>
            <w:pPr>
              <w:ind w:left="60"/>
              <w:spacing w:after="0"/>
              <w:rPr>
                <w:sz w:val="20"/>
                <w:szCs w:val="20"/>
                <w:color w:val="auto"/>
              </w:rPr>
            </w:pPr>
            <w:r>
              <w:rPr>
                <w:rFonts w:ascii="Arial" w:cs="Arial" w:eastAsia="Arial" w:hAnsi="Arial"/>
                <w:sz w:val="18"/>
                <w:szCs w:val="18"/>
                <w:color w:val="auto"/>
              </w:rPr>
              <w:t>billion</w:t>
            </w:r>
          </w:p>
        </w:tc>
      </w:tr>
      <w:tr>
        <w:trPr>
          <w:trHeight w:val="229"/>
        </w:trPr>
        <w:tc>
          <w:tcPr>
            <w:tcW w:w="4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March 1, 2023 through March 31, 2023</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221,555</w:t>
            </w:r>
          </w:p>
        </w:tc>
        <w:tc>
          <w:tcPr>
            <w:tcW w:w="42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176.47</w:t>
            </w:r>
          </w:p>
        </w:tc>
        <w:tc>
          <w:tcPr>
            <w:tcW w:w="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221,555</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21.38</w:t>
            </w:r>
          </w:p>
        </w:tc>
        <w:tc>
          <w:tcPr>
            <w:tcW w:w="1080" w:type="dxa"/>
            <w:vAlign w:val="bottom"/>
            <w:shd w:val="clear" w:color="auto" w:fill="DBDBDB"/>
          </w:tcPr>
          <w:p>
            <w:pPr>
              <w:ind w:left="60"/>
              <w:spacing w:after="0"/>
              <w:rPr>
                <w:sz w:val="20"/>
                <w:szCs w:val="20"/>
                <w:color w:val="auto"/>
              </w:rPr>
            </w:pPr>
            <w:r>
              <w:rPr>
                <w:rFonts w:ascii="Arial" w:cs="Arial" w:eastAsia="Arial" w:hAnsi="Arial"/>
                <w:sz w:val="18"/>
                <w:szCs w:val="18"/>
                <w:color w:val="auto"/>
              </w:rPr>
              <w:t>billion</w:t>
            </w:r>
          </w:p>
        </w:tc>
      </w:tr>
      <w:tr>
        <w:trPr>
          <w:trHeight w:val="22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795,692</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173.84</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17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552,880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21.38</w:t>
            </w:r>
          </w:p>
        </w:tc>
        <w:tc>
          <w:tcPr>
            <w:tcW w:w="1080" w:type="dxa"/>
            <w:vAlign w:val="bottom"/>
          </w:tcPr>
          <w:p>
            <w:pPr>
              <w:ind w:left="60"/>
              <w:spacing w:after="0"/>
              <w:rPr>
                <w:sz w:val="20"/>
                <w:szCs w:val="20"/>
                <w:color w:val="auto"/>
              </w:rPr>
            </w:pPr>
            <w:r>
              <w:rPr>
                <w:rFonts w:ascii="Arial" w:cs="Arial" w:eastAsia="Arial" w:hAnsi="Arial"/>
                <w:sz w:val="18"/>
                <w:szCs w:val="18"/>
                <w:color w:val="auto"/>
              </w:rPr>
              <w:t>billion (c)</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19" w:lineRule="exact"/>
        <w:rPr>
          <w:sz w:val="20"/>
          <w:szCs w:val="20"/>
          <w:color w:val="auto"/>
        </w:rPr>
      </w:pPr>
    </w:p>
    <w:p>
      <w:pPr>
        <w:ind w:left="340" w:right="40" w:hanging="332"/>
        <w:spacing w:after="0" w:line="318" w:lineRule="auto"/>
        <w:tabs>
          <w:tab w:leader="none" w:pos="33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open-market purchases during the quarter were made under the authorizations from our board of directors to purchase up to $12.0 billion and $15.0 billion of additional shares of TI common stock announced September 20, 2018, and September 15, 2022, respectively.</w:t>
      </w:r>
    </w:p>
    <w:p>
      <w:pPr>
        <w:spacing w:after="0" w:line="156" w:lineRule="exact"/>
        <w:rPr>
          <w:rFonts w:ascii="Arial" w:cs="Arial" w:eastAsia="Arial" w:hAnsi="Arial"/>
          <w:sz w:val="17"/>
          <w:szCs w:val="17"/>
          <w:color w:val="auto"/>
        </w:rPr>
      </w:pPr>
    </w:p>
    <w:p>
      <w:pPr>
        <w:ind w:left="340" w:right="560" w:hanging="332"/>
        <w:spacing w:after="0" w:line="287" w:lineRule="auto"/>
        <w:tabs>
          <w:tab w:leader="none" w:pos="3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addition to open-market purchases, 242,812 shares of common stock were surrendered by employees to satisfy tax withholding obligations in connection with the vesting of restricted stock units.</w:t>
      </w:r>
    </w:p>
    <w:p>
      <w:pPr>
        <w:spacing w:after="0" w:line="179" w:lineRule="exact"/>
        <w:rPr>
          <w:rFonts w:ascii="Arial" w:cs="Arial" w:eastAsia="Arial" w:hAnsi="Arial"/>
          <w:sz w:val="18"/>
          <w:szCs w:val="18"/>
          <w:color w:val="auto"/>
        </w:rPr>
      </w:pPr>
    </w:p>
    <w:p>
      <w:pPr>
        <w:ind w:left="340" w:right="280" w:hanging="332"/>
        <w:spacing w:after="0" w:line="287"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March 31, 2023, this amount consisted of the remaining portion of the $12.0 billion authorized in September 2018 and the $15.0 billion authorized in September 2022. No expiration date has been specified for these authorizations.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20" w:name="page21"/>
    <w:bookmarkEnd w:id="20"/>
    <w:p>
      <w:pPr>
        <w:spacing w:after="0" w:line="199" w:lineRule="auto"/>
        <w:framePr w:w="1460" w:h="163" w:wrap="auto" w:vAnchor="page" w:hAnchor="page" w:x="280" w:y="909"/>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175"/>
        </w:trPr>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Designation of Exhibits in</w:t>
            </w: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This Report</w:t>
            </w:r>
          </w:p>
        </w:tc>
        <w:tc>
          <w:tcPr>
            <w:tcW w:w="9380" w:type="dxa"/>
            <w:vAlign w:val="bottom"/>
            <w:gridSpan w:val="19"/>
          </w:tcPr>
          <w:p>
            <w:pPr>
              <w:ind w:left="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10"/>
        </w:trPr>
        <w:tc>
          <w:tcPr>
            <w:tcW w:w="186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3(a)</w:t>
            </w:r>
          </w:p>
        </w:tc>
        <w:tc>
          <w:tcPr>
            <w:tcW w:w="60" w:type="dxa"/>
            <w:vAlign w:val="bottom"/>
            <w:shd w:val="clear" w:color="auto" w:fill="DBDBDB"/>
          </w:tcPr>
          <w:p>
            <w:pPr>
              <w:spacing w:after="0"/>
              <w:rPr>
                <w:sz w:val="18"/>
                <w:szCs w:val="18"/>
                <w:color w:val="auto"/>
              </w:rPr>
            </w:pPr>
          </w:p>
        </w:tc>
        <w:tc>
          <w:tcPr>
            <w:tcW w:w="9320" w:type="dxa"/>
            <w:vAlign w:val="bottom"/>
            <w:gridSpan w:val="18"/>
            <w:shd w:val="clear" w:color="auto" w:fill="DBDBDB"/>
          </w:tcPr>
          <w:p>
            <w:pPr>
              <w:spacing w:after="0"/>
              <w:rPr>
                <w:rFonts w:ascii="Arial" w:cs="Arial" w:eastAsia="Arial" w:hAnsi="Arial"/>
                <w:sz w:val="18"/>
                <w:szCs w:val="18"/>
                <w:color w:val="0000FF"/>
              </w:rPr>
            </w:pPr>
            <w:hyperlink r:id="rId37">
              <w:r>
                <w:rPr>
                  <w:rFonts w:ascii="Arial" w:cs="Arial" w:eastAsia="Arial" w:hAnsi="Arial"/>
                  <w:sz w:val="18"/>
                  <w:szCs w:val="18"/>
                  <w:color w:val="0000FF"/>
                </w:rPr>
                <w:t>Restated Certificate of Incorporation of the Registrant, dated April 18, 1985, as amended (incorporated by reference</w:t>
              </w:r>
            </w:hyperlink>
          </w:p>
        </w:tc>
        <w:tc>
          <w:tcPr>
            <w:tcW w:w="0" w:type="dxa"/>
            <w:vAlign w:val="bottom"/>
          </w:tcPr>
          <w:p>
            <w:pPr>
              <w:spacing w:after="0"/>
              <w:rPr>
                <w:sz w:val="1"/>
                <w:szCs w:val="1"/>
                <w:color w:val="auto"/>
              </w:rPr>
            </w:pPr>
          </w:p>
        </w:tc>
      </w:tr>
      <w:tr>
        <w:trPr>
          <w:trHeight w:val="133"/>
        </w:trPr>
        <w:tc>
          <w:tcPr>
            <w:tcW w:w="1860" w:type="dxa"/>
            <w:vAlign w:val="bottom"/>
            <w:tcBorders>
              <w:top w:val="single" w:sz="8" w:color="DBDBDB"/>
            </w:tcBorders>
            <w:vMerge w:val="continue"/>
            <w:shd w:val="clear" w:color="auto" w:fill="DBDBDB"/>
          </w:tcPr>
          <w:p>
            <w:pPr>
              <w:spacing w:after="0"/>
              <w:rPr>
                <w:sz w:val="11"/>
                <w:szCs w:val="11"/>
                <w:color w:val="auto"/>
              </w:rPr>
            </w:pPr>
          </w:p>
        </w:tc>
        <w:tc>
          <w:tcPr>
            <w:tcW w:w="60" w:type="dxa"/>
            <w:vAlign w:val="bottom"/>
            <w:tcBorders>
              <w:top w:val="single" w:sz="8" w:color="DBDBDB"/>
            </w:tcBorders>
            <w:vMerge w:val="restart"/>
            <w:shd w:val="clear" w:color="auto" w:fill="DBDBDB"/>
          </w:tcPr>
          <w:p>
            <w:pPr>
              <w:spacing w:after="0"/>
              <w:rPr>
                <w:sz w:val="11"/>
                <w:szCs w:val="11"/>
                <w:color w:val="auto"/>
              </w:rPr>
            </w:pPr>
          </w:p>
        </w:tc>
        <w:tc>
          <w:tcPr>
            <w:tcW w:w="8220" w:type="dxa"/>
            <w:vAlign w:val="bottom"/>
            <w:tcBorders>
              <w:top w:val="single" w:sz="8" w:color="0000FF"/>
            </w:tcBorders>
            <w:gridSpan w:val="11"/>
            <w:vMerge w:val="restart"/>
            <w:shd w:val="clear" w:color="auto" w:fill="DBDBDB"/>
          </w:tcPr>
          <w:p>
            <w:pPr>
              <w:spacing w:after="0" w:line="196" w:lineRule="exact"/>
              <w:rPr>
                <w:rFonts w:ascii="Arial" w:cs="Arial" w:eastAsia="Arial" w:hAnsi="Arial"/>
                <w:sz w:val="18"/>
                <w:szCs w:val="18"/>
                <w:color w:val="0000FF"/>
                <w:w w:val="99"/>
              </w:rPr>
            </w:pPr>
            <w:hyperlink r:id="rId37">
              <w:r>
                <w:rPr>
                  <w:rFonts w:ascii="Arial" w:cs="Arial" w:eastAsia="Arial" w:hAnsi="Arial"/>
                  <w:sz w:val="18"/>
                  <w:szCs w:val="18"/>
                  <w:color w:val="0000FF"/>
                  <w:w w:val="99"/>
                </w:rPr>
                <w:t>to Exhibit 3(a) of the Registrant’s Annual Report on Form 10-K for the year ended December 31, 2014).</w:t>
              </w:r>
            </w:hyperlink>
          </w:p>
        </w:tc>
        <w:tc>
          <w:tcPr>
            <w:tcW w:w="1000" w:type="dxa"/>
            <w:vAlign w:val="bottom"/>
            <w:tcBorders>
              <w:top w:val="single" w:sz="8" w:color="0000FF"/>
            </w:tcBorders>
            <w:gridSpan w:val="6"/>
            <w:vMerge w:val="restart"/>
            <w:shd w:val="clear" w:color="auto" w:fill="DBDBDB"/>
          </w:tcPr>
          <w:p>
            <w:pPr>
              <w:spacing w:after="0"/>
              <w:rPr>
                <w:sz w:val="11"/>
                <w:szCs w:val="11"/>
                <w:color w:val="auto"/>
              </w:rPr>
            </w:pPr>
          </w:p>
        </w:tc>
        <w:tc>
          <w:tcPr>
            <w:tcW w:w="100" w:type="dxa"/>
            <w:vAlign w:val="bottom"/>
            <w:tcBorders>
              <w:top w:val="single" w:sz="8" w:color="DBDBDB"/>
            </w:tcBorders>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860" w:type="dxa"/>
            <w:vAlign w:val="bottom"/>
            <w:tcBorders>
              <w:bottom w:val="single" w:sz="8" w:color="DBDBDB"/>
            </w:tcBorders>
            <w:shd w:val="clear" w:color="auto" w:fill="DBDBDB"/>
          </w:tcPr>
          <w:p>
            <w:pPr>
              <w:spacing w:after="0"/>
              <w:rPr>
                <w:sz w:val="9"/>
                <w:szCs w:val="9"/>
                <w:color w:val="auto"/>
              </w:rPr>
            </w:pPr>
          </w:p>
        </w:tc>
        <w:tc>
          <w:tcPr>
            <w:tcW w:w="60" w:type="dxa"/>
            <w:vAlign w:val="bottom"/>
            <w:tcBorders>
              <w:bottom w:val="single" w:sz="8" w:color="DBDBDB"/>
            </w:tcBorders>
            <w:vMerge w:val="continue"/>
            <w:shd w:val="clear" w:color="auto" w:fill="DBDBDB"/>
          </w:tcPr>
          <w:p>
            <w:pPr>
              <w:spacing w:after="0"/>
              <w:rPr>
                <w:sz w:val="9"/>
                <w:szCs w:val="9"/>
                <w:color w:val="auto"/>
              </w:rPr>
            </w:pPr>
          </w:p>
        </w:tc>
        <w:tc>
          <w:tcPr>
            <w:tcW w:w="8220" w:type="dxa"/>
            <w:vAlign w:val="bottom"/>
            <w:tcBorders>
              <w:bottom w:val="single" w:sz="8" w:color="0000FF"/>
            </w:tcBorders>
            <w:gridSpan w:val="11"/>
            <w:vMerge w:val="continue"/>
            <w:shd w:val="clear" w:color="auto" w:fill="DBDBDB"/>
          </w:tcPr>
          <w:p>
            <w:pPr>
              <w:spacing w:after="0"/>
              <w:rPr>
                <w:sz w:val="9"/>
                <w:szCs w:val="9"/>
                <w:color w:val="auto"/>
              </w:rPr>
            </w:pPr>
          </w:p>
        </w:tc>
        <w:tc>
          <w:tcPr>
            <w:tcW w:w="1000" w:type="dxa"/>
            <w:vAlign w:val="bottom"/>
            <w:tcBorders>
              <w:bottom w:val="single" w:sz="8" w:color="DBDBDB"/>
            </w:tcBorders>
            <w:gridSpan w:val="6"/>
            <w:vMerge w:val="continue"/>
            <w:shd w:val="clear" w:color="auto" w:fill="DBDBDB"/>
          </w:tcPr>
          <w:p>
            <w:pPr>
              <w:spacing w:after="0"/>
              <w:rPr>
                <w:sz w:val="9"/>
                <w:szCs w:val="9"/>
                <w:color w:val="auto"/>
              </w:rPr>
            </w:pPr>
          </w:p>
        </w:tc>
        <w:tc>
          <w:tcPr>
            <w:tcW w:w="100" w:type="dxa"/>
            <w:vAlign w:val="bottom"/>
            <w:tcBorders>
              <w:bottom w:val="single" w:sz="8" w:color="DBDBDB"/>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9"/>
              </w:rPr>
              <w:t>3(b)</w:t>
            </w:r>
          </w:p>
        </w:tc>
        <w:tc>
          <w:tcPr>
            <w:tcW w:w="60" w:type="dxa"/>
            <w:vAlign w:val="bottom"/>
          </w:tcPr>
          <w:p>
            <w:pPr>
              <w:spacing w:after="0"/>
              <w:rPr>
                <w:sz w:val="17"/>
                <w:szCs w:val="17"/>
                <w:color w:val="auto"/>
              </w:rPr>
            </w:pPr>
          </w:p>
        </w:tc>
        <w:tc>
          <w:tcPr>
            <w:tcW w:w="8960" w:type="dxa"/>
            <w:vAlign w:val="bottom"/>
            <w:tcBorders>
              <w:bottom w:val="single" w:sz="8" w:color="0000FF"/>
            </w:tcBorders>
            <w:gridSpan w:val="15"/>
          </w:tcPr>
          <w:p>
            <w:pPr>
              <w:spacing w:after="0" w:line="202" w:lineRule="exact"/>
              <w:rPr>
                <w:rFonts w:ascii="Arial" w:cs="Arial" w:eastAsia="Arial" w:hAnsi="Arial"/>
                <w:sz w:val="18"/>
                <w:szCs w:val="18"/>
                <w:color w:val="0000FF"/>
                <w:w w:val="99"/>
              </w:rPr>
            </w:pPr>
            <w:hyperlink r:id="rId38">
              <w:r>
                <w:rPr>
                  <w:rFonts w:ascii="Arial" w:cs="Arial" w:eastAsia="Arial" w:hAnsi="Arial"/>
                  <w:sz w:val="18"/>
                  <w:szCs w:val="18"/>
                  <w:color w:val="0000FF"/>
                  <w:w w:val="99"/>
                </w:rPr>
                <w:t>By-Laws of the Registrant (incorporated by reference to Exhibit 3 of the Registrant’s Current Report on Form 8-K</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860" w:type="dxa"/>
            <w:vAlign w:val="bottom"/>
            <w:vMerge w:val="continue"/>
          </w:tcPr>
          <w:p>
            <w:pPr>
              <w:spacing w:after="0"/>
              <w:rPr>
                <w:sz w:val="11"/>
                <w:szCs w:val="11"/>
                <w:color w:val="auto"/>
              </w:rPr>
            </w:pPr>
          </w:p>
        </w:tc>
        <w:tc>
          <w:tcPr>
            <w:tcW w:w="9380" w:type="dxa"/>
            <w:vAlign w:val="bottom"/>
            <w:gridSpan w:val="19"/>
            <w:vMerge w:val="restart"/>
          </w:tcPr>
          <w:p>
            <w:pPr>
              <w:ind w:left="60"/>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filed January 26, 2022).</w:t>
              </w:r>
            </w:hyperlink>
          </w:p>
        </w:tc>
        <w:tc>
          <w:tcPr>
            <w:tcW w:w="0" w:type="dxa"/>
            <w:vAlign w:val="bottom"/>
          </w:tcPr>
          <w:p>
            <w:pPr>
              <w:spacing w:after="0"/>
              <w:rPr>
                <w:sz w:val="1"/>
                <w:szCs w:val="1"/>
                <w:color w:val="auto"/>
              </w:rPr>
            </w:pPr>
          </w:p>
        </w:tc>
      </w:tr>
      <w:tr>
        <w:trPr>
          <w:trHeight w:val="63"/>
        </w:trPr>
        <w:tc>
          <w:tcPr>
            <w:tcW w:w="1860" w:type="dxa"/>
            <w:vAlign w:val="bottom"/>
          </w:tcPr>
          <w:p>
            <w:pPr>
              <w:spacing w:after="0"/>
              <w:rPr>
                <w:sz w:val="5"/>
                <w:szCs w:val="5"/>
                <w:color w:val="auto"/>
              </w:rPr>
            </w:pPr>
          </w:p>
        </w:tc>
        <w:tc>
          <w:tcPr>
            <w:tcW w:w="938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60" w:type="dxa"/>
            <w:vAlign w:val="bottom"/>
            <w:tcBorders>
              <w:bottom w:val="single" w:sz="8" w:color="DBDBDB"/>
            </w:tcBorders>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4(a)</w:t>
            </w:r>
          </w:p>
        </w:tc>
        <w:tc>
          <w:tcPr>
            <w:tcW w:w="60" w:type="dxa"/>
            <w:vAlign w:val="bottom"/>
            <w:tcBorders>
              <w:bottom w:val="single" w:sz="8" w:color="DBDBDB"/>
            </w:tcBorders>
            <w:shd w:val="clear" w:color="auto" w:fill="DBDBDB"/>
          </w:tcPr>
          <w:p>
            <w:pPr>
              <w:spacing w:after="0"/>
              <w:rPr>
                <w:sz w:val="17"/>
                <w:szCs w:val="17"/>
                <w:color w:val="auto"/>
              </w:rPr>
            </w:pPr>
          </w:p>
        </w:tc>
        <w:tc>
          <w:tcPr>
            <w:tcW w:w="8780" w:type="dxa"/>
            <w:vAlign w:val="bottom"/>
            <w:tcBorders>
              <w:bottom w:val="single" w:sz="8" w:color="0000FF"/>
            </w:tcBorders>
            <w:gridSpan w:val="14"/>
            <w:shd w:val="clear" w:color="auto" w:fill="DBDBDB"/>
          </w:tcPr>
          <w:p>
            <w:pPr>
              <w:spacing w:after="0" w:line="202" w:lineRule="exact"/>
              <w:rPr>
                <w:rFonts w:ascii="Arial" w:cs="Arial" w:eastAsia="Arial" w:hAnsi="Arial"/>
                <w:sz w:val="18"/>
                <w:szCs w:val="18"/>
                <w:color w:val="0000FF"/>
                <w:w w:val="99"/>
              </w:rPr>
            </w:pPr>
            <w:hyperlink r:id="rId39">
              <w:r>
                <w:rPr>
                  <w:rFonts w:ascii="Arial" w:cs="Arial" w:eastAsia="Arial" w:hAnsi="Arial"/>
                  <w:sz w:val="18"/>
                  <w:szCs w:val="18"/>
                  <w:color w:val="0000FF"/>
                  <w:w w:val="99"/>
                </w:rPr>
                <w:t>Officers’ Certificate, dated March 14, 2023 (incorporated by reference to Exhibit 4.1 of the Registrant’s Current</w:t>
              </w:r>
            </w:hyperlink>
          </w:p>
        </w:tc>
        <w:tc>
          <w:tcPr>
            <w:tcW w:w="540" w:type="dxa"/>
            <w:vAlign w:val="bottom"/>
            <w:tcBorders>
              <w:bottom w:val="single" w:sz="8" w:color="DBDBDB"/>
            </w:tcBorders>
            <w:gridSpan w:val="4"/>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860" w:type="dxa"/>
            <w:vAlign w:val="bottom"/>
            <w:vMerge w:val="continue"/>
            <w:shd w:val="clear" w:color="auto" w:fill="DBDBDB"/>
          </w:tcPr>
          <w:p>
            <w:pPr>
              <w:spacing w:after="0"/>
              <w:rPr>
                <w:sz w:val="11"/>
                <w:szCs w:val="11"/>
                <w:color w:val="auto"/>
              </w:rPr>
            </w:pPr>
          </w:p>
        </w:tc>
        <w:tc>
          <w:tcPr>
            <w:tcW w:w="60" w:type="dxa"/>
            <w:vAlign w:val="bottom"/>
            <w:vMerge w:val="restart"/>
            <w:shd w:val="clear" w:color="auto" w:fill="DBDBDB"/>
          </w:tcPr>
          <w:p>
            <w:pPr>
              <w:spacing w:after="0"/>
              <w:rPr>
                <w:sz w:val="11"/>
                <w:szCs w:val="11"/>
                <w:color w:val="auto"/>
              </w:rPr>
            </w:pPr>
          </w:p>
        </w:tc>
        <w:tc>
          <w:tcPr>
            <w:tcW w:w="9320" w:type="dxa"/>
            <w:vAlign w:val="bottom"/>
            <w:gridSpan w:val="18"/>
            <w:vMerge w:val="restart"/>
            <w:shd w:val="clear" w:color="auto" w:fill="DBDBDB"/>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Report on Form 8-K filed March 14, 2023).</w:t>
              </w:r>
            </w:hyperlink>
          </w:p>
        </w:tc>
        <w:tc>
          <w:tcPr>
            <w:tcW w:w="0" w:type="dxa"/>
            <w:vAlign w:val="bottom"/>
          </w:tcPr>
          <w:p>
            <w:pPr>
              <w:spacing w:after="0"/>
              <w:rPr>
                <w:sz w:val="1"/>
                <w:szCs w:val="1"/>
                <w:color w:val="auto"/>
              </w:rPr>
            </w:pPr>
          </w:p>
        </w:tc>
      </w:tr>
      <w:tr>
        <w:trPr>
          <w:trHeight w:val="63"/>
        </w:trPr>
        <w:tc>
          <w:tcPr>
            <w:tcW w:w="1860" w:type="dxa"/>
            <w:vAlign w:val="bottom"/>
            <w:shd w:val="clear" w:color="auto" w:fill="DBDBDB"/>
          </w:tcPr>
          <w:p>
            <w:pPr>
              <w:spacing w:after="0"/>
              <w:rPr>
                <w:sz w:val="5"/>
                <w:szCs w:val="5"/>
                <w:color w:val="auto"/>
              </w:rPr>
            </w:pPr>
          </w:p>
        </w:tc>
        <w:tc>
          <w:tcPr>
            <w:tcW w:w="60" w:type="dxa"/>
            <w:vAlign w:val="bottom"/>
            <w:vMerge w:val="continue"/>
            <w:shd w:val="clear" w:color="auto" w:fill="DBDBDB"/>
          </w:tcPr>
          <w:p>
            <w:pPr>
              <w:spacing w:after="0"/>
              <w:rPr>
                <w:sz w:val="5"/>
                <w:szCs w:val="5"/>
                <w:color w:val="auto"/>
              </w:rPr>
            </w:pPr>
          </w:p>
        </w:tc>
        <w:tc>
          <w:tcPr>
            <w:tcW w:w="9320" w:type="dxa"/>
            <w:vAlign w:val="bottom"/>
            <w:gridSpan w:val="18"/>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8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880" w:type="dxa"/>
            <w:vAlign w:val="bottom"/>
            <w:tcBorders>
              <w:top w:val="single" w:sz="8" w:color="0000FF"/>
            </w:tcBorders>
            <w:shd w:val="clear" w:color="auto" w:fill="DBDBDB"/>
          </w:tcPr>
          <w:p>
            <w:pPr>
              <w:spacing w:after="0"/>
              <w:rPr>
                <w:sz w:val="4"/>
                <w:szCs w:val="4"/>
                <w:color w:val="auto"/>
              </w:rPr>
            </w:pPr>
          </w:p>
        </w:tc>
        <w:tc>
          <w:tcPr>
            <w:tcW w:w="1500" w:type="dxa"/>
            <w:vAlign w:val="bottom"/>
            <w:tcBorders>
              <w:top w:val="single" w:sz="8" w:color="0000FF"/>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5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9"/>
              </w:rPr>
              <w:t>31(a)</w:t>
            </w:r>
          </w:p>
        </w:tc>
        <w:tc>
          <w:tcPr>
            <w:tcW w:w="60" w:type="dxa"/>
            <w:vAlign w:val="bottom"/>
          </w:tcPr>
          <w:p>
            <w:pPr>
              <w:spacing w:after="0"/>
              <w:rPr>
                <w:sz w:val="17"/>
                <w:szCs w:val="17"/>
                <w:color w:val="auto"/>
              </w:rPr>
            </w:pPr>
          </w:p>
        </w:tc>
        <w:tc>
          <w:tcPr>
            <w:tcW w:w="9320" w:type="dxa"/>
            <w:vAlign w:val="bottom"/>
            <w:gridSpan w:val="18"/>
          </w:tcPr>
          <w:p>
            <w:pPr>
              <w:spacing w:after="0" w:line="202" w:lineRule="exact"/>
              <w:rPr>
                <w:sz w:val="20"/>
                <w:szCs w:val="20"/>
                <w:color w:val="auto"/>
              </w:rPr>
            </w:pPr>
            <w:r>
              <w:rPr>
                <w:rFonts w:ascii="Arial" w:cs="Arial" w:eastAsia="Arial" w:hAnsi="Arial"/>
                <w:sz w:val="18"/>
                <w:szCs w:val="18"/>
                <w:color w:val="0000FF"/>
              </w:rPr>
              <w:t>Certification of Chief Executive Officer of Periodic Report Pursuant to Rule 13a-14(a) or Rule 15d-14(a).†</w:t>
            </w: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60" w:type="dxa"/>
            <w:vAlign w:val="bottom"/>
            <w:tcBorders>
              <w:bottom w:val="single" w:sz="8" w:color="DBDBDB"/>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31(b)</w:t>
            </w:r>
          </w:p>
        </w:tc>
        <w:tc>
          <w:tcPr>
            <w:tcW w:w="60" w:type="dxa"/>
            <w:vAlign w:val="bottom"/>
            <w:tcBorders>
              <w:bottom w:val="single" w:sz="8" w:color="DBDBDB"/>
            </w:tcBorders>
            <w:shd w:val="clear" w:color="auto" w:fill="DBDBDB"/>
          </w:tcPr>
          <w:p>
            <w:pPr>
              <w:spacing w:after="0"/>
              <w:rPr>
                <w:sz w:val="21"/>
                <w:szCs w:val="21"/>
                <w:color w:val="auto"/>
              </w:rPr>
            </w:pPr>
          </w:p>
        </w:tc>
        <w:tc>
          <w:tcPr>
            <w:tcW w:w="8300" w:type="dxa"/>
            <w:vAlign w:val="bottom"/>
            <w:tcBorders>
              <w:bottom w:val="single" w:sz="8" w:color="0000FF"/>
            </w:tcBorders>
            <w:gridSpan w:val="12"/>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of Chief Financial Officer of Periodic Report Pursuant to Rule 13a-14(a) or Rule 15d-14(a).†</w:t>
            </w:r>
          </w:p>
        </w:tc>
        <w:tc>
          <w:tcPr>
            <w:tcW w:w="1020" w:type="dxa"/>
            <w:vAlign w:val="bottom"/>
            <w:tcBorders>
              <w:bottom w:val="single" w:sz="8" w:color="DBDBDB"/>
            </w:tcBorders>
            <w:gridSpan w:val="6"/>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9"/>
              </w:rPr>
              <w:t>32(a)</w:t>
            </w:r>
          </w:p>
        </w:tc>
        <w:tc>
          <w:tcPr>
            <w:tcW w:w="9380" w:type="dxa"/>
            <w:vAlign w:val="bottom"/>
            <w:gridSpan w:val="19"/>
          </w:tcPr>
          <w:p>
            <w:pPr>
              <w:ind w:left="60"/>
              <w:spacing w:after="0" w:line="202" w:lineRule="exact"/>
              <w:rPr>
                <w:sz w:val="20"/>
                <w:szCs w:val="20"/>
                <w:color w:val="auto"/>
              </w:rPr>
            </w:pPr>
            <w:r>
              <w:rPr>
                <w:rFonts w:ascii="Arial" w:cs="Arial" w:eastAsia="Arial" w:hAnsi="Arial"/>
                <w:sz w:val="18"/>
                <w:szCs w:val="18"/>
                <w:color w:val="0000FF"/>
              </w:rPr>
              <w:t>Certification by Chief Executive Officer of Periodic Report Pursuant to 18 U.S.C. Section 1350.†</w:t>
            </w: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60" w:type="dxa"/>
            <w:vAlign w:val="bottom"/>
            <w:tcBorders>
              <w:bottom w:val="single" w:sz="8" w:color="DBDBDB"/>
            </w:tcBorders>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32(b)</w:t>
            </w:r>
          </w:p>
        </w:tc>
        <w:tc>
          <w:tcPr>
            <w:tcW w:w="60" w:type="dxa"/>
            <w:vAlign w:val="bottom"/>
            <w:tcBorders>
              <w:bottom w:val="single" w:sz="8" w:color="DBDBDB"/>
            </w:tcBorders>
            <w:shd w:val="clear" w:color="auto" w:fill="DBDBDB"/>
          </w:tcPr>
          <w:p>
            <w:pPr>
              <w:spacing w:after="0"/>
              <w:rPr>
                <w:sz w:val="21"/>
                <w:szCs w:val="21"/>
                <w:color w:val="auto"/>
              </w:rPr>
            </w:pPr>
          </w:p>
        </w:tc>
        <w:tc>
          <w:tcPr>
            <w:tcW w:w="7560" w:type="dxa"/>
            <w:vAlign w:val="bottom"/>
            <w:tcBorders>
              <w:bottom w:val="single" w:sz="8" w:color="0000FF"/>
            </w:tcBorders>
            <w:gridSpan w:val="9"/>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by Chief Financial Officer of Periodic Report Pursuant to 18 U.S.C. Section 1350.†</w:t>
            </w:r>
          </w:p>
        </w:tc>
        <w:tc>
          <w:tcPr>
            <w:tcW w:w="1760" w:type="dxa"/>
            <w:vAlign w:val="bottom"/>
            <w:tcBorders>
              <w:bottom w:val="single" w:sz="8" w:color="DBDBDB"/>
            </w:tcBorders>
            <w:gridSpan w:val="9"/>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9"/>
              </w:rPr>
              <w:t>101.ins</w:t>
            </w:r>
          </w:p>
        </w:tc>
        <w:tc>
          <w:tcPr>
            <w:tcW w:w="60" w:type="dxa"/>
            <w:vAlign w:val="bottom"/>
          </w:tcPr>
          <w:p>
            <w:pPr>
              <w:spacing w:after="0"/>
              <w:rPr>
                <w:sz w:val="17"/>
                <w:szCs w:val="17"/>
                <w:color w:val="auto"/>
              </w:rPr>
            </w:pPr>
          </w:p>
        </w:tc>
        <w:tc>
          <w:tcPr>
            <w:tcW w:w="9320" w:type="dxa"/>
            <w:vAlign w:val="bottom"/>
            <w:gridSpan w:val="18"/>
          </w:tcPr>
          <w:p>
            <w:pPr>
              <w:spacing w:after="0" w:line="202"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33"/>
        </w:trPr>
        <w:tc>
          <w:tcPr>
            <w:tcW w:w="1860" w:type="dxa"/>
            <w:vAlign w:val="bottom"/>
            <w:vMerge w:val="continue"/>
          </w:tcPr>
          <w:p>
            <w:pPr>
              <w:spacing w:after="0"/>
              <w:rPr>
                <w:sz w:val="11"/>
                <w:szCs w:val="11"/>
                <w:color w:val="auto"/>
              </w:rPr>
            </w:pPr>
          </w:p>
        </w:tc>
        <w:tc>
          <w:tcPr>
            <w:tcW w:w="60" w:type="dxa"/>
            <w:vAlign w:val="bottom"/>
            <w:vMerge w:val="restart"/>
          </w:tcPr>
          <w:p>
            <w:pPr>
              <w:spacing w:after="0"/>
              <w:rPr>
                <w:sz w:val="11"/>
                <w:szCs w:val="11"/>
                <w:color w:val="auto"/>
              </w:rPr>
            </w:pPr>
          </w:p>
        </w:tc>
        <w:tc>
          <w:tcPr>
            <w:tcW w:w="9060" w:type="dxa"/>
            <w:vAlign w:val="bottom"/>
            <w:tcBorders>
              <w:top w:val="single" w:sz="8" w:color="auto"/>
            </w:tcBorders>
            <w:gridSpan w:val="16"/>
            <w:vMerge w:val="restart"/>
          </w:tcPr>
          <w:p>
            <w:pPr>
              <w:spacing w:after="0" w:line="196" w:lineRule="exact"/>
              <w:rPr>
                <w:sz w:val="20"/>
                <w:szCs w:val="20"/>
                <w:color w:val="auto"/>
              </w:rPr>
            </w:pPr>
            <w:r>
              <w:rPr>
                <w:rFonts w:ascii="Arial" w:cs="Arial" w:eastAsia="Arial" w:hAnsi="Arial"/>
                <w:sz w:val="18"/>
                <w:szCs w:val="18"/>
                <w:color w:val="auto"/>
              </w:rPr>
              <w:t>tags are embedded within the Inline XBRL document.†</w:t>
            </w:r>
          </w:p>
        </w:tc>
        <w:tc>
          <w:tcPr>
            <w:tcW w:w="26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8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9060" w:type="dxa"/>
            <w:vAlign w:val="bottom"/>
            <w:gridSpan w:val="16"/>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101.def</w:t>
            </w:r>
          </w:p>
        </w:tc>
        <w:tc>
          <w:tcPr>
            <w:tcW w:w="60" w:type="dxa"/>
            <w:vAlign w:val="bottom"/>
            <w:shd w:val="clear" w:color="auto" w:fill="DBDBDB"/>
          </w:tcPr>
          <w:p>
            <w:pPr>
              <w:spacing w:after="0"/>
              <w:rPr>
                <w:sz w:val="21"/>
                <w:szCs w:val="21"/>
                <w:color w:val="auto"/>
              </w:rPr>
            </w:pPr>
          </w:p>
        </w:tc>
        <w:tc>
          <w:tcPr>
            <w:tcW w:w="9320" w:type="dxa"/>
            <w:vAlign w:val="bottom"/>
            <w:gridSpan w:val="18"/>
            <w:shd w:val="clear" w:color="auto" w:fill="DBDBDB"/>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03"/>
        </w:trPr>
        <w:tc>
          <w:tcPr>
            <w:tcW w:w="1860" w:type="dxa"/>
            <w:vAlign w:val="bottom"/>
            <w:tcBorders>
              <w:top w:val="single" w:sz="8" w:color="DBDBDB"/>
            </w:tcBorders>
          </w:tcPr>
          <w:p>
            <w:pPr>
              <w:jc w:val="center"/>
              <w:spacing w:after="0" w:line="202" w:lineRule="exact"/>
              <w:rPr>
                <w:sz w:val="20"/>
                <w:szCs w:val="20"/>
                <w:color w:val="auto"/>
              </w:rPr>
            </w:pPr>
            <w:r>
              <w:rPr>
                <w:rFonts w:ascii="Arial" w:cs="Arial" w:eastAsia="Arial" w:hAnsi="Arial"/>
                <w:sz w:val="18"/>
                <w:szCs w:val="18"/>
                <w:color w:val="auto"/>
                <w:w w:val="98"/>
              </w:rPr>
              <w:t>101.sch</w:t>
            </w:r>
          </w:p>
        </w:tc>
        <w:tc>
          <w:tcPr>
            <w:tcW w:w="60" w:type="dxa"/>
            <w:vAlign w:val="bottom"/>
            <w:tcBorders>
              <w:top w:val="single" w:sz="8" w:color="DBDBDB"/>
            </w:tcBorders>
          </w:tcPr>
          <w:p>
            <w:pPr>
              <w:spacing w:after="0"/>
              <w:rPr>
                <w:sz w:val="17"/>
                <w:szCs w:val="17"/>
                <w:color w:val="auto"/>
              </w:rPr>
            </w:pPr>
          </w:p>
        </w:tc>
        <w:tc>
          <w:tcPr>
            <w:tcW w:w="4780" w:type="dxa"/>
            <w:vAlign w:val="bottom"/>
            <w:tcBorders>
              <w:top w:val="single" w:sz="8" w:color="auto"/>
            </w:tcBorders>
            <w:gridSpan w:val="6"/>
          </w:tcPr>
          <w:p>
            <w:pPr>
              <w:spacing w:after="0" w:line="202" w:lineRule="exact"/>
              <w:rPr>
                <w:sz w:val="20"/>
                <w:szCs w:val="20"/>
                <w:color w:val="auto"/>
              </w:rPr>
            </w:pPr>
            <w:r>
              <w:rPr>
                <w:rFonts w:ascii="Arial" w:cs="Arial" w:eastAsia="Arial" w:hAnsi="Arial"/>
                <w:sz w:val="18"/>
                <w:szCs w:val="18"/>
                <w:color w:val="auto"/>
              </w:rPr>
              <w:t>XBRL Taxonomy Extension Schema Document.†</w:t>
            </w:r>
          </w:p>
        </w:tc>
        <w:tc>
          <w:tcPr>
            <w:tcW w:w="4540" w:type="dxa"/>
            <w:vAlign w:val="bottom"/>
            <w:tcBorders>
              <w:top w:val="single" w:sz="8" w:color="DBDBDB"/>
            </w:tcBorders>
            <w:gridSpan w:val="12"/>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101.cal</w:t>
            </w:r>
          </w:p>
        </w:tc>
        <w:tc>
          <w:tcPr>
            <w:tcW w:w="60" w:type="dxa"/>
            <w:vAlign w:val="bottom"/>
            <w:shd w:val="clear" w:color="auto" w:fill="DBDBDB"/>
          </w:tcPr>
          <w:p>
            <w:pPr>
              <w:spacing w:after="0"/>
              <w:rPr>
                <w:sz w:val="21"/>
                <w:szCs w:val="21"/>
                <w:color w:val="auto"/>
              </w:rPr>
            </w:pPr>
          </w:p>
        </w:tc>
        <w:tc>
          <w:tcPr>
            <w:tcW w:w="9320" w:type="dxa"/>
            <w:vAlign w:val="bottom"/>
            <w:gridSpan w:val="18"/>
            <w:shd w:val="clear" w:color="auto" w:fill="DBDBDB"/>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03"/>
        </w:trPr>
        <w:tc>
          <w:tcPr>
            <w:tcW w:w="1860" w:type="dxa"/>
            <w:vAlign w:val="bottom"/>
            <w:tcBorders>
              <w:top w:val="single" w:sz="8" w:color="DBDBDB"/>
            </w:tcBorders>
          </w:tcPr>
          <w:p>
            <w:pPr>
              <w:jc w:val="center"/>
              <w:spacing w:after="0" w:line="202" w:lineRule="exact"/>
              <w:rPr>
                <w:sz w:val="20"/>
                <w:szCs w:val="20"/>
                <w:color w:val="auto"/>
              </w:rPr>
            </w:pPr>
            <w:r>
              <w:rPr>
                <w:rFonts w:ascii="Arial" w:cs="Arial" w:eastAsia="Arial" w:hAnsi="Arial"/>
                <w:sz w:val="18"/>
                <w:szCs w:val="18"/>
                <w:color w:val="auto"/>
                <w:w w:val="98"/>
              </w:rPr>
              <w:t>101.lab</w:t>
            </w:r>
          </w:p>
        </w:tc>
        <w:tc>
          <w:tcPr>
            <w:tcW w:w="60" w:type="dxa"/>
            <w:vAlign w:val="bottom"/>
            <w:tcBorders>
              <w:top w:val="single" w:sz="8" w:color="DBDBDB"/>
            </w:tcBorders>
          </w:tcPr>
          <w:p>
            <w:pPr>
              <w:spacing w:after="0"/>
              <w:rPr>
                <w:sz w:val="17"/>
                <w:szCs w:val="17"/>
                <w:color w:val="auto"/>
              </w:rPr>
            </w:pPr>
          </w:p>
        </w:tc>
        <w:tc>
          <w:tcPr>
            <w:tcW w:w="4920" w:type="dxa"/>
            <w:vAlign w:val="bottom"/>
            <w:tcBorders>
              <w:top w:val="single" w:sz="8" w:color="auto"/>
            </w:tcBorders>
            <w:gridSpan w:val="7"/>
          </w:tcPr>
          <w:p>
            <w:pPr>
              <w:spacing w:after="0" w:line="202" w:lineRule="exact"/>
              <w:rPr>
                <w:sz w:val="20"/>
                <w:szCs w:val="20"/>
                <w:color w:val="auto"/>
              </w:rPr>
            </w:pPr>
            <w:r>
              <w:rPr>
                <w:rFonts w:ascii="Arial" w:cs="Arial" w:eastAsia="Arial" w:hAnsi="Arial"/>
                <w:sz w:val="18"/>
                <w:szCs w:val="18"/>
                <w:color w:val="auto"/>
              </w:rPr>
              <w:t>XBRL Taxonomy Extension Label Linkbase Document.†</w:t>
            </w:r>
          </w:p>
        </w:tc>
        <w:tc>
          <w:tcPr>
            <w:tcW w:w="4400" w:type="dxa"/>
            <w:vAlign w:val="bottom"/>
            <w:tcBorders>
              <w:top w:val="single" w:sz="8" w:color="DBDBDB"/>
            </w:tcBorders>
            <w:gridSpan w:val="11"/>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rPr>
              <w:t>101.pre</w:t>
            </w:r>
          </w:p>
        </w:tc>
        <w:tc>
          <w:tcPr>
            <w:tcW w:w="9380" w:type="dxa"/>
            <w:vAlign w:val="bottom"/>
            <w:gridSpan w:val="19"/>
            <w:shd w:val="clear" w:color="auto" w:fill="DBDBDB"/>
          </w:tcPr>
          <w:p>
            <w:pPr>
              <w:ind w:left="60"/>
              <w:spacing w:after="0" w:line="202"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8"/>
        </w:trPr>
        <w:tc>
          <w:tcPr>
            <w:tcW w:w="18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880" w:type="dxa"/>
            <w:vAlign w:val="bottom"/>
            <w:tcBorders>
              <w:top w:val="single" w:sz="8" w:color="auto"/>
            </w:tcBorders>
            <w:shd w:val="clear" w:color="auto" w:fill="DBDBDB"/>
          </w:tcPr>
          <w:p>
            <w:pPr>
              <w:spacing w:after="0"/>
              <w:rPr>
                <w:sz w:val="4"/>
                <w:szCs w:val="4"/>
                <w:color w:val="auto"/>
              </w:rPr>
            </w:pPr>
          </w:p>
        </w:tc>
        <w:tc>
          <w:tcPr>
            <w:tcW w:w="1500" w:type="dxa"/>
            <w:vAlign w:val="bottom"/>
            <w:tcBorders>
              <w:top w:val="single" w:sz="8" w:color="auto"/>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5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920" w:hanging="1158"/>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Cover Page Interactive Data File (embedded within the Inline XBRL document).†</w:t>
      </w:r>
    </w:p>
    <w:p>
      <w:pPr>
        <w:spacing w:after="0" w:line="63" w:lineRule="exact"/>
        <w:rPr>
          <w:rFonts w:ascii="Arial" w:cs="Arial" w:eastAsia="Arial" w:hAnsi="Arial"/>
          <w:sz w:val="18"/>
          <w:szCs w:val="18"/>
          <w:color w:val="auto"/>
        </w:rPr>
      </w:pPr>
    </w:p>
    <w:p>
      <w:pPr>
        <w:ind w:left="180" w:hanging="154"/>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34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44" w:lineRule="exact"/>
        <w:rPr>
          <w:rFonts w:ascii="Arial" w:cs="Arial" w:eastAsia="Arial" w:hAnsi="Arial"/>
          <w:sz w:val="18"/>
          <w:szCs w:val="18"/>
          <w:color w:val="auto"/>
        </w:rPr>
      </w:pPr>
    </w:p>
    <w:p>
      <w:pPr>
        <w:ind w:left="620" w:right="42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right="44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spacing w:after="0" w:line="44" w:lineRule="exact"/>
        <w:rPr>
          <w:rFonts w:ascii="Arial" w:cs="Arial" w:eastAsia="Arial" w:hAnsi="Arial"/>
          <w:sz w:val="18"/>
          <w:szCs w:val="18"/>
          <w:color w:val="auto"/>
        </w:rPr>
      </w:pPr>
    </w:p>
    <w:p>
      <w:pPr>
        <w:ind w:left="620" w:right="22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44" w:lineRule="exact"/>
        <w:rPr>
          <w:rFonts w:ascii="Arial" w:cs="Arial" w:eastAsia="Arial" w:hAnsi="Arial"/>
          <w:sz w:val="18"/>
          <w:szCs w:val="18"/>
          <w:color w:val="auto"/>
        </w:rPr>
      </w:pPr>
    </w:p>
    <w:p>
      <w:pPr>
        <w:ind w:left="620" w:right="260" w:hanging="329"/>
        <w:spacing w:after="0" w:line="268"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62" w:lineRule="exact"/>
        <w:rPr>
          <w:rFonts w:ascii="Arial" w:cs="Arial" w:eastAsia="Arial" w:hAnsi="Arial"/>
          <w:sz w:val="18"/>
          <w:szCs w:val="18"/>
          <w:color w:val="auto"/>
        </w:rPr>
      </w:pPr>
    </w:p>
    <w:p>
      <w:pPr>
        <w:ind w:left="620" w:right="16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44" w:lineRule="exact"/>
        <w:rPr>
          <w:rFonts w:ascii="Arial" w:cs="Arial" w:eastAsia="Arial" w:hAnsi="Arial"/>
          <w:sz w:val="18"/>
          <w:szCs w:val="18"/>
          <w:color w:val="auto"/>
        </w:rPr>
      </w:pPr>
    </w:p>
    <w:p>
      <w:pPr>
        <w:ind w:left="620" w:right="62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117" w:lineRule="exact"/>
        <w:rPr>
          <w:rFonts w:ascii="Arial" w:cs="Arial" w:eastAsia="Arial" w:hAnsi="Arial"/>
          <w:sz w:val="18"/>
          <w:szCs w:val="18"/>
          <w:color w:val="auto"/>
        </w:rPr>
      </w:pPr>
    </w:p>
    <w:p>
      <w:pPr>
        <w:ind w:left="620" w:right="120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44" w:lineRule="exact"/>
        <w:rPr>
          <w:rFonts w:ascii="Arial" w:cs="Arial" w:eastAsia="Arial" w:hAnsi="Arial"/>
          <w:sz w:val="18"/>
          <w:szCs w:val="18"/>
          <w:color w:val="auto"/>
        </w:rPr>
      </w:pPr>
    </w:p>
    <w:p>
      <w:pPr>
        <w:jc w:val="both"/>
        <w:ind w:left="620" w:right="68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44" w:lineRule="exact"/>
        <w:rPr>
          <w:rFonts w:ascii="Arial" w:cs="Arial" w:eastAsia="Arial" w:hAnsi="Arial"/>
          <w:sz w:val="18"/>
          <w:szCs w:val="18"/>
          <w:color w:val="auto"/>
        </w:rPr>
      </w:pPr>
    </w:p>
    <w:p>
      <w:pPr>
        <w:ind w:left="620" w:right="320" w:hanging="329"/>
        <w:spacing w:after="0" w:line="268"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620" w:right="66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17" w:lineRule="exact"/>
        <w:rPr>
          <w:rFonts w:ascii="Arial" w:cs="Arial" w:eastAsia="Arial" w:hAnsi="Arial"/>
          <w:sz w:val="18"/>
          <w:szCs w:val="18"/>
          <w:color w:val="auto"/>
        </w:rPr>
      </w:pPr>
    </w:p>
    <w:p>
      <w:pPr>
        <w:ind w:left="620" w:right="16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44" w:lineRule="exact"/>
        <w:rPr>
          <w:rFonts w:ascii="Arial" w:cs="Arial" w:eastAsia="Arial" w:hAnsi="Arial"/>
          <w:sz w:val="18"/>
          <w:szCs w:val="18"/>
          <w:color w:val="auto"/>
        </w:rPr>
      </w:pPr>
    </w:p>
    <w:p>
      <w:pPr>
        <w:ind w:left="620" w:right="140" w:hanging="329"/>
        <w:spacing w:after="0" w:line="287"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8" w:right="51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TEXAS INSTRUMENTS INCORPORATED</w:t>
      </w:r>
    </w:p>
    <w:p>
      <w:pPr>
        <w:spacing w:after="0" w:line="293" w:lineRule="exact"/>
        <w:rPr>
          <w:sz w:val="20"/>
          <w:szCs w:val="20"/>
          <w:color w:val="auto"/>
        </w:rPr>
      </w:pPr>
    </w:p>
    <w:p>
      <w:pPr>
        <w:ind w:left="612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17780</wp:posOffset>
            </wp:positionV>
            <wp:extent cx="29578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16"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 xml:space="preserve">Rafael R. Lizardi, </w:t>
      </w:r>
      <w:r>
        <w:rPr>
          <w:rFonts w:ascii="Arial" w:cs="Arial" w:eastAsia="Arial" w:hAnsi="Arial"/>
          <w:sz w:val="18"/>
          <w:szCs w:val="18"/>
          <w:color w:val="auto"/>
        </w:rPr>
        <w:t>Senior Vice President and Chief</w:t>
      </w:r>
    </w:p>
    <w:p>
      <w:pPr>
        <w:jc w:val="center"/>
        <w:ind w:left="6520"/>
        <w:spacing w:after="0"/>
        <w:rPr>
          <w:sz w:val="20"/>
          <w:szCs w:val="20"/>
          <w:color w:val="auto"/>
        </w:rPr>
      </w:pPr>
      <w:r>
        <w:rPr>
          <w:rFonts w:ascii="Arial" w:cs="Arial" w:eastAsia="Arial" w:hAnsi="Arial"/>
          <w:sz w:val="18"/>
          <w:szCs w:val="18"/>
          <w:color w:val="auto"/>
        </w:rPr>
        <w:t>Financial Officer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2023</w:t>
      </w:r>
    </w:p>
    <w:p>
      <w:pPr>
        <w:sectPr>
          <w:pgSz w:w="11900" w:h="16838" w:orient="portrait"/>
          <w:cols w:equalWidth="0" w:num="1">
            <w:col w:w="11200"/>
          </w:cols>
          <w:pgMar w:left="320" w:top="890" w:right="37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Haviv Ilan, certify that:</w:t>
      </w:r>
    </w:p>
    <w:p>
      <w:pPr>
        <w:spacing w:after="0" w:line="212"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Texas Instruments Incorporated;</w:t>
      </w:r>
    </w:p>
    <w:p>
      <w:pPr>
        <w:spacing w:after="0" w:line="184" w:lineRule="exact"/>
        <w:rPr>
          <w:rFonts w:ascii="Times New Roman" w:cs="Times New Roman" w:eastAsia="Times New Roman" w:hAnsi="Times New Roman"/>
          <w:sz w:val="18"/>
          <w:szCs w:val="18"/>
          <w:color w:val="auto"/>
        </w:rPr>
      </w:pPr>
    </w:p>
    <w:p>
      <w:pPr>
        <w:jc w:val="both"/>
        <w:ind w:left="500" w:right="280" w:hanging="492"/>
        <w:spacing w:after="0" w:line="231"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500" w:right="240" w:hanging="492"/>
        <w:spacing w:after="0" w:line="250"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500" w:right="280" w:hanging="492"/>
        <w:spacing w:after="0" w:line="231"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00" w:right="260" w:hanging="492"/>
        <w:spacing w:after="0" w:line="237"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486"/>
        <w:spacing w:after="0" w:line="282" w:lineRule="auto"/>
        <w:tabs>
          <w:tab w:leader="none" w:pos="9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26, 2023</w:t>
      </w:r>
    </w:p>
    <w:p>
      <w:pPr>
        <w:spacing w:after="0" w:line="26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color w:val="auto"/>
        </w:rPr>
        <w:t>Haviv Ilan</w:t>
      </w:r>
    </w:p>
    <w:p>
      <w:pPr>
        <w:ind w:left="9180"/>
        <w:spacing w:after="0" w:line="203" w:lineRule="auto"/>
        <w:rPr>
          <w:sz w:val="20"/>
          <w:szCs w:val="20"/>
          <w:color w:val="auto"/>
        </w:rPr>
      </w:pPr>
      <w:r>
        <w:rPr>
          <w:rFonts w:ascii="Times New Roman" w:cs="Times New Roman" w:eastAsia="Times New Roman" w:hAnsi="Times New Roman"/>
          <w:sz w:val="18"/>
          <w:szCs w:val="18"/>
          <w:color w:val="auto"/>
        </w:rPr>
        <w:t>President and</w:t>
      </w:r>
    </w:p>
    <w:p>
      <w:pPr>
        <w:ind w:left="8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Rafael R. Lizardi, certify that:</w:t>
      </w:r>
    </w:p>
    <w:p>
      <w:pPr>
        <w:spacing w:after="0" w:line="212"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Texas Instruments Incorporated;</w:t>
      </w:r>
    </w:p>
    <w:p>
      <w:pPr>
        <w:spacing w:after="0" w:line="184" w:lineRule="exact"/>
        <w:rPr>
          <w:rFonts w:ascii="Times New Roman" w:cs="Times New Roman" w:eastAsia="Times New Roman" w:hAnsi="Times New Roman"/>
          <w:sz w:val="18"/>
          <w:szCs w:val="18"/>
          <w:color w:val="auto"/>
        </w:rPr>
      </w:pPr>
    </w:p>
    <w:p>
      <w:pPr>
        <w:jc w:val="both"/>
        <w:ind w:left="500" w:right="280" w:hanging="492"/>
        <w:spacing w:after="0" w:line="231"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500" w:right="240" w:hanging="492"/>
        <w:spacing w:after="0" w:line="250"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500" w:right="280" w:hanging="492"/>
        <w:spacing w:after="0" w:line="231"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486"/>
        <w:spacing w:after="0" w:line="266"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00" w:right="240" w:hanging="492"/>
        <w:spacing w:after="0" w:line="237"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486"/>
        <w:spacing w:after="0" w:line="282"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26, 2023</w:t>
      </w:r>
    </w:p>
    <w:p>
      <w:pPr>
        <w:spacing w:after="0" w:line="266"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color w:val="auto"/>
        </w:rPr>
        <w:t>Rafael R. Lizardi</w:t>
      </w:r>
    </w:p>
    <w:p>
      <w:pPr>
        <w:jc w:val="center"/>
        <w:ind w:left="8120"/>
        <w:spacing w:after="0" w:line="203" w:lineRule="auto"/>
        <w:rPr>
          <w:sz w:val="20"/>
          <w:szCs w:val="20"/>
          <w:color w:val="auto"/>
        </w:rPr>
      </w:pPr>
      <w:r>
        <w:rPr>
          <w:rFonts w:ascii="Times New Roman" w:cs="Times New Roman" w:eastAsia="Times New Roman" w:hAnsi="Times New Roman"/>
          <w:sz w:val="18"/>
          <w:szCs w:val="18"/>
          <w:color w:val="auto"/>
        </w:rPr>
        <w:t>Senior Vice President and</w:t>
      </w:r>
    </w:p>
    <w:p>
      <w:pPr>
        <w:jc w:val="center"/>
        <w:ind w:left="81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32(a)</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5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333"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Haviv Ilan, President and Chief Executive Officer of Texas Instruments Incorporated (the “Company”), hereby certifies that, to his knowledge:</w:t>
      </w:r>
    </w:p>
    <w:p>
      <w:pPr>
        <w:spacing w:after="0" w:line="162" w:lineRule="exact"/>
        <w:rPr>
          <w:sz w:val="20"/>
          <w:szCs w:val="20"/>
          <w:color w:val="auto"/>
        </w:rPr>
      </w:pPr>
    </w:p>
    <w:p>
      <w:pPr>
        <w:ind w:right="20" w:firstLine="494"/>
        <w:spacing w:after="0" w:line="282" w:lineRule="auto"/>
        <w:tabs>
          <w:tab w:leader="none" w:pos="7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2023, as filed with the Securities and Exchange Commission on the date hereof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100" w:firstLine="494"/>
        <w:spacing w:after="0" w:line="532" w:lineRule="auto"/>
        <w:tabs>
          <w:tab w:leader="none" w:pos="7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April 26, 2023</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16"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color w:val="auto"/>
        </w:rPr>
        <w:t>Haviv Ilan</w:t>
      </w:r>
    </w:p>
    <w:p>
      <w:pPr>
        <w:ind w:left="9180"/>
        <w:spacing w:after="0" w:line="205" w:lineRule="auto"/>
        <w:rPr>
          <w:sz w:val="20"/>
          <w:szCs w:val="20"/>
          <w:color w:val="auto"/>
        </w:rPr>
      </w:pPr>
      <w:r>
        <w:rPr>
          <w:rFonts w:ascii="Times New Roman" w:cs="Times New Roman" w:eastAsia="Times New Roman" w:hAnsi="Times New Roman"/>
          <w:sz w:val="18"/>
          <w:szCs w:val="18"/>
          <w:color w:val="auto"/>
        </w:rPr>
        <w:t>President and</w:t>
      </w:r>
    </w:p>
    <w:p>
      <w:pPr>
        <w:spacing w:after="0" w:line="1"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315"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62" w:lineRule="exact"/>
        <w:rPr>
          <w:sz w:val="20"/>
          <w:szCs w:val="20"/>
          <w:color w:val="auto"/>
        </w:rPr>
      </w:pPr>
    </w:p>
    <w:p>
      <w:pPr>
        <w:ind w:right="20" w:firstLine="494"/>
        <w:spacing w:after="0" w:line="282" w:lineRule="auto"/>
        <w:tabs>
          <w:tab w:leader="none" w:pos="70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2023, as filed with the Securities and Exchange Commission on the date hereof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100" w:firstLine="494"/>
        <w:spacing w:after="0" w:line="532" w:lineRule="auto"/>
        <w:tabs>
          <w:tab w:leader="none" w:pos="7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April 26, 2023</w:t>
      </w:r>
    </w:p>
    <w:p>
      <w:pPr>
        <w:spacing w:after="0" w:line="27"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9627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color w:val="auto"/>
        </w:rPr>
        <w:t>Rafael R. Lizardi</w:t>
      </w:r>
    </w:p>
    <w:p>
      <w:pPr>
        <w:jc w:val="center"/>
        <w:ind w:left="8120"/>
        <w:spacing w:after="0" w:line="205" w:lineRule="auto"/>
        <w:rPr>
          <w:sz w:val="20"/>
          <w:szCs w:val="20"/>
          <w:color w:val="auto"/>
        </w:rPr>
      </w:pPr>
      <w:r>
        <w:rPr>
          <w:rFonts w:ascii="Times New Roman" w:cs="Times New Roman" w:eastAsia="Times New Roman" w:hAnsi="Times New Roman"/>
          <w:sz w:val="18"/>
          <w:szCs w:val="18"/>
          <w:color w:val="auto"/>
        </w:rPr>
        <w:t>Senior Vice President and</w:t>
      </w:r>
    </w:p>
    <w:p>
      <w:pPr>
        <w:spacing w:after="0" w:line="1"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1."/>
      <w:numFmt w:val="decimal"/>
      <w:start w:val="4"/>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5"/>
    </w:lvl>
  </w:abstractNum>
  <w:abstractNum w:abstractNumId="11">
    <w:nsid w:val="3F2DBA31"/>
    <w:multiLevelType w:val="hybridMultilevel"/>
    <w:lvl w:ilvl="0">
      <w:lvlJc w:val="left"/>
      <w:lvlText w:val="%1."/>
      <w:numFmt w:val="decimal"/>
      <w:start w:val="6"/>
    </w:lvl>
  </w:abstractNum>
  <w:abstractNum w:abstractNumId="12">
    <w:nsid w:val="7C83E458"/>
    <w:multiLevelType w:val="hybridMultilevel"/>
    <w:lvl w:ilvl="0">
      <w:lvlJc w:val="left"/>
      <w:lvlText w:val="%1."/>
      <w:numFmt w:val="decimal"/>
      <w:start w:val="9"/>
    </w:lvl>
  </w:abstractNum>
  <w:abstractNum w:abstractNumId="13">
    <w:nsid w:val="257130A3"/>
    <w:multiLevelType w:val="hybridMultilevel"/>
    <w:lvl w:ilvl="0">
      <w:lvlJc w:val="left"/>
      <w:lvlText w:val="%1."/>
      <w:numFmt w:val="decimal"/>
      <w:start w:val="1"/>
    </w:lvl>
    <w:lvl w:ilvl="1">
      <w:lvlJc w:val="left"/>
      <w:lvlText w:val="%2."/>
      <w:numFmt w:val="lowerRoman"/>
      <w:start w:val="1"/>
    </w:lvl>
  </w:abstractNum>
  <w:abstractNum w:abstractNumId="14">
    <w:nsid w:val="62BBD95A"/>
    <w:multiLevelType w:val="hybridMultilevel"/>
    <w:lvl w:ilvl="0">
      <w:lvlJc w:val="left"/>
      <w:lvlText w:val="%1."/>
      <w:numFmt w:val="decimal"/>
      <w:start w:val="2"/>
    </w:lvl>
  </w:abstractNum>
  <w:abstractNum w:abstractNumId="15">
    <w:nsid w:val="436C6125"/>
    <w:multiLevelType w:val="hybridMultilevel"/>
    <w:lvl w:ilvl="0">
      <w:lvlJc w:val="left"/>
      <w:lvlText w:val="•"/>
      <w:numFmt w:val="bullet"/>
      <w:start w:val="1"/>
    </w:lvl>
    <w:lvl w:ilvl="1">
      <w:lvlJc w:val="left"/>
      <w:lvlText w:val="◦"/>
      <w:numFmt w:val="bullet"/>
      <w:start w:val="1"/>
    </w:lvl>
  </w:abstractNum>
  <w:abstractNum w:abstractNumId="16">
    <w:nsid w:val="628C895D"/>
    <w:multiLevelType w:val="hybridMultilevel"/>
    <w:lvl w:ilvl="0">
      <w:lvlJc w:val="left"/>
      <w:lvlText w:val="•"/>
      <w:numFmt w:val="bullet"/>
      <w:start w:val="1"/>
    </w:lvl>
    <w:lvl w:ilvl="1">
      <w:lvlJc w:val="left"/>
      <w:lvlText w:val="◦"/>
      <w:numFmt w:val="bullet"/>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
      <w:numFmt w:val="bullet"/>
      <w:start w:val="1"/>
    </w:lvl>
    <w:lvl w:ilvl="1">
      <w:lvlJc w:val="left"/>
      <w:lvlText w:val="%2"/>
      <w:numFmt w:val="decimal"/>
      <w:start w:val="104"/>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37" Type="http://schemas.openxmlformats.org/officeDocument/2006/relationships/hyperlink" Target="http://www.sec.gov/Archives/edgar/data/97476/000009747615000003/txn-12312014xexhibit3a.htm" TargetMode="External"/><Relationship Id="rId38" Type="http://schemas.openxmlformats.org/officeDocument/2006/relationships/hyperlink" Target="https://www.sec.gov/Archives/edgar/data/97476/000119312522018409/d252810dex3.htm" TargetMode="External"/><Relationship Id="rId39" Type="http://schemas.openxmlformats.org/officeDocument/2006/relationships/hyperlink" Target="https://www.sec.gov/Archives/edgar/data/97476/000119312523070157/d44333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2023-04-26T08:31:55Z</dcterms:created>
  <dcterms:modified xsi:type="dcterms:W3CDTF">2023-04-26T08:31:55Z</dcterms:modified>
</cp:coreProperties>
</file>