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left="1540" w:right="720"/>
        <w:spacing w:after="0" w:line="384" w:lineRule="auto"/>
        <w:rPr>
          <w:sz w:val="20"/>
          <w:szCs w:val="20"/>
          <w:color w:val="auto"/>
        </w:rPr>
      </w:pPr>
      <w:r>
        <w:rPr>
          <w:rFonts w:ascii="Arial" w:cs="Arial" w:eastAsia="Arial" w:hAnsi="Arial"/>
          <w:sz w:val="22"/>
          <w:szCs w:val="22"/>
          <w:b w:val="1"/>
          <w:bCs w:val="1"/>
          <w:color w:val="auto"/>
        </w:rPr>
        <w:t>CURRENT REPORT PURSUANT TO SECTION 13 OR 15(d) OF THE SECURITIES EXCHANGE ACT OF 1934 DATE OF REPORT (DATE OF EARLIEST EVENT REPORTED): October 24,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60960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0600"/>
          </w:cols>
          <w:pgMar w:left="240" w:top="503" w:right="1059" w:bottom="1440" w:gutter="0" w:footer="0" w:header="0"/>
        </w:sectPr>
      </w:pPr>
    </w:p>
    <w:p>
      <w:pPr>
        <w:spacing w:after="0" w:line="121"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00" w:space="720"/>
            <w:col w:w="1420"/>
          </w:cols>
          <w:pgMar w:left="240" w:top="503" w:right="1059" w:bottom="1440" w:gutter="0" w:footer="0" w:header="0"/>
          <w:type w:val="continuous"/>
        </w:sectPr>
      </w:pPr>
    </w:p>
    <w:p>
      <w:pPr>
        <w:jc w:val="center"/>
        <w:ind w:right="4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60" w:space="720"/>
            <w:col w:w="3280" w:space="720"/>
            <w:col w:w="1520"/>
          </w:cols>
          <w:pgMar w:left="240" w:top="503"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4" w:lineRule="exact"/>
        <w:rPr>
          <w:sz w:val="24"/>
          <w:szCs w:val="24"/>
          <w:color w:val="auto"/>
        </w:rPr>
      </w:pPr>
    </w:p>
    <w:p>
      <w:pPr>
        <w:ind w:left="3200"/>
        <w:spacing w:after="0"/>
        <w:rPr>
          <w:sz w:val="20"/>
          <w:szCs w:val="20"/>
          <w:color w:val="auto"/>
        </w:rPr>
      </w:pPr>
      <w:r>
        <w:rPr>
          <w:rFonts w:ascii="Arial" w:cs="Arial" w:eastAsia="Arial" w:hAnsi="Arial"/>
          <w:sz w:val="15"/>
          <w:szCs w:val="15"/>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503" w:right="105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503"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Registrant’s news release dated October 24, 2005, regarding its third quarter 2005 results of operations and financial condition attached hereto as Exhibit 99 is incorporated by reference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ectPr>
          <w:pgSz w:w="11900" w:h="16838" w:orient="portrait"/>
          <w:cols w:equalWidth="0" w:num="1">
            <w:col w:w="11340"/>
          </w:cols>
          <w:pgMar w:left="240" w:top="274" w:right="31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Designation of</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in this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37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1071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560" w:space="720"/>
            <w:col w:w="9060"/>
          </w:cols>
          <w:pgMar w:left="240" w:top="274" w:right="319" w:bottom="1440" w:gutter="0" w:footer="0" w:header="0"/>
          <w:type w:val="continuous"/>
        </w:sectPr>
      </w:pPr>
    </w:p>
    <w:p>
      <w:pPr>
        <w:spacing w:after="0" w:line="116" w:lineRule="exact"/>
        <w:rPr>
          <w:sz w:val="20"/>
          <w:szCs w:val="20"/>
          <w:color w:val="auto"/>
        </w:rPr>
      </w:pPr>
    </w:p>
    <w:p>
      <w:pPr>
        <w:ind w:left="2280" w:hanging="1286"/>
        <w:spacing w:after="0"/>
        <w:tabs>
          <w:tab w:leader="none" w:pos="2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15"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Dated October 24, 2005 (furnished pursuant to Item 2.02)</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18"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180" w:lineRule="exact"/>
        <w:rPr>
          <w:rFonts w:ascii="Arial" w:cs="Arial" w:eastAsia="Arial" w:hAnsi="Arial"/>
          <w:sz w:val="16"/>
          <w:szCs w:val="16"/>
          <w:color w:val="auto"/>
        </w:rPr>
      </w:pPr>
    </w:p>
    <w:p>
      <w:pPr>
        <w:ind w:firstLine="8"/>
        <w:spacing w:after="0" w:line="268"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18"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possible disruptions in transportation networks and fluctuations in foreign currency exchange rates;</w:t>
      </w:r>
    </w:p>
    <w:p>
      <w:pPr>
        <w:spacing w:after="0" w:line="158"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157" w:lineRule="exact"/>
        <w:rPr>
          <w:rFonts w:ascii="Arial" w:cs="Arial" w:eastAsia="Arial" w:hAnsi="Arial"/>
          <w:sz w:val="18"/>
          <w:szCs w:val="18"/>
          <w:color w:val="auto"/>
        </w:rPr>
      </w:pPr>
    </w:p>
    <w:p>
      <w:pPr>
        <w:ind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18"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and the timing and amount of distributor and other customer inventory adjustments;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57" w:lineRule="exact"/>
        <w:rPr>
          <w:rFonts w:ascii="Arial" w:cs="Arial" w:eastAsia="Arial" w:hAnsi="Arial"/>
          <w:sz w:val="18"/>
          <w:szCs w:val="18"/>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57" w:lineRule="exact"/>
        <w:rPr>
          <w:rFonts w:ascii="Arial" w:cs="Arial" w:eastAsia="Arial" w:hAnsi="Arial"/>
          <w:sz w:val="18"/>
          <w:szCs w:val="18"/>
          <w:color w:val="auto"/>
        </w:rPr>
      </w:pPr>
    </w:p>
    <w:p>
      <w:pPr>
        <w:ind w:right="180" w:firstLine="8"/>
        <w:spacing w:after="0" w:line="268"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October 24,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207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3Q05 Financial Results</w:t>
      </w:r>
    </w:p>
    <w:p>
      <w:pPr>
        <w:spacing w:after="0" w:line="16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 Revenue, Up 11% Sequentially, 10% from Year Ago</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 Gross and Operating Margins Despite Reduction in Inventory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Record Operating Cash Flow of $1.51 Billion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EPS of $0.38 Includes $0.03 Stock-Based Compensation Expense and $0.01 Higher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Orders Up 10% Sequentially, 24% from Year Ago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DALLAS (October 24, 2005) – Texas Instruments Incorporated (TI) (NYSE: TXN) today reported record quarterly revenue of $3.59 billion, an increase of 11 percent sequentially and 10 percent over the third quarter of last year. Growth was driven by the company’s Semiconductor segment, which was up 13 percent sequentially and 13 percent from a year ago with particularly strong demand for digital signal processors (DSPs) and analog chips that are used in a variety of communications and entertainment electronics.</w:t>
      </w:r>
    </w:p>
    <w:p>
      <w:pPr>
        <w:spacing w:after="0" w:line="13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Earnings per share (EPS) in the third quarter were $0.38. As previously announced, the company began expensing stock options in the third quarter, and as a result, EPS included $0.03 of additional expense for stock-based compensation. For comparison purposes, it is important to note that equivalent stock-based compensation expense was not reflected in any prior quarterly period. EPS also included $0.01 for higher-than-anticipated taxes in the quarter.</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record revenue, TI reached new highs for gross margin at 49.3 percent, for operating margin at 22.7 percent, and for operating cash flow at $1.51 billion.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is especially significant as semiconductor inventories declined at TI and distributors,” said Rich Templeton, president and chief executive officer.</w:t>
      </w:r>
    </w:p>
    <w:p>
      <w:pPr>
        <w:spacing w:after="0" w:line="181" w:lineRule="exact"/>
        <w:rPr>
          <w:sz w:val="20"/>
          <w:szCs w:val="20"/>
          <w:color w:val="auto"/>
        </w:rPr>
      </w:pPr>
    </w:p>
    <w:p>
      <w:pPr>
        <w:jc w:val="both"/>
        <w:ind w:right="380" w:firstLine="456"/>
        <w:spacing w:after="0" w:line="267" w:lineRule="auto"/>
        <w:rPr>
          <w:sz w:val="20"/>
          <w:szCs w:val="20"/>
          <w:color w:val="auto"/>
        </w:rPr>
      </w:pPr>
      <w:r>
        <w:rPr>
          <w:rFonts w:ascii="Arial" w:cs="Arial" w:eastAsia="Arial" w:hAnsi="Arial"/>
          <w:sz w:val="18"/>
          <w:szCs w:val="18"/>
          <w:color w:val="auto"/>
        </w:rPr>
        <w:t>“Additionally, TI continued to gain share in areas with sustainable long-term growth,” he said. “Wireless revenue grew 16 percent sequentially and 20 percent from a year ago; high-performance analog revenue grew 10 percent sequentially and 16 percent from a year ago; and DLP</w:t>
      </w:r>
      <w:r>
        <w:rPr>
          <w:rFonts w:ascii="Arial" w:cs="Arial" w:eastAsia="Arial" w:hAnsi="Arial"/>
          <w:sz w:val="18"/>
          <w:szCs w:val="18"/>
          <w:color w:val="auto"/>
          <w:vertAlign w:val="superscript"/>
        </w:rPr>
        <w:t>®</w:t>
      </w:r>
      <w:r>
        <w:rPr>
          <w:rFonts w:ascii="Arial" w:cs="Arial" w:eastAsia="Arial" w:hAnsi="Arial"/>
          <w:sz w:val="18"/>
          <w:szCs w:val="18"/>
          <w:color w:val="auto"/>
        </w:rPr>
        <w:t xml:space="preserve"> product revenue grew 41 percent sequentially and was even with a year ago.</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“TI continues to hold leadership positions in semiconductors for both the high and low ends of the cell phone market. For solutions used in feature-rich 3G UMTS cell phones, revenue remains on track to exceed $1 billion in 2005. In low-priced cell phones, TI’s solutions are penetrating markets such as China, India, Brazil and Africa, changing the way people communicate.</w:t>
      </w:r>
    </w:p>
    <w:p>
      <w:pPr>
        <w:spacing w:after="0" w:line="127"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“In high-performance analog, our leadership products in data converters, power management and amplifiers continue to attract new customers and yield solid results. And in DLP products, we recovered from an inventory correction in the first half of the year and moved into a strong third quarter,” Templeton said.</w:t>
      </w:r>
    </w:p>
    <w:p>
      <w:pPr>
        <w:spacing w:after="0" w:line="7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summary, this was an excellent quarter. We are fortunate to have a unique position with leadership in multiple markets and a business model that allows us to invest in critical R&amp;D yet generate high levels of operating cash flow. We remain focused on making our customers successful and on returning value to our shareholders,” Templeton concluded.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the third quarter, TI’s gross profit was a record $1.77 billion, or 49.3 percent of revenue. This included the impact of $16 million, or 0.5 percent of revenue, of stock-based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expense. Gross profit increased $250 million sequentially and $282 million from a year ago due to higher gross profit in the company’s Semiconductor segment.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Research and development (R&amp;D) expense of $527 million, or 14.7 percent of revenue, increased $34 million sequentially and $44 million from a year ago primarily due to stock-based compensation expense, which was $26 million in the quarter. The change from a year ago also included higher product development expenses, primarily for analog and DSP semiconductors that go into cell phones.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Selling, general and administrative (SG&amp;A) expense of $429 million, or 12.0 percent of revenue, increased $70 million sequentially and $80 million from a year ago primarily due to compensation expense as well as higher marketing expense. Stock-based compensation expense in SG&amp;A was $40 million in the third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profit of $815 million and operating margin of 22.7 percent of revenue were all-time highs for the company. Operating profit increased $146 million sequentially and $158 million from a year ago due to higher gross profit. Operating profit reflected the impact of $82 million, or 2.3 percent of revenue, of stock-based compensation expense, which was included in corporate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(Expense) Net (OI&amp;E)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OI&amp;E of $49 million decreased $7 million sequentially and $13 million from a year ago primarily due to favorable items included in the previous periods. OI&amp;E in the second quarter included a tax interest benefit, and the year-ago quarter included a significant favorable settlement with the Italian government regarding TI’s former memory-chip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income was $631 million. EPS of $0.38, which includes $0.03 of stock-based compensation expense and $0.01 of higher-than-anticipated taxes, was even with the second quarter. EPS in the second quarter included $0.06 of nonrecurring tax-related benefits.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Compared with a year ago, EPS increased $0.06 due to higher operating profit.</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27 percent effective tax rate for the third quarter was higher than the previously expected 24 percent rate due to a revision in the estimated annual effective tax rate and the associated cumulative adjustment.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 orders of $3.74 billion increased $351 million sequentially and $721 million from a year ago due to higher demand for Semiconductor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flow from operations of $1.51 billion increased $687 million sequentially and $572 million from a year ago.</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the end of the third quarter, total cash (cash and cash equivalents plus short-term investments and long-term cash investments) was $5.25 billion, up $773 million from the end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7" w:name="page8"/>
    <w:bookmarkEnd w:id="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previous quarter and down $366 million from the end of the year-ago period. During the quarter, the company used $496 million in cash to repurchase 15 million shares of TI common stock. Over the past 12 months, TI has repurchased 140 million shares of common stock and paid $169 million in dividends.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Capital expenditures of $450 million increased $193 million sequentially and $120 million from a year ago. TI’s capital expenditures in the third quarter were primarily for assembly and test equipment, advanced wafer fabrication equipment and building the company’s new 300-millimeter manufacturing facility in Richardson, Texas.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of $339 million decreased $6 million sequentially and $39 million from a year ago.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Accounts receivable of $1.92 billion at the end of the third quarter increased $13 million sequentially due to higher revenue, partially offset by seasonally lower receivables in the company’s E&amp;PS business. Accounts receivable decreased $50 million from the end of the year-ago quarter. Days sales outstanding were 48 at the end of the third quarter compared with 53 at the end of the previous quarter and 54 at the end of the year-ago quarter.</w:t>
      </w:r>
    </w:p>
    <w:p>
      <w:pPr>
        <w:spacing w:after="0" w:line="9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Inventories of $1.16 billion at the end of the third quarter decreased $44 million sequentially due to stronger-than-expected shipments, which reduced inventory to less-than-desired levels. Inventory decreased $198 million from a year ago when inventories were higher than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ind w:right="100"/>
        <w:spacing w:after="0" w:line="37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desired. Days of inventory at the end of the third quarter were 57 compared with 63 at the end of the previous quarter and 69 at the end of the year-ago quarter. </w:t>
      </w:r>
      <w:r>
        <w:rPr>
          <w:rFonts w:ascii="Arial" w:cs="Arial" w:eastAsia="Arial" w:hAnsi="Arial"/>
          <w:sz w:val="18"/>
          <w:szCs w:val="18"/>
          <w:b w:val="1"/>
          <w:bCs w:val="1"/>
          <w:u w:val="single" w:color="auto"/>
          <w:color w:val="auto"/>
        </w:rPr>
        <w:t>Outlook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TI intends to provide a mid-quarter update to its financial outlook on December 7, 2005, by issuing a press release and holding a conference call.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Both will be available on the company’s web site.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fourth quarter of 2005, TI expects revenue to be in the following ranges:</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TI, $3.425 billion to $3.715 billion;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$3.075 billion to $3.325 billion;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Sensors &amp; Controls, $290 million to $310 million;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E&amp;PS, $60 million to $80 million.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expects EPS to be in the range of $0.36 to $0.40. This estimate includes about $0.03 for stock-based compensation expense.</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2005, TI expects R&amp;D expense of about $2.1 billion, capital expenditures of about $1.3 billion and depreciation of about $1.4 billion. The estimated annual effective tax rate for 2005 is about 25 percent.</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8"/>
              </w:rPr>
              <w:t>For 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2005</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$ 3590</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$ 3239</w:t>
            </w:r>
          </w:p>
        </w:tc>
        <w:tc>
          <w:tcPr>
            <w:tcW w:w="6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$ 3250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 (COR)</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1819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1718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1761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49.3%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R&amp;D %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14.7%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SG&amp;A % of revenue</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12.0%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22.7%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on loans</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00" w:type="dxa"/>
            <w:vAlign w:val="bottom"/>
            <w:gridSpan w:val="3"/>
            <w:shd w:val="clear" w:color="auto" w:fill="CCEEFF"/>
          </w:tcPr>
          <w:p>
            <w:pPr>
              <w:ind w:left="36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700" w:type="dxa"/>
            <w:vAlign w:val="bottom"/>
            <w:gridSpan w:val="3"/>
            <w:shd w:val="clear" w:color="auto" w:fill="CCEEFF"/>
          </w:tcPr>
          <w:p>
            <w:pPr>
              <w:ind w:left="36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700" w:type="dxa"/>
            <w:vAlign w:val="bottom"/>
            <w:gridSpan w:val="3"/>
            <w:shd w:val="clear" w:color="auto" w:fill="CCEEFF"/>
          </w:tcPr>
          <w:p>
            <w:pPr>
              <w:ind w:left="36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Average shares outstanding, diluted</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1663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1669</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1759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.025</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6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960" w:type="dxa"/>
            <w:vAlign w:val="bottom"/>
            <w:gridSpan w:val="2"/>
          </w:tcPr>
          <w:p>
            <w:pPr>
              <w:spacing w:after="0"/>
              <w:rPr>
                <w:sz w:val="20"/>
                <w:szCs w:val="20"/>
                <w:color w:val="auto"/>
              </w:rPr>
            </w:pPr>
            <w:r>
              <w:rPr>
                <w:rFonts w:ascii="Arial" w:cs="Arial" w:eastAsia="Arial" w:hAnsi="Arial"/>
                <w:sz w:val="18"/>
                <w:szCs w:val="18"/>
                <w:color w:val="auto"/>
              </w:rPr>
              <w:t>Stock-based compensation expense included in items above:</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2005</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37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3700" w:type="dxa"/>
            <w:vAlign w:val="bottom"/>
            <w:gridSpan w:val="3"/>
            <w:shd w:val="clear" w:color="auto" w:fill="CCEEFF"/>
          </w:tcPr>
          <w:p>
            <w:pPr>
              <w:ind w:left="36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 of revenue</w:t>
            </w: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 of revenue</w:t>
            </w: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00" w:type="dxa"/>
            <w:vAlign w:val="bottom"/>
          </w:tcPr>
          <w:p>
            <w:pPr>
              <w:jc w:val="right"/>
              <w:ind w:right="2718"/>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-3096260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-3096260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-3096260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-3096260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-3096260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-3096260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-3096260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-3096260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-3096260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-2795905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-2795905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-2795905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-2795905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-2795905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-2795905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-2795905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-2795905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-2795905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-2495550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-2495550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-2495550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-2495550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-2495550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-2495550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-2495550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-2495550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-2495550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Sept. 30</w:t>
            </w: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1"/>
              </w:rPr>
              <w:t>June 30</w:t>
            </w:r>
          </w:p>
        </w:tc>
        <w:tc>
          <w:tcPr>
            <w:tcW w:w="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1946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Accounts receivable, net of allowances for customer adjustments and doubtful accounts of $48 million at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September 30, 2005, $39 million at June 30, 2005, and $45 million at September 30, 2004</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(5324)</w:t>
            </w:r>
          </w:p>
        </w:tc>
        <w:tc>
          <w:tcPr>
            <w:tcW w:w="10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(5566)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(5711)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Equity and debt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retirement costs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Profit sharing contributions and accrued retirement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Common stock, $1 par value. Authorized — 2,400,000,000 shares. Shares issued: September 30, 2005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1,738,650,318; June 30, 2005 — 1,738,514,238; September 30, 2004 — 1,738,141,785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Shares: September 30, 2005 — 120,597,527; June 30, 2005 — 115,461,457; September 30, 2004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10,216,953</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(3152)</w:t>
            </w: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(2908)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11463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920" w:type="dxa"/>
            <w:vAlign w:val="bottom"/>
            <w:gridSpan w:val="2"/>
            <w:vMerge w:val="restart"/>
          </w:tcPr>
          <w:p>
            <w:pPr>
              <w:jc w:val="right"/>
              <w:ind w:right="30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-4639945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-4639945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-4639945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-4639945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-4639945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-4639945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-4639945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-4639945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-4639945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-325755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-325755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308"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8"/>
          </w:tcPr>
          <w:p>
            <w:pPr>
              <w:ind w:left="300"/>
              <w:spacing w:after="0"/>
              <w:rPr>
                <w:sz w:val="20"/>
                <w:szCs w:val="20"/>
                <w:color w:val="auto"/>
              </w:rPr>
            </w:pPr>
            <w:r>
              <w:rPr>
                <w:rFonts w:ascii="Arial" w:cs="Arial" w:eastAsia="Arial" w:hAnsi="Arial"/>
                <w:sz w:val="14"/>
                <w:szCs w:val="14"/>
                <w:b w:val="1"/>
                <w:bCs w:val="1"/>
                <w:color w:val="auto"/>
                <w:w w:val="90"/>
              </w:rPr>
              <w:t>For Three Months Ended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9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5"/>
              </w:rPr>
              <w:t>Sept. 30</w:t>
            </w:r>
          </w:p>
        </w:tc>
        <w:tc>
          <w:tcPr>
            <w:tcW w:w="9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June 30</w:t>
            </w: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(Gains)/losses on investments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(Gains)/losses on sales of assets</w:t>
            </w:r>
          </w:p>
        </w:tc>
        <w:tc>
          <w:tcPr>
            <w:tcW w:w="100" w:type="dxa"/>
            <w:vAlign w:val="bottom"/>
          </w:tcPr>
          <w:p>
            <w:pPr>
              <w:spacing w:after="0"/>
              <w:rPr>
                <w:sz w:val="18"/>
                <w:szCs w:val="18"/>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from change 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Noncurrent accrued retirement costs</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100" w:type="dxa"/>
            <w:vAlign w:val="bottom"/>
          </w:tcPr>
          <w:p>
            <w:pPr>
              <w:spacing w:after="0"/>
              <w:rPr>
                <w:sz w:val="18"/>
                <w:szCs w:val="18"/>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(2095)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1192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(1364)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 and long-term debt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Excess tax benefit from stock-option exercises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(1292)</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(1227)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2133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1856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1946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60" w:type="dxa"/>
            <w:vAlign w:val="bottom"/>
            <w:gridSpan w:val="2"/>
            <w:vMerge w:val="restart"/>
          </w:tcPr>
          <w:p>
            <w:pPr>
              <w:jc w:val="right"/>
              <w:ind w:right="32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-325755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-325755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12"/>
          </w:tcPr>
          <w:p>
            <w:pPr>
              <w:jc w:val="center"/>
              <w:ind w:right="140"/>
              <w:spacing w:after="0"/>
              <w:rPr>
                <w:sz w:val="20"/>
                <w:szCs w:val="20"/>
                <w:color w:val="auto"/>
              </w:rPr>
            </w:pPr>
            <w:r>
              <w:rPr>
                <w:rFonts w:ascii="Arial" w:cs="Arial" w:eastAsia="Arial" w:hAnsi="Arial"/>
                <w:sz w:val="14"/>
                <w:szCs w:val="14"/>
                <w:b w:val="1"/>
                <w:bCs w:val="1"/>
                <w:color w:val="auto"/>
                <w:w w:val="89"/>
              </w:rPr>
              <w:t>For 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1"/>
              </w:rPr>
              <w:t>Sept. 30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4"/>
              </w:rPr>
              <w:t>June 30</w:t>
            </w: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$ 3134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$ 2764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9"/>
              </w:rPr>
              <w:t>$ 2785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Trade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$ 3239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$ 3250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780" w:type="dxa"/>
            <w:vAlign w:val="bottom"/>
            <w:gridSpan w:val="2"/>
            <w:vMerge w:val="restart"/>
          </w:tcPr>
          <w:p>
            <w:pPr>
              <w:jc w:val="center"/>
              <w:ind w:right="1492"/>
              <w:spacing w:after="0"/>
              <w:rPr>
                <w:sz w:val="20"/>
                <w:szCs w:val="20"/>
                <w:color w:val="auto"/>
              </w:rPr>
            </w:pPr>
            <w:r>
              <w:rPr>
                <w:rFonts w:ascii="Arial" w:cs="Arial" w:eastAsia="Arial" w:hAnsi="Arial"/>
                <w:sz w:val="18"/>
                <w:szCs w:val="18"/>
                <w:color w:val="auto"/>
                <w:w w:val="88"/>
              </w:rPr>
              <w:t>Business Segment Profit (Loss)</w:t>
            </w: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780" w:type="dxa"/>
            <w:vAlign w:val="bottom"/>
            <w:gridSpan w:val="2"/>
          </w:tcPr>
          <w:p>
            <w:pPr>
              <w:jc w:val="center"/>
              <w:ind w:right="1472"/>
              <w:spacing w:after="0"/>
              <w:rPr>
                <w:sz w:val="20"/>
                <w:szCs w:val="20"/>
                <w:color w:val="auto"/>
              </w:rPr>
            </w:pPr>
            <w:r>
              <w:rPr>
                <w:rFonts w:ascii="Arial" w:cs="Arial" w:eastAsia="Arial" w:hAnsi="Arial"/>
                <w:sz w:val="18"/>
                <w:szCs w:val="18"/>
                <w:color w:val="auto"/>
                <w:w w:val="94"/>
              </w:rPr>
              <w:t>(In millions of dollars)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3"/>
              </w:rPr>
              <w:t>For Three Months Ended</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60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Sept. 30</w:t>
            </w:r>
          </w:p>
        </w:tc>
        <w:tc>
          <w:tcPr>
            <w:tcW w:w="1060" w:type="dxa"/>
            <w:vAlign w:val="bottom"/>
            <w:gridSpan w:val="6"/>
          </w:tcPr>
          <w:p>
            <w:pPr>
              <w:spacing w:after="0"/>
              <w:rPr>
                <w:sz w:val="20"/>
                <w:szCs w:val="20"/>
                <w:color w:val="auto"/>
              </w:rPr>
            </w:pPr>
            <w:r>
              <w:rPr>
                <w:rFonts w:ascii="Arial" w:cs="Arial" w:eastAsia="Arial" w:hAnsi="Arial"/>
                <w:sz w:val="14"/>
                <w:szCs w:val="14"/>
                <w:b w:val="1"/>
                <w:bCs w:val="1"/>
                <w:color w:val="auto"/>
              </w:rPr>
              <w:t>June 30</w:t>
            </w: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93"/>
              </w:rPr>
              <w:t>Sept.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76"/>
              </w:rPr>
              <w:t>2005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47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Sensors &amp; Controls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Corporate *</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52"/>
              <w:spacing w:after="0"/>
              <w:rPr>
                <w:sz w:val="20"/>
                <w:szCs w:val="20"/>
                <w:color w:val="auto"/>
              </w:rPr>
            </w:pPr>
            <w:r>
              <w:rPr>
                <w:rFonts w:ascii="Arial" w:cs="Arial" w:eastAsia="Arial" w:hAnsi="Arial"/>
                <w:sz w:val="18"/>
                <w:szCs w:val="18"/>
                <w:color w:val="auto"/>
                <w:w w:val="95"/>
              </w:rPr>
              <w:t>(145)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7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-2199005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-2199005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-2199005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-2199005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-2199005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-2199005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-2199005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-2199005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-2199005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20" w:right="24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Profit from operations includes, in millions of dollars, stock-based compensation expense of $82, $5 and $5 for the third quarter and second quarter of 2005 and the third quarter of 2004.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left="780" w:right="240" w:hanging="326"/>
        <w:spacing w:after="0" w:line="325"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Semiconductor revenue of $3.13 billion increased $370 million sequentially, or 13 percent, due to strong growth in demand for the company’s DSP, analog and DLP products. Compared with a year ago, revenue increased 13 percent due to higher demand for DSP and analog products.</w:t>
      </w:r>
    </w:p>
    <w:p>
      <w:pPr>
        <w:spacing w:after="0" w:line="1"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$1.60 billion, or 50.9 percent of revenue. Gross profit increased $280 million sequentially and $308 million from a year ago primarily due to higher revenue plus manufacturing cost reductions and higher utilization of manufacturing assets.</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$835 million, or 26.6 percent of revenue, up $241 million sequentially and $253 million from a year ago due to higher gross profit.</w:t>
      </w:r>
    </w:p>
    <w:p>
      <w:pPr>
        <w:spacing w:after="0" w:line="37"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Analog revenue increased 13 percent sequentially reflecting strong demand for high-performance analog products, as well as wireless analog products. Compared with a year ago, analog revenue increased 11 percent primarily due to strength in high-performance analog products. High-performance analog revenue grew 10 percent sequentially and 16 percent from a year ago.</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DSP revenue increased 16 percent sequentially and 20 percent from a year ago primarily due to higher demand from the wireless market.</w:t>
      </w:r>
    </w:p>
    <w:p>
      <w:pPr>
        <w:spacing w:after="0" w:line="126" w:lineRule="exact"/>
        <w:rPr>
          <w:rFonts w:ascii="Arial" w:cs="Arial" w:eastAsia="Arial" w:hAnsi="Arial"/>
          <w:sz w:val="16"/>
          <w:szCs w:val="16"/>
          <w:color w:val="auto"/>
        </w:rPr>
      </w:pPr>
    </w:p>
    <w:p>
      <w:pPr>
        <w:ind w:left="780" w:right="34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remaining Semiconductor revenue grew 11 percent sequentially and 4 percent from a year ago. The sequential increase was primarily due to increased DLP product revenue and, to a lesser extent, standard logic and royalty revenue. Microcontroller and RISC microprocessor revenue was about the same as the second quarter. From a year ago, RISC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4" w:name="page15"/>
    <w:bookmarkEnd w:id="14"/>
    <w:p>
      <w:pPr>
        <w:ind w:left="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microprocessor, royalty, microcontroller and standard logic revenue increased. DLP product revenue was about the same as a year ago.</w:t>
      </w:r>
    </w:p>
    <w:p>
      <w:pPr>
        <w:spacing w:after="0" w:line="113" w:lineRule="exact"/>
        <w:rPr>
          <w:sz w:val="20"/>
          <w:szCs w:val="20"/>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orders of $3.32 billion increased 12 percent sequentially primarily due to strong demand for DSP and analog products used in cell phones, as well as demand for high-performance analog and other DSP products. Compared with a year ago, orders increased 26 percent due to strong demand across a broad base of the company’s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3Q Semiconductor Highlights</w:t>
      </w:r>
    </w:p>
    <w:p>
      <w:pPr>
        <w:spacing w:after="0" w:line="83" w:lineRule="exact"/>
        <w:rPr>
          <w:sz w:val="20"/>
          <w:szCs w:val="20"/>
          <w:color w:val="auto"/>
        </w:rPr>
      </w:pPr>
    </w:p>
    <w:p>
      <w:pPr>
        <w:jc w:val="both"/>
        <w:ind w:left="780" w:right="280" w:hanging="326"/>
        <w:spacing w:after="0" w:line="298"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 introduced DaVinci™, its most advanced semiconductor technology for new generations of digital video products. A DSP-based solution with integrated processors, software and tools, DaVinci-enabled solutions are under way for products such as digital cameras, automotive infotainment products, portable media players, set-top boxes and video security systems. Additionally, TI released a suite of companion analog products to help customers quickly introduce their DaVinci-based systems into the market.</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Samsung Electronics selected TI’s OMAP™ platform and Bluetooth</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solutions for its first Symbian OS™ and Series 60-based smartphones.</w:t>
      </w:r>
    </w:p>
    <w:p>
      <w:pPr>
        <w:spacing w:after="0" w:line="69" w:lineRule="exact"/>
        <w:rPr>
          <w:rFonts w:ascii="Arial" w:cs="Arial" w:eastAsia="Arial" w:hAnsi="Arial"/>
          <w:sz w:val="17"/>
          <w:szCs w:val="17"/>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 announced it has achieved cumulative shipments of more than 150 million Voice over IP (VoIP) ports, retaining its leadership in the VoIP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Sensors &amp; Controls revenue was $280 million, down $15 million sequentially primarily due to lower seasonal demand for controls products and up $4 million from a year ago due to higher demand for automotive sensors products.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80" w:right="319" w:bottom="1440" w:gutter="0" w:footer="0" w:header="0"/>
        </w:sectPr>
      </w:pPr>
    </w:p>
    <w:bookmarkStart w:id="15" w:name="page16"/>
    <w:bookmarkEnd w:id="15"/>
    <w:p>
      <w:pPr>
        <w:ind w:left="780" w:right="280" w:hanging="326"/>
        <w:spacing w:after="0" w:line="325"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was $93 million, or 33.1 percent of revenue, down $15 million sequentially due to lower revenue and higher manufacturing costs, and down $9 million from a year ago primarily due to higher manufacturing costs, including start-up expenses for new products.</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profit was $60 million, or 21.4 percent of revenue, down $12 million sequentially and down $6 million from a year ago due to lower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Educational &amp; Productivity Solutions (E&amp;PS)</w:t>
      </w:r>
    </w:p>
    <w:p>
      <w:pPr>
        <w:spacing w:after="0" w:line="8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E&amp;PS revenue was $177 million, down $4 million sequentially and down $13 million from a year ago due to lower sales of graphing calculators.</w:t>
      </w:r>
    </w:p>
    <w:p>
      <w:pPr>
        <w:spacing w:after="0" w:line="126"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was $110 million, or 62.1 percent of revenue, about even sequentially and down $4 million from a year ago primarily due to lower revenue.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profit was $79 million, or 44.7 percent of revenue, even sequentially and down $4 million from a year ago due to lower gross profit.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16" w:name="page17"/>
    <w:bookmarkEnd w:id="1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780" w:right="6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w:t>
      </w:r>
    </w:p>
    <w:p>
      <w:pPr>
        <w:spacing w:after="0" w:line="37"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is traded on the New York Stock Exchange under the symbol TXN. More information is located on the World Wide Web at www.ti.com.</w:t>
      </w:r>
    </w:p>
    <w:p>
      <w:pPr>
        <w:sectPr>
          <w:pgSz w:w="11900" w:h="16838" w:orient="portrait"/>
          <w:cols w:equalWidth="0" w:num="1">
            <w:col w:w="10920"/>
          </w:cols>
          <w:pgMar w:left="240" w:top="280" w:right="73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DaVinci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OMAP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15</w:t>
      </w:r>
    </w:p>
    <w:sectPr>
      <w:pgSz w:w="11900" w:h="16838" w:orient="portrait"/>
      <w:cols w:equalWidth="0" w:num="1">
        <w:col w:w="10920"/>
      </w:cols>
      <w:pgMar w:left="240" w:top="280"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99"/>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2019-12-13T07:36:01Z</dcterms:created>
  <dcterms:modified xsi:type="dcterms:W3CDTF">2019-12-13T07:36:01Z</dcterms:modified>
</cp:coreProperties>
</file>