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549275</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8-K/A</w:t>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00" w:lineRule="exact"/>
        <w:rPr>
          <w:sz w:val="24"/>
          <w:szCs w:val="24"/>
          <w:color w:val="auto"/>
        </w:rPr>
      </w:pPr>
    </w:p>
    <w:p>
      <w:pPr>
        <w:spacing w:after="0" w:line="29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DATE OF REPORT (DATE OF EARLIEST EVENT REPORTED): September 23,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401955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TEXAS INSTRUMENTS INCORPORATED</w:t>
      </w:r>
    </w:p>
    <w:p>
      <w:pPr>
        <w:spacing w:after="0" w:line="2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394970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ectPr>
          <w:pgSz w:w="11900" w:h="16838" w:orient="portrait"/>
          <w:cols w:equalWidth="0" w:num="1">
            <w:col w:w="11300"/>
          </w:cols>
          <w:pgMar w:left="240" w:top="544"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6"/>
          <w:szCs w:val="16"/>
          <w:b w:val="1"/>
          <w:bCs w:val="1"/>
          <w:color w:val="auto"/>
        </w:rPr>
        <w:t>(State or Other Jurisdiction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(IRS Employer Identification No.)</w:t>
      </w:r>
    </w:p>
    <w:p>
      <w:pPr>
        <w:spacing w:after="0" w:line="32" w:lineRule="exact"/>
        <w:rPr>
          <w:sz w:val="24"/>
          <w:szCs w:val="24"/>
          <w:color w:val="auto"/>
        </w:rPr>
      </w:pPr>
    </w:p>
    <w:p>
      <w:pPr>
        <w:sectPr>
          <w:pgSz w:w="11900" w:h="16838" w:orient="portrait"/>
          <w:cols w:equalWidth="0" w:num="3">
            <w:col w:w="3940" w:space="720"/>
            <w:col w:w="2820" w:space="720"/>
            <w:col w:w="3100"/>
          </w:cols>
          <w:pgMar w:left="240" w:top="544" w:right="359" w:bottom="1440" w:gutter="0" w:footer="0" w:header="0"/>
          <w:type w:val="continuous"/>
        </w:sectPr>
      </w:pPr>
    </w:p>
    <w:p>
      <w:pPr>
        <w:ind w:left="1240"/>
        <w:spacing w:after="0"/>
        <w:rPr>
          <w:sz w:val="20"/>
          <w:szCs w:val="20"/>
          <w:color w:val="auto"/>
        </w:rPr>
      </w:pPr>
      <w:r>
        <w:rPr>
          <w:rFonts w:ascii="Arial" w:cs="Arial" w:eastAsia="Arial" w:hAnsi="Arial"/>
          <w:sz w:val="16"/>
          <w:szCs w:val="16"/>
          <w:b w:val="1"/>
          <w:bCs w:val="1"/>
          <w:color w:val="auto"/>
        </w:rPr>
        <w:t>of Incorporation)</w:t>
      </w:r>
    </w:p>
    <w:p>
      <w:pPr>
        <w:sectPr>
          <w:pgSz w:w="11900" w:h="16838" w:orient="portrait"/>
          <w:cols w:equalWidth="0" w:num="1">
            <w:col w:w="11300"/>
          </w:cols>
          <w:pgMar w:left="240" w:top="544" w:right="359" w:bottom="1440" w:gutter="0" w:footer="0" w:header="0"/>
          <w:type w:val="continuous"/>
        </w:sectPr>
      </w:pPr>
    </w:p>
    <w:p>
      <w:pPr>
        <w:spacing w:after="0" w:line="200" w:lineRule="exact"/>
        <w:rPr>
          <w:sz w:val="24"/>
          <w:szCs w:val="24"/>
          <w:color w:val="auto"/>
        </w:rPr>
      </w:pPr>
    </w:p>
    <w:p>
      <w:pPr>
        <w:spacing w:after="0" w:line="30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234315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300"/>
          </w:cols>
          <w:pgMar w:left="240" w:top="544" w:right="359" w:bottom="1440" w:gutter="0" w:footer="0" w:header="0"/>
          <w:type w:val="continuous"/>
        </w:sectPr>
      </w:pPr>
    </w:p>
    <w:bookmarkStart w:id="1" w:name="page2"/>
    <w:bookmarkEnd w:id="1"/>
    <w:p>
      <w:pPr>
        <w:ind w:right="120"/>
        <w:spacing w:after="0" w:line="264" w:lineRule="auto"/>
        <w:rPr>
          <w:sz w:val="20"/>
          <w:szCs w:val="20"/>
          <w:color w:val="auto"/>
        </w:rPr>
      </w:pPr>
      <w:r>
        <w:rPr>
          <w:rFonts w:ascii="Arial" w:cs="Arial" w:eastAsia="Arial" w:hAnsi="Arial"/>
          <w:sz w:val="18"/>
          <w:szCs w:val="18"/>
          <w:color w:val="auto"/>
        </w:rPr>
        <w:t>This Amendment No. 1 amends the report on Form 8-K that Texas Instruments Incorporated (“TI”) filed with the SEC on September 23, 2011, regarding the completion of its acquisition of National Semiconductor Corporation (“National”), to include the financial statements and pro forma financial information required by Item 9.01 of Form 8-K.</w:t>
      </w:r>
    </w:p>
    <w:p>
      <w:pPr>
        <w:spacing w:after="0" w:line="20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Financial statements of business acquired</w:t>
      </w:r>
      <w:r>
        <w:rPr>
          <w:rFonts w:ascii="Arial" w:cs="Arial" w:eastAsia="Arial" w:hAnsi="Arial"/>
          <w:sz w:val="18"/>
          <w:szCs w:val="18"/>
          <w:color w:val="auto"/>
        </w:rPr>
        <w:t>.</w:t>
      </w:r>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audited financial statements of National as of May 29, 2011, and May 30, 2010, and for each of the three years in the period ended May 29, 2011, are incorporated herein by reference to National’s Annual Report on Form 10-K for the fiscal year ended May 29, 2011.</w:t>
      </w:r>
    </w:p>
    <w:p>
      <w:pPr>
        <w:spacing w:after="0" w:line="197"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Pro forma financial information</w:t>
      </w:r>
      <w:r>
        <w:rPr>
          <w:rFonts w:ascii="Arial" w:cs="Arial" w:eastAsia="Arial" w:hAnsi="Arial"/>
          <w:sz w:val="18"/>
          <w:szCs w:val="18"/>
          <w:color w:val="auto"/>
        </w:rPr>
        <w:t>.</w:t>
      </w:r>
    </w:p>
    <w:p>
      <w:pPr>
        <w:spacing w:after="0" w:line="252"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color w:val="auto"/>
        </w:rPr>
        <w:t>Unaudited pro forma combined financial statements and explanatory notes relating to TI’s acquisition of National, as of and for the twelve months ended December 31, 2010, and the six months ended June 30, 2011 and 2010, are attached to this report on Form 8-K/A as Exhibit 99.1 and are filed herewith.</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(c)</w:t>
            </w:r>
          </w:p>
        </w:tc>
        <w:tc>
          <w:tcPr>
            <w:tcW w:w="1880" w:type="dxa"/>
            <w:vAlign w:val="bottom"/>
          </w:tcPr>
          <w:p>
            <w:pPr>
              <w:ind w:left="140"/>
              <w:spacing w:after="0"/>
              <w:rPr>
                <w:sz w:val="20"/>
                <w:szCs w:val="20"/>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tc>
        <w:tc>
          <w:tcPr>
            <w:tcW w:w="9200" w:type="dxa"/>
            <w:vAlign w:val="bottom"/>
          </w:tcPr>
          <w:p>
            <w:pPr>
              <w:spacing w:after="0"/>
              <w:rPr>
                <w:sz w:val="20"/>
                <w:szCs w:val="20"/>
                <w:color w:val="auto"/>
              </w:rPr>
            </w:pPr>
          </w:p>
        </w:tc>
      </w:tr>
      <w:tr>
        <w:trPr>
          <w:trHeight w:val="445"/>
        </w:trPr>
        <w:tc>
          <w:tcPr>
            <w:tcW w:w="34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92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920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in this Report</w:t>
            </w:r>
          </w:p>
        </w:tc>
        <w:tc>
          <w:tcPr>
            <w:tcW w:w="9200" w:type="dxa"/>
            <w:vAlign w:val="bottom"/>
          </w:tcPr>
          <w:p>
            <w:pPr>
              <w:ind w:left="400"/>
              <w:spacing w:after="0"/>
              <w:rPr>
                <w:sz w:val="20"/>
                <w:szCs w:val="20"/>
                <w:color w:val="auto"/>
              </w:rPr>
            </w:pPr>
            <w:r>
              <w:rPr>
                <w:rFonts w:ascii="Arial" w:cs="Arial" w:eastAsia="Arial" w:hAnsi="Arial"/>
                <w:sz w:val="18"/>
                <w:szCs w:val="18"/>
                <w:color w:val="auto"/>
              </w:rPr>
              <w:t>Description of Exhibit</w:t>
            </w:r>
          </w:p>
        </w:tc>
      </w:tr>
      <w:tr>
        <w:trPr>
          <w:trHeight w:val="223"/>
        </w:trPr>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9200" w:type="dxa"/>
            <w:vAlign w:val="bottom"/>
            <w:tcBorders>
              <w:bottom w:val="single" w:sz="8" w:color="auto"/>
            </w:tcBorders>
          </w:tcPr>
          <w:p>
            <w:pPr>
              <w:spacing w:after="0"/>
              <w:rPr>
                <w:sz w:val="19"/>
                <w:szCs w:val="19"/>
                <w:color w:val="auto"/>
              </w:rPr>
            </w:pPr>
          </w:p>
        </w:tc>
      </w:tr>
      <w:tr>
        <w:trPr>
          <w:trHeight w:val="202"/>
        </w:trPr>
        <w:tc>
          <w:tcPr>
            <w:tcW w:w="340" w:type="dxa"/>
            <w:vAlign w:val="bottom"/>
          </w:tcPr>
          <w:p>
            <w:pPr>
              <w:spacing w:after="0"/>
              <w:rPr>
                <w:sz w:val="17"/>
                <w:szCs w:val="17"/>
                <w:color w:val="auto"/>
              </w:rPr>
            </w:pPr>
          </w:p>
        </w:tc>
        <w:tc>
          <w:tcPr>
            <w:tcW w:w="1880" w:type="dxa"/>
            <w:vAlign w:val="bottom"/>
          </w:tcPr>
          <w:p>
            <w:pPr>
              <w:jc w:val="center"/>
              <w:spacing w:after="0" w:line="201" w:lineRule="exact"/>
              <w:rPr>
                <w:sz w:val="20"/>
                <w:szCs w:val="20"/>
                <w:color w:val="auto"/>
              </w:rPr>
            </w:pPr>
            <w:r>
              <w:rPr>
                <w:rFonts w:ascii="Arial" w:cs="Arial" w:eastAsia="Arial" w:hAnsi="Arial"/>
                <w:sz w:val="18"/>
                <w:szCs w:val="18"/>
                <w:color w:val="auto"/>
                <w:w w:val="91"/>
              </w:rPr>
              <w:t>23.1</w:t>
            </w:r>
          </w:p>
        </w:tc>
        <w:tc>
          <w:tcPr>
            <w:tcW w:w="9200" w:type="dxa"/>
            <w:vAlign w:val="bottom"/>
          </w:tcPr>
          <w:p>
            <w:pPr>
              <w:ind w:left="400"/>
              <w:spacing w:after="0" w:line="201" w:lineRule="exact"/>
              <w:rPr>
                <w:sz w:val="20"/>
                <w:szCs w:val="20"/>
                <w:color w:val="auto"/>
              </w:rPr>
            </w:pPr>
            <w:r>
              <w:rPr>
                <w:rFonts w:ascii="Arial" w:cs="Arial" w:eastAsia="Arial" w:hAnsi="Arial"/>
                <w:sz w:val="18"/>
                <w:szCs w:val="18"/>
                <w:color w:val="auto"/>
              </w:rPr>
              <w:t>Consent of Independent Registered Public Accounting Firm</w:t>
            </w:r>
          </w:p>
        </w:tc>
      </w:tr>
      <w:tr>
        <w:trPr>
          <w:trHeight w:val="230"/>
        </w:trPr>
        <w:tc>
          <w:tcPr>
            <w:tcW w:w="34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9200" w:type="dxa"/>
            <w:vAlign w:val="bottom"/>
          </w:tcPr>
          <w:p>
            <w:pPr>
              <w:ind w:left="400"/>
              <w:spacing w:after="0"/>
              <w:rPr>
                <w:sz w:val="20"/>
                <w:szCs w:val="20"/>
                <w:color w:val="auto"/>
              </w:rPr>
            </w:pPr>
            <w:r>
              <w:rPr>
                <w:rFonts w:ascii="Arial" w:cs="Arial" w:eastAsia="Arial" w:hAnsi="Arial"/>
                <w:sz w:val="18"/>
                <w:szCs w:val="18"/>
                <w:color w:val="auto"/>
              </w:rPr>
              <w:t>Unaudited pro forma combined financial statements and explanatory notes</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November 14,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513"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23.1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consent to the incorporation by reference in the following registration statements and in the related prospectuses thereto: (Nos. 333-158933, 333-158934, 33-42172, 33-54615, 33-61154, 333-07127 (as amended), 333-41913, 333-41919, 333-31321 (as amended), 333-31323, 333-48389, 333-44662, 333-107759, 333-107760, 333-107761, 333-127021, and 333-177235) on Form S-8; (No. 333-165045) on Form S-3; and (Nos. 333-89433 (as amended), 333-87199, 333-80157 (as amended), and 333-41030 (as amended)) on Form S-4 of Texas Instruments Incorporated of our report dated July 26, 2011, with respect to the consolidated balance sheets of National Semiconductor Corporation and subsidiaries (the Company) as of May 29, 2011, and May 30, 2010, and the related consolidated statements of income, comprehensive income, shareholders’ equity, and cash flows for each of the years in the three-year period ended May 29, 2011 and the accompanying financial statement schedule, which report is incorporated by reference in the Form 8-K/A of Texas Instruments Incorporated dated November 14, 2011.</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Our report refers to a change in the Company’s method of accounting for the measurement date of its retirement and pension plans in fiscal year 2009</w:t>
      </w:r>
      <w:r>
        <w:rPr>
          <w:rFonts w:ascii="Arial" w:cs="Arial" w:eastAsia="Arial" w:hAnsi="Arial"/>
          <w:sz w:val="17"/>
          <w:szCs w:val="17"/>
          <w:i w:val="1"/>
          <w:iCs w:val="1"/>
          <w:color w:val="auto"/>
        </w:rPr>
        <w:t>.</w:t>
      </w:r>
    </w:p>
    <w:p>
      <w:pPr>
        <w:spacing w:after="0" w:line="26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-10160</wp:posOffset>
            </wp:positionV>
            <wp:extent cx="1036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KPMG LLP</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Mountain View,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11, 2011</w:t>
      </w:r>
    </w:p>
    <w:p>
      <w:pPr>
        <w:sectPr>
          <w:pgSz w:w="11900" w:h="16838" w:orient="portrait"/>
          <w:cols w:equalWidth="0" w:num="1">
            <w:col w:w="11420"/>
          </w:cols>
          <w:pgMar w:left="240" w:top="125" w:right="239" w:bottom="1440" w:gutter="0" w:footer="0" w:header="0"/>
        </w:sectPr>
      </w:pPr>
    </w:p>
    <w:bookmarkStart w:id="4" w:name="page5"/>
    <w:bookmarkEnd w:id="4"/>
    <w:p>
      <w:pPr>
        <w:spacing w:after="0" w:line="62" w:lineRule="exact"/>
        <w:rPr>
          <w:sz w:val="20"/>
          <w:szCs w:val="20"/>
          <w:color w:val="auto"/>
        </w:rPr>
      </w:pPr>
    </w:p>
    <w:p>
      <w:pPr>
        <w:ind w:left="10540"/>
        <w:spacing w:after="0"/>
        <w:rPr>
          <w:sz w:val="20"/>
          <w:szCs w:val="20"/>
          <w:color w:val="auto"/>
        </w:rPr>
      </w:pPr>
      <w:r>
        <w:rPr>
          <w:rFonts w:ascii="Arial" w:cs="Arial" w:eastAsia="Arial" w:hAnsi="Arial"/>
          <w:sz w:val="16"/>
          <w:szCs w:val="16"/>
          <w:u w:val="single" w:color="auto"/>
          <w:color w:val="auto"/>
        </w:rPr>
        <w:t>Exhibit 99.1</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Financial Statements</w:t>
      </w:r>
    </w:p>
    <w:p>
      <w:pPr>
        <w:spacing w:after="0" w:line="25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On September 23, 2011 (the “Closing Date”), Texas Instruments Incorporated (“TI”) completed the acquisition of National Semiconductor Corporation (“National”) for total cash consideration of approximately $6.5 billion. The acquisition was financed through a combination of existing cash on hand and $3.5 billion of long-term debt issued in May 2011.</w:t>
      </w:r>
    </w:p>
    <w:p>
      <w:pPr>
        <w:spacing w:after="0" w:line="2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acquisition is accounted for using the acquisition method of accounting whereby the assets acquired and liabilities assumed as of the Closing Date, including identifiable intangible assets such as developed technologies, are recorded at their estimated fair value. The excess of the consideration transferred over the fair value of the identifiable assets acquired and liabilities assumed is recognized as goodwill, which will not be amortized but will be subject to an annual impairment test.</w:t>
      </w:r>
    </w:p>
    <w:p>
      <w:pPr>
        <w:spacing w:after="0" w:line="21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following unaudited pro forma combined financial statements are based on the latest available historical consolidated financial statements of TI and National, which are incorporated by reference into this current report on Form 8-K/A. In preparing these statements, certain historical financial information for National, which had a fiscal year that ended on the last Sunday of May, was recast to a reportable period comparable to TI’s reporting period (TI reports on a calendar-year basis) and that is within 93 days of TI’s calendar reporting periods. To the results for National’s fiscal year ended May 30, 2010, we added the results for the six months ended November 28, 2010, and subtracted the results for the six months ended November 27, 2009, to get the statement of income for the twelve months ended November 28, 2010. To the results for National’s fiscal year ended May 29, 2011, we subtracted the results for the six months ended November 28, 2010, to get the statement of income for the six months ended May 29, 2011, and to the results for National’s fiscal year ended May 30, 2010, we subtracted the results for the six months ended November 29, 2009, to get the statement of income for the six months ended May 30, 2010. In addition, certain reclassifications were made to the reported financial information of National to conform to the reporting classifications of TI.</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unaudited pro forma combined statements of income for the twelve months ended December 31, 2010, and the six months ended June 30, 2011 and 2010, give effect to the acquisition as if it had been completed on January 1, 2010, and therefore will differ from actual results reported by TI. No unaudited pro forma combined balance sheet is presented in this Form 8-K/A as TI has previously filed its Quarterly Report on Form 10-Q for the quarter ended September 30, 2011, which included the financial position of National in its consolidated results.</w:t>
      </w:r>
    </w:p>
    <w:p>
      <w:pPr>
        <w:spacing w:after="0" w:line="21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historical financial information has been adjusted to give effect to pro forma events that are (1) directly attributable to the acquisition, (2) factually supportable and (3) expected to have a continuing impact on the combined results of TI and National. The unaudited pro forma combined financial statements do not reflect any operating efficiencies, cost savings or revenue enhancements that may be achieved by the combined companies. In addition, certain nonrecurring expenses expected to be incurred within the first twelve months after the acquisition, such as announced or planned restructuring events, are also not reflected in the pro forma statements.</w:t>
      </w:r>
    </w:p>
    <w:p>
      <w:pPr>
        <w:spacing w:after="0" w:line="21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TI is reviewing National’s accounting policies to determine whether to harmonize any differences in policies. These unaudited pro forma combined financial statements do not assume any material differences in accounting policies.</w:t>
      </w:r>
    </w:p>
    <w:p>
      <w:pPr>
        <w:spacing w:after="0" w:line="19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These unaudited pro forma combined financial statements are preliminary and are provided for informational purposes only and are not indicative of what the actual results of operations and financial position would have been had the acquisition taken place on the dates indicated, nor are they indicative of the future consolidated results of operations or financial position of the combined companies. The pro forma adjustments are based on information available as of the date of this current report on Form 8-K/A. Assumptions and estimates underlying the pro forma adjustments are described in the accompanying notes. These preliminary assumptions and estimates are subject to change as TI finalizes the valuations of the assets acquired and liabilities assumed in connection with its acquisition of National. Therefore, final adjustments may differ from the pro forma adjustments presented herein.</w:t>
      </w:r>
    </w:p>
    <w:p>
      <w:pPr>
        <w:spacing w:after="0" w:line="19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unaudited pro forma combined financial statements, including the notes thereto, should be read in conjunction with the historical financial statements of: TI, which are included in its Annual Report on Form 10-K for the year ended December 31, 2010 and its Quarterly Reports on Form 10-Q for the three and nine months ended September 30, 2011; and National, which is included in its Annual Report on Form 10-K for the fiscal year ended May 29, 2011, incorporated by reference in this current report on Form 8-K/A.</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Texas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National</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8"/>
              </w:rPr>
              <w:t>Instruments</w:t>
            </w:r>
          </w:p>
        </w:tc>
        <w:tc>
          <w:tcPr>
            <w:tcW w:w="240" w:type="dxa"/>
            <w:vAlign w:val="bottom"/>
          </w:tcPr>
          <w:p>
            <w:pPr>
              <w:spacing w:after="0"/>
              <w:rPr>
                <w:sz w:val="18"/>
                <w:szCs w:val="18"/>
                <w:color w:val="auto"/>
              </w:rPr>
            </w:pPr>
          </w:p>
        </w:tc>
        <w:tc>
          <w:tcPr>
            <w:tcW w:w="16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8"/>
              </w:rPr>
              <w:t>Semiconductor</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Twelve Months</w:t>
            </w:r>
          </w:p>
        </w:tc>
        <w:tc>
          <w:tcPr>
            <w:tcW w:w="240" w:type="dxa"/>
            <w:vAlign w:val="bottom"/>
          </w:tcPr>
          <w:p>
            <w:pPr>
              <w:spacing w:after="0"/>
              <w:rPr>
                <w:sz w:val="18"/>
                <w:szCs w:val="18"/>
                <w:color w:val="auto"/>
              </w:rPr>
            </w:pPr>
          </w:p>
        </w:tc>
        <w:tc>
          <w:tcPr>
            <w:tcW w:w="16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1"/>
              </w:rPr>
              <w:t>Twelve Months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 Pro</w:t>
            </w:r>
          </w:p>
        </w:tc>
        <w:tc>
          <w:tcPr>
            <w:tcW w:w="640" w:type="dxa"/>
            <w:vAlign w:val="bottom"/>
          </w:tcPr>
          <w:p>
            <w:pPr>
              <w:spacing w:after="0"/>
              <w:rPr>
                <w:sz w:val="18"/>
                <w:szCs w:val="18"/>
                <w:color w:val="auto"/>
              </w:rPr>
            </w:pPr>
          </w:p>
        </w:tc>
        <w:tc>
          <w:tcPr>
            <w:tcW w:w="13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Twelve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Ended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Ended</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Forma</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Dec. 31, 2010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Nov. 28, 2010</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Dec. 31, 2010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13,966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6,474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484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96</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(a)</w:t>
            </w:r>
          </w:p>
        </w:tc>
        <w:tc>
          <w:tcPr>
            <w:tcW w:w="1200" w:type="dxa"/>
            <w:vAlign w:val="bottom"/>
          </w:tcPr>
          <w:p>
            <w:pPr>
              <w:jc w:val="right"/>
              <w:spacing w:after="0"/>
              <w:rPr>
                <w:sz w:val="20"/>
                <w:szCs w:val="20"/>
                <w:color w:val="auto"/>
              </w:rPr>
            </w:pPr>
            <w:r>
              <w:rPr>
                <w:rFonts w:ascii="Arial" w:cs="Arial" w:eastAsia="Arial" w:hAnsi="Arial"/>
                <w:sz w:val="18"/>
                <w:szCs w:val="18"/>
                <w:color w:val="auto"/>
              </w:rPr>
              <w:t>7,092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w:t>
            </w: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(c)</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7,492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(134)</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1,570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280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(b)</w:t>
            </w:r>
          </w:p>
        </w:tc>
        <w:tc>
          <w:tcPr>
            <w:tcW w:w="1200" w:type="dxa"/>
            <w:vAlign w:val="bottom"/>
          </w:tcPr>
          <w:p>
            <w:pPr>
              <w:jc w:val="right"/>
              <w:spacing w:after="0"/>
              <w:rPr>
                <w:sz w:val="20"/>
                <w:szCs w:val="20"/>
                <w:color w:val="auto"/>
              </w:rPr>
            </w:pPr>
            <w:r>
              <w:rPr>
                <w:rFonts w:ascii="Arial" w:cs="Arial" w:eastAsia="Arial" w:hAnsi="Arial"/>
                <w:sz w:val="18"/>
                <w:szCs w:val="18"/>
                <w:color w:val="auto"/>
              </w:rPr>
              <w:t>1,843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Restructuring expense</w:t>
            </w:r>
          </w:p>
        </w:tc>
        <w:tc>
          <w:tcPr>
            <w:tcW w:w="1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cost/divestiture (gain), other</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1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4,514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467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(438)</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4,543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(e)</w:t>
            </w:r>
          </w:p>
        </w:tc>
        <w:tc>
          <w:tcPr>
            <w:tcW w:w="120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4,551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409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(465)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1,323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(163)</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(f)</w:t>
            </w:r>
          </w:p>
        </w:tc>
        <w:tc>
          <w:tcPr>
            <w:tcW w:w="1200" w:type="dxa"/>
            <w:vAlign w:val="bottom"/>
          </w:tcPr>
          <w:p>
            <w:pPr>
              <w:jc w:val="right"/>
              <w:spacing w:after="0"/>
              <w:rPr>
                <w:sz w:val="20"/>
                <w:szCs w:val="20"/>
                <w:color w:val="auto"/>
              </w:rPr>
            </w:pPr>
            <w:r>
              <w:rPr>
                <w:rFonts w:ascii="Arial" w:cs="Arial" w:eastAsia="Arial" w:hAnsi="Arial"/>
                <w:sz w:val="18"/>
                <w:szCs w:val="18"/>
                <w:color w:val="auto"/>
              </w:rPr>
              <w:t>1,264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3,228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305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(302)</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3,231</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26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CCEEFF"/>
            </w:tcBorders>
          </w:tcPr>
          <w:p>
            <w:pPr>
              <w:spacing w:after="0"/>
              <w:rPr>
                <w:sz w:val="21"/>
                <w:szCs w:val="21"/>
                <w:color w:val="auto"/>
              </w:rPr>
            </w:pPr>
          </w:p>
        </w:tc>
        <w:tc>
          <w:tcPr>
            <w:tcW w:w="128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CCEEFF"/>
            </w:tcBorders>
          </w:tcPr>
          <w:p>
            <w:pPr>
              <w:spacing w:after="0"/>
              <w:rPr>
                <w:sz w:val="21"/>
                <w:szCs w:val="21"/>
                <w:color w:val="auto"/>
              </w:rPr>
            </w:pPr>
          </w:p>
        </w:tc>
        <w:tc>
          <w:tcPr>
            <w:tcW w:w="116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CCEEFF"/>
              <w:bottom w:val="single" w:sz="8" w:color="CCEEFF"/>
            </w:tcBorders>
          </w:tcPr>
          <w:p>
            <w:pPr>
              <w:spacing w:after="0"/>
              <w:rPr>
                <w:sz w:val="21"/>
                <w:szCs w:val="21"/>
                <w:color w:val="auto"/>
              </w:rPr>
            </w:pPr>
          </w:p>
        </w:tc>
        <w:tc>
          <w:tcPr>
            <w:tcW w:w="3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auto"/>
              <w:bottom w:val="single" w:sz="8" w:color="CCEEFF"/>
            </w:tcBorders>
          </w:tcPr>
          <w:p>
            <w:pPr>
              <w:spacing w:after="0"/>
              <w:rPr>
                <w:sz w:val="21"/>
                <w:szCs w:val="21"/>
                <w:color w:val="auto"/>
              </w:rPr>
            </w:pPr>
          </w:p>
        </w:tc>
        <w:tc>
          <w:tcPr>
            <w:tcW w:w="1080" w:type="dxa"/>
            <w:vAlign w:val="bottom"/>
            <w:tcBorders>
              <w:top w:val="single" w:sz="8" w:color="auto"/>
              <w:bottom w:val="single" w:sz="8" w:color="CCEEFF"/>
            </w:tcBorders>
          </w:tcPr>
          <w:p>
            <w:pPr>
              <w:spacing w:after="0"/>
              <w:rPr>
                <w:sz w:val="21"/>
                <w:szCs w:val="21"/>
                <w:color w:val="auto"/>
              </w:rPr>
            </w:pPr>
          </w:p>
        </w:tc>
        <w:tc>
          <w:tcPr>
            <w:tcW w:w="140" w:type="dxa"/>
            <w:vAlign w:val="bottom"/>
            <w:tcBorders>
              <w:top w:val="single" w:sz="8" w:color="CCEEFF"/>
              <w:bottom w:val="single" w:sz="8" w:color="CCEEFF"/>
            </w:tcBorders>
          </w:tcPr>
          <w:p>
            <w:pPr>
              <w:spacing w:after="0"/>
              <w:rPr>
                <w:sz w:val="21"/>
                <w:szCs w:val="21"/>
                <w:color w:val="auto"/>
              </w:rPr>
            </w:pPr>
          </w:p>
        </w:tc>
        <w:tc>
          <w:tcPr>
            <w:tcW w:w="64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1200" w:type="dxa"/>
            <w:vAlign w:val="bottom"/>
            <w:tcBorders>
              <w:top w:val="single" w:sz="8" w:color="auto"/>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tcPr>
          <w:p>
            <w:pPr>
              <w:ind w:left="120"/>
              <w:spacing w:after="0"/>
              <w:rPr>
                <w:sz w:val="20"/>
                <w:szCs w:val="20"/>
                <w:color w:val="auto"/>
              </w:rPr>
            </w:pPr>
            <w:r>
              <w:rPr>
                <w:rFonts w:ascii="Arial" w:cs="Arial" w:eastAsia="Arial" w:hAnsi="Arial"/>
                <w:sz w:val="18"/>
                <w:szCs w:val="18"/>
                <w:b w:val="1"/>
                <w:bCs w:val="1"/>
                <w:color w:val="auto"/>
              </w:rPr>
              <w:t>Basic</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2620" w:type="dxa"/>
            <w:vAlign w:val="bottom"/>
            <w:gridSpan w:val="2"/>
          </w:tcPr>
          <w:p>
            <w:pPr>
              <w:jc w:val="right"/>
              <w:ind w:right="1780"/>
              <w:spacing w:after="0"/>
              <w:rPr>
                <w:sz w:val="20"/>
                <w:szCs w:val="20"/>
                <w:color w:val="auto"/>
              </w:rPr>
            </w:pPr>
            <w:r>
              <w:rPr>
                <w:rFonts w:ascii="Arial" w:cs="Arial" w:eastAsia="Arial" w:hAnsi="Arial"/>
                <w:sz w:val="18"/>
                <w:szCs w:val="18"/>
                <w:b w:val="1"/>
                <w:bCs w:val="1"/>
                <w:color w:val="auto"/>
              </w:rPr>
              <w:t>2.66</w:t>
            </w:r>
          </w:p>
        </w:tc>
        <w:tc>
          <w:tcPr>
            <w:tcW w:w="198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Diluted</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2620" w:type="dxa"/>
            <w:vAlign w:val="bottom"/>
            <w:gridSpan w:val="2"/>
            <w:shd w:val="clear" w:color="auto" w:fill="CCEEFF"/>
          </w:tcPr>
          <w:p>
            <w:pPr>
              <w:jc w:val="right"/>
              <w:ind w:right="1780"/>
              <w:spacing w:after="0"/>
              <w:rPr>
                <w:sz w:val="20"/>
                <w:szCs w:val="20"/>
                <w:color w:val="auto"/>
              </w:rPr>
            </w:pPr>
            <w:r>
              <w:rPr>
                <w:rFonts w:ascii="Arial" w:cs="Arial" w:eastAsia="Arial" w:hAnsi="Arial"/>
                <w:sz w:val="18"/>
                <w:szCs w:val="18"/>
                <w:b w:val="1"/>
                <w:bCs w:val="1"/>
                <w:color w:val="auto"/>
              </w:rPr>
              <w:t>2.62</w:t>
            </w:r>
          </w:p>
        </w:tc>
        <w:tc>
          <w:tcPr>
            <w:tcW w:w="19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Shares Outstanding (millions):</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20"/>
              <w:spacing w:after="0"/>
              <w:rPr>
                <w:sz w:val="20"/>
                <w:szCs w:val="20"/>
                <w:color w:val="auto"/>
              </w:rPr>
            </w:pPr>
            <w:r>
              <w:rPr>
                <w:rFonts w:ascii="Arial" w:cs="Arial" w:eastAsia="Arial" w:hAnsi="Arial"/>
                <w:sz w:val="18"/>
                <w:szCs w:val="18"/>
                <w:b w:val="1"/>
                <w:bCs w:val="1"/>
                <w:color w:val="auto"/>
              </w:rPr>
              <w:t>Basic</w:t>
            </w:r>
          </w:p>
        </w:tc>
        <w:tc>
          <w:tcPr>
            <w:tcW w:w="540" w:type="dxa"/>
            <w:vAlign w:val="bottom"/>
          </w:tcPr>
          <w:p>
            <w:pPr>
              <w:spacing w:after="0"/>
              <w:rPr>
                <w:sz w:val="18"/>
                <w:szCs w:val="18"/>
                <w:color w:val="auto"/>
              </w:rPr>
            </w:pPr>
          </w:p>
        </w:tc>
        <w:tc>
          <w:tcPr>
            <w:tcW w:w="2620" w:type="dxa"/>
            <w:vAlign w:val="bottom"/>
            <w:gridSpan w:val="2"/>
          </w:tcPr>
          <w:p>
            <w:pPr>
              <w:jc w:val="right"/>
              <w:ind w:right="1780"/>
              <w:spacing w:after="0"/>
              <w:rPr>
                <w:sz w:val="20"/>
                <w:szCs w:val="20"/>
                <w:color w:val="auto"/>
              </w:rPr>
            </w:pPr>
            <w:r>
              <w:rPr>
                <w:rFonts w:ascii="Arial" w:cs="Arial" w:eastAsia="Arial" w:hAnsi="Arial"/>
                <w:sz w:val="18"/>
                <w:szCs w:val="18"/>
                <w:b w:val="1"/>
                <w:bCs w:val="1"/>
                <w:color w:val="auto"/>
              </w:rPr>
              <w:t>1,199</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Diluted</w:t>
            </w:r>
          </w:p>
        </w:tc>
        <w:tc>
          <w:tcPr>
            <w:tcW w:w="540" w:type="dxa"/>
            <w:vAlign w:val="bottom"/>
            <w:shd w:val="clear" w:color="auto" w:fill="CCEEFF"/>
          </w:tcPr>
          <w:p>
            <w:pPr>
              <w:spacing w:after="0"/>
              <w:rPr>
                <w:sz w:val="20"/>
                <w:szCs w:val="20"/>
                <w:color w:val="auto"/>
              </w:rPr>
            </w:pPr>
          </w:p>
        </w:tc>
        <w:tc>
          <w:tcPr>
            <w:tcW w:w="2620" w:type="dxa"/>
            <w:vAlign w:val="bottom"/>
            <w:gridSpan w:val="2"/>
            <w:shd w:val="clear" w:color="auto" w:fill="CCEEFF"/>
          </w:tcPr>
          <w:p>
            <w:pPr>
              <w:jc w:val="right"/>
              <w:ind w:right="1780"/>
              <w:spacing w:after="0"/>
              <w:rPr>
                <w:sz w:val="20"/>
                <w:szCs w:val="20"/>
                <w:color w:val="auto"/>
              </w:rPr>
            </w:pPr>
            <w:r>
              <w:rPr>
                <w:rFonts w:ascii="Arial" w:cs="Arial" w:eastAsia="Arial" w:hAnsi="Arial"/>
                <w:sz w:val="18"/>
                <w:szCs w:val="18"/>
                <w:b w:val="1"/>
                <w:bCs w:val="1"/>
                <w:color w:val="auto"/>
              </w:rPr>
              <w:t>1,213</w:t>
            </w: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1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(g)</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Unaudited Pro Forma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6"/>
              </w:rPr>
              <w:t>Texas</w:t>
            </w:r>
          </w:p>
        </w:tc>
        <w:tc>
          <w:tcPr>
            <w:tcW w:w="100" w:type="dxa"/>
            <w:vAlign w:val="bottom"/>
          </w:tcPr>
          <w:p>
            <w:pPr>
              <w:spacing w:after="0"/>
              <w:rPr>
                <w:sz w:val="18"/>
                <w:szCs w:val="18"/>
                <w:color w:val="auto"/>
              </w:rPr>
            </w:pPr>
          </w:p>
        </w:tc>
        <w:tc>
          <w:tcPr>
            <w:tcW w:w="198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92"/>
              </w:rPr>
              <w:t>National</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91"/>
              </w:rPr>
              <w:t>Instruments</w:t>
            </w:r>
          </w:p>
        </w:tc>
        <w:tc>
          <w:tcPr>
            <w:tcW w:w="100" w:type="dxa"/>
            <w:vAlign w:val="bottom"/>
          </w:tcPr>
          <w:p>
            <w:pPr>
              <w:spacing w:after="0"/>
              <w:rPr>
                <w:sz w:val="18"/>
                <w:szCs w:val="18"/>
                <w:color w:val="auto"/>
              </w:rPr>
            </w:pPr>
          </w:p>
        </w:tc>
        <w:tc>
          <w:tcPr>
            <w:tcW w:w="198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88"/>
              </w:rPr>
              <w:t>Semiconductor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1"/>
              </w:rPr>
              <w:t>Six Months</w:t>
            </w:r>
          </w:p>
        </w:tc>
        <w:tc>
          <w:tcPr>
            <w:tcW w:w="100" w:type="dxa"/>
            <w:vAlign w:val="bottom"/>
          </w:tcPr>
          <w:p>
            <w:pPr>
              <w:spacing w:after="0"/>
              <w:rPr>
                <w:sz w:val="18"/>
                <w:szCs w:val="18"/>
                <w:color w:val="auto"/>
              </w:rPr>
            </w:pPr>
          </w:p>
        </w:tc>
        <w:tc>
          <w:tcPr>
            <w:tcW w:w="198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8"/>
              </w:rPr>
              <w:t>Six</w:t>
            </w:r>
          </w:p>
        </w:tc>
        <w:tc>
          <w:tcPr>
            <w:tcW w:w="16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Pro</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Six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98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90"/>
              </w:rPr>
              <w:t>Months Ended</w:t>
            </w:r>
          </w:p>
        </w:tc>
        <w:tc>
          <w:tcPr>
            <w:tcW w:w="16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Forma</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June 30, 2011</w:t>
            </w: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May 29, 2011</w:t>
            </w:r>
          </w:p>
        </w:tc>
        <w:tc>
          <w:tcPr>
            <w:tcW w:w="68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June 30, 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Cost of revenue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3,369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right"/>
              <w:ind w:right="680"/>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(b)</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3,480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477</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8"/>
                <w:szCs w:val="18"/>
                <w:color w:val="auto"/>
              </w:rPr>
            </w:pPr>
          </w:p>
        </w:tc>
        <w:tc>
          <w:tcPr>
            <w:tcW w:w="1980" w:type="dxa"/>
            <w:vAlign w:val="bottom"/>
            <w:gridSpan w:val="2"/>
          </w:tcPr>
          <w:p>
            <w:pPr>
              <w:jc w:val="right"/>
              <w:ind w:right="680"/>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(b)</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Acquisition cost/divestiture (gain), other</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162</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(d)</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(179)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right"/>
              <w:ind w:right="6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Income before taxes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1,826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164</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(f)</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1,338</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6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(127)</w:t>
            </w:r>
          </w:p>
        </w:tc>
        <w:tc>
          <w:tcPr>
            <w:tcW w:w="740" w:type="dxa"/>
            <w:vAlign w:val="bottom"/>
            <w:gridSpan w:val="2"/>
          </w:tcPr>
          <w:p>
            <w:pPr>
              <w:ind w:left="64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Basic</w:t>
            </w: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1.13</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Pr>
          <w:p>
            <w:pPr>
              <w:ind w:left="120"/>
              <w:spacing w:after="0"/>
              <w:rPr>
                <w:sz w:val="20"/>
                <w:szCs w:val="20"/>
                <w:color w:val="auto"/>
              </w:rPr>
            </w:pPr>
            <w:r>
              <w:rPr>
                <w:rFonts w:ascii="Arial" w:cs="Arial" w:eastAsia="Arial" w:hAnsi="Arial"/>
                <w:sz w:val="18"/>
                <w:szCs w:val="18"/>
                <w:b w:val="1"/>
                <w:bCs w:val="1"/>
                <w:color w:val="auto"/>
              </w:rPr>
              <w:t>Diluted</w:t>
            </w:r>
          </w:p>
        </w:tc>
        <w:tc>
          <w:tcPr>
            <w:tcW w:w="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8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1.11</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ind w:left="64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Average Shares Outstanding (millions):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Basic</w:t>
            </w: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1,161</w:t>
            </w: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Pr>
          <w:p>
            <w:pPr>
              <w:ind w:left="120"/>
              <w:spacing w:after="0"/>
              <w:rPr>
                <w:sz w:val="20"/>
                <w:szCs w:val="20"/>
                <w:color w:val="auto"/>
              </w:rPr>
            </w:pPr>
            <w:r>
              <w:rPr>
                <w:rFonts w:ascii="Arial" w:cs="Arial" w:eastAsia="Arial" w:hAnsi="Arial"/>
                <w:sz w:val="18"/>
                <w:szCs w:val="18"/>
                <w:b w:val="1"/>
                <w:bCs w:val="1"/>
                <w:color w:val="auto"/>
              </w:rPr>
              <w:t>Diluted</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1,187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740" w:type="dxa"/>
            <w:vAlign w:val="bottom"/>
            <w:gridSpan w:val="2"/>
          </w:tcPr>
          <w:p>
            <w:pPr>
              <w:ind w:left="80"/>
              <w:spacing w:after="0"/>
              <w:rPr>
                <w:sz w:val="20"/>
                <w:szCs w:val="20"/>
                <w:color w:val="auto"/>
              </w:rPr>
            </w:pPr>
            <w:r>
              <w:rPr>
                <w:rFonts w:ascii="Arial" w:cs="Arial" w:eastAsia="Arial" w:hAnsi="Arial"/>
                <w:sz w:val="18"/>
                <w:szCs w:val="18"/>
                <w:b w:val="1"/>
                <w:bCs w:val="1"/>
                <w:color w:val="auto"/>
              </w:rPr>
              <w:t>(g)</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Unaudited Pro Forma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6"/>
              </w:rPr>
              <w:t>Texas</w:t>
            </w:r>
          </w:p>
        </w:tc>
        <w:tc>
          <w:tcPr>
            <w:tcW w:w="100" w:type="dxa"/>
            <w:vAlign w:val="bottom"/>
          </w:tcPr>
          <w:p>
            <w:pPr>
              <w:spacing w:after="0"/>
              <w:rPr>
                <w:sz w:val="18"/>
                <w:szCs w:val="18"/>
                <w:color w:val="auto"/>
              </w:rPr>
            </w:pPr>
          </w:p>
        </w:tc>
        <w:tc>
          <w:tcPr>
            <w:tcW w:w="198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92"/>
              </w:rPr>
              <w:t>National</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91"/>
              </w:rPr>
              <w:t>Instruments</w:t>
            </w:r>
          </w:p>
        </w:tc>
        <w:tc>
          <w:tcPr>
            <w:tcW w:w="100" w:type="dxa"/>
            <w:vAlign w:val="bottom"/>
          </w:tcPr>
          <w:p>
            <w:pPr>
              <w:spacing w:after="0"/>
              <w:rPr>
                <w:sz w:val="18"/>
                <w:szCs w:val="18"/>
                <w:color w:val="auto"/>
              </w:rPr>
            </w:pPr>
          </w:p>
        </w:tc>
        <w:tc>
          <w:tcPr>
            <w:tcW w:w="198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88"/>
              </w:rPr>
              <w:t>Semiconductor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1"/>
              </w:rPr>
              <w:t>Six Months</w:t>
            </w:r>
          </w:p>
        </w:tc>
        <w:tc>
          <w:tcPr>
            <w:tcW w:w="100" w:type="dxa"/>
            <w:vAlign w:val="bottom"/>
          </w:tcPr>
          <w:p>
            <w:pPr>
              <w:spacing w:after="0"/>
              <w:rPr>
                <w:sz w:val="18"/>
                <w:szCs w:val="18"/>
                <w:color w:val="auto"/>
              </w:rPr>
            </w:pPr>
          </w:p>
        </w:tc>
        <w:tc>
          <w:tcPr>
            <w:tcW w:w="198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8"/>
              </w:rPr>
              <w:t>Six</w:t>
            </w:r>
          </w:p>
        </w:tc>
        <w:tc>
          <w:tcPr>
            <w:tcW w:w="16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Pro</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Six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ind w:right="1040"/>
              <w:spacing w:after="0"/>
              <w:rPr>
                <w:sz w:val="20"/>
                <w:szCs w:val="20"/>
                <w:color w:val="auto"/>
              </w:rPr>
            </w:pPr>
            <w:r>
              <w:rPr>
                <w:rFonts w:ascii="Arial" w:cs="Arial" w:eastAsia="Arial" w:hAnsi="Arial"/>
                <w:sz w:val="18"/>
                <w:szCs w:val="18"/>
                <w:b w:val="1"/>
                <w:bCs w:val="1"/>
                <w:color w:val="auto"/>
              </w:rPr>
              <w:t>Ended</w:t>
            </w:r>
          </w:p>
        </w:tc>
        <w:tc>
          <w:tcPr>
            <w:tcW w:w="100" w:type="dxa"/>
            <w:vAlign w:val="bottom"/>
          </w:tcPr>
          <w:p>
            <w:pPr>
              <w:spacing w:after="0"/>
              <w:rPr>
                <w:sz w:val="18"/>
                <w:szCs w:val="18"/>
                <w:color w:val="auto"/>
              </w:rPr>
            </w:pPr>
          </w:p>
        </w:tc>
        <w:tc>
          <w:tcPr>
            <w:tcW w:w="198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w w:val="90"/>
              </w:rPr>
              <w:t>Months Ended</w:t>
            </w:r>
          </w:p>
        </w:tc>
        <w:tc>
          <w:tcPr>
            <w:tcW w:w="16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Forma</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June 30, 2010</w:t>
            </w: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May 30, 2010</w:t>
            </w:r>
          </w:p>
        </w:tc>
        <w:tc>
          <w:tcPr>
            <w:tcW w:w="68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June 30, 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Cost of revenue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3,118</w:t>
            </w:r>
          </w:p>
        </w:tc>
        <w:tc>
          <w:tcPr>
            <w:tcW w:w="100" w:type="dxa"/>
            <w:vAlign w:val="bottom"/>
          </w:tcPr>
          <w:p>
            <w:pPr>
              <w:spacing w:after="0"/>
              <w:rPr>
                <w:sz w:val="18"/>
                <w:szCs w:val="18"/>
                <w:color w:val="auto"/>
              </w:rPr>
            </w:pPr>
          </w:p>
        </w:tc>
        <w:tc>
          <w:tcPr>
            <w:tcW w:w="1980" w:type="dxa"/>
            <w:vAlign w:val="bottom"/>
            <w:gridSpan w:val="2"/>
          </w:tcPr>
          <w:p>
            <w:pPr>
              <w:jc w:val="right"/>
              <w:ind w:right="680"/>
              <w:spacing w:after="0"/>
              <w:rPr>
                <w:sz w:val="20"/>
                <w:szCs w:val="20"/>
                <w:color w:val="auto"/>
              </w:rPr>
            </w:pPr>
            <w:r>
              <w:rPr>
                <w:rFonts w:ascii="Arial" w:cs="Arial" w:eastAsia="Arial" w:hAnsi="Arial"/>
                <w:sz w:val="18"/>
                <w:szCs w:val="18"/>
                <w:color w:val="auto"/>
              </w:rPr>
              <w:t>242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(a)</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(c)</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518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18"/>
                <w:szCs w:val="18"/>
                <w:color w:val="auto"/>
              </w:rPr>
            </w:pPr>
          </w:p>
        </w:tc>
        <w:tc>
          <w:tcPr>
            <w:tcW w:w="1980" w:type="dxa"/>
            <w:vAlign w:val="bottom"/>
            <w:gridSpan w:val="2"/>
          </w:tcPr>
          <w:p>
            <w:pPr>
              <w:jc w:val="right"/>
              <w:ind w:right="680"/>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(b)</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Restructuring expense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right"/>
              <w:ind w:right="68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cost/divestiture (gain), other</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2,057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202</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(263)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(e)</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169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(273)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8"/>
                <w:szCs w:val="18"/>
                <w:color w:val="auto"/>
              </w:rPr>
            </w:pPr>
          </w:p>
        </w:tc>
        <w:tc>
          <w:tcPr>
            <w:tcW w:w="1980" w:type="dxa"/>
            <w:vAlign w:val="bottom"/>
            <w:gridSpan w:val="2"/>
          </w:tcPr>
          <w:p>
            <w:pPr>
              <w:jc w:val="right"/>
              <w:ind w:right="68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(f)</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6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1,427</w:t>
            </w: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6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(177)</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20"/>
              <w:spacing w:after="0"/>
              <w:rPr>
                <w:sz w:val="20"/>
                <w:szCs w:val="20"/>
                <w:color w:val="auto"/>
              </w:rPr>
            </w:pPr>
            <w:r>
              <w:rPr>
                <w:rFonts w:ascii="Arial" w:cs="Arial" w:eastAsia="Arial" w:hAnsi="Arial"/>
                <w:sz w:val="18"/>
                <w:szCs w:val="18"/>
                <w:b w:val="1"/>
                <w:bCs w:val="1"/>
                <w:color w:val="auto"/>
              </w:rPr>
              <w:t>Basic</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8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1.15</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ind w:left="64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Diluted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1.14</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Shares Outstanding (millions):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20"/>
              <w:spacing w:after="0"/>
              <w:rPr>
                <w:sz w:val="20"/>
                <w:szCs w:val="20"/>
                <w:color w:val="auto"/>
              </w:rPr>
            </w:pPr>
            <w:r>
              <w:rPr>
                <w:rFonts w:ascii="Arial" w:cs="Arial" w:eastAsia="Arial" w:hAnsi="Arial"/>
                <w:sz w:val="18"/>
                <w:szCs w:val="18"/>
                <w:b w:val="1"/>
                <w:bCs w:val="1"/>
                <w:color w:val="auto"/>
              </w:rPr>
              <w:t>Basic</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1,221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Diluted</w:t>
            </w: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1,234</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(g)</w:t>
            </w: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8" w:name="page9"/>
    <w:bookmarkEnd w:id="8"/>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Pro Forma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Balance Sheet: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unaudited pro forma combined balance sheet is presented in this Form 8-K/A, as TI has previously filed its Quarterly Report on Form 10-Q for the quarter ended September 30, 2011, which included the financial position of National in its consolidated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Statements:</w:t>
      </w:r>
    </w:p>
    <w:p>
      <w:pPr>
        <w:spacing w:after="0" w:line="27" w:lineRule="exact"/>
        <w:rPr>
          <w:sz w:val="20"/>
          <w:szCs w:val="20"/>
          <w:color w:val="auto"/>
        </w:rPr>
      </w:pPr>
    </w:p>
    <w:p>
      <w:pPr>
        <w:ind w:left="660" w:right="340" w:hanging="652"/>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the estimate of the fair value write-up of acquired inventory and its subsequent sale after the date of acquisition. It is estimated that this amount will be recovered within one quarter after closing based on a normal inventory turnover rate.</w:t>
      </w:r>
    </w:p>
    <w:p>
      <w:pPr>
        <w:spacing w:after="0" w:line="210" w:lineRule="exact"/>
        <w:rPr>
          <w:rFonts w:ascii="Arial" w:cs="Arial" w:eastAsia="Arial" w:hAnsi="Arial"/>
          <w:sz w:val="18"/>
          <w:szCs w:val="18"/>
          <w:color w:val="auto"/>
        </w:rPr>
      </w:pPr>
    </w:p>
    <w:p>
      <w:pPr>
        <w:ind w:left="660" w:hanging="652"/>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the net adjustments to share-based compensation expense for the post-combination portion of National’s stock options and restricted stock units (RSUs) converted into TI replacement options and RSUs at closing. The new share-based compensation expense is amortized on a straight line basis over the remaining vesting periods. The following tables reflect the (a) elimination of National’s historical share-based compensation expense and (b) fair value of the converted TI replacement stock options and RSUs to be recognized over the periods for which post-combination service of National employees is required.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Adjustment</w:t>
            </w:r>
          </w:p>
        </w:tc>
      </w:tr>
      <w:tr>
        <w:trPr>
          <w:trHeight w:val="216"/>
        </w:trPr>
        <w:tc>
          <w:tcPr>
            <w:tcW w:w="3020" w:type="dxa"/>
            <w:vAlign w:val="bottom"/>
          </w:tcPr>
          <w:p>
            <w:pPr>
              <w:spacing w:after="0"/>
              <w:rPr>
                <w:sz w:val="20"/>
                <w:szCs w:val="20"/>
                <w:color w:val="auto"/>
              </w:rPr>
            </w:pPr>
            <w:r>
              <w:rPr>
                <w:rFonts w:ascii="Arial" w:cs="Arial" w:eastAsia="Arial" w:hAnsi="Arial"/>
                <w:sz w:val="18"/>
                <w:szCs w:val="18"/>
                <w:b w:val="1"/>
                <w:bCs w:val="1"/>
                <w:color w:val="auto"/>
              </w:rPr>
              <w:t>Twelve Months Ended December</w:t>
            </w:r>
          </w:p>
        </w:tc>
        <w:tc>
          <w:tcPr>
            <w:tcW w:w="10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rPr>
              <w:t>National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Pro</w:t>
            </w:r>
          </w:p>
        </w:tc>
        <w:tc>
          <w:tcPr>
            <w:tcW w:w="10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to</w:t>
            </w:r>
          </w:p>
        </w:tc>
      </w:tr>
      <w:tr>
        <w:trPr>
          <w:trHeight w:val="241"/>
        </w:trPr>
        <w:tc>
          <w:tcPr>
            <w:tcW w:w="3020" w:type="dxa"/>
            <w:vAlign w:val="bottom"/>
          </w:tcPr>
          <w:p>
            <w:pPr>
              <w:spacing w:after="0"/>
              <w:rPr>
                <w:sz w:val="20"/>
                <w:szCs w:val="20"/>
                <w:color w:val="auto"/>
              </w:rPr>
            </w:pPr>
            <w:r>
              <w:rPr>
                <w:rFonts w:ascii="Arial" w:cs="Arial" w:eastAsia="Arial" w:hAnsi="Arial"/>
                <w:sz w:val="18"/>
                <w:szCs w:val="18"/>
                <w:b w:val="1"/>
                <w:bCs w:val="1"/>
                <w:color w:val="auto"/>
              </w:rPr>
              <w:t>31, 2010:</w:t>
            </w: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Historical*</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Forma</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Pro Forma</w:t>
            </w:r>
          </w:p>
        </w:tc>
        <w:tc>
          <w:tcPr>
            <w:tcW w:w="260" w:type="dxa"/>
            <w:vAlign w:val="bottom"/>
          </w:tcPr>
          <w:p>
            <w:pPr>
              <w:spacing w:after="0"/>
              <w:rPr>
                <w:sz w:val="20"/>
                <w:szCs w:val="20"/>
                <w:color w:val="auto"/>
              </w:rPr>
            </w:pP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ind w:left="160"/>
              <w:spacing w:after="0"/>
              <w:rPr>
                <w:sz w:val="20"/>
                <w:szCs w:val="20"/>
                <w:color w:val="auto"/>
              </w:rPr>
            </w:pPr>
            <w:r>
              <w:rPr>
                <w:rFonts w:ascii="Arial" w:cs="Arial" w:eastAsia="Arial" w:hAnsi="Arial"/>
                <w:sz w:val="18"/>
                <w:szCs w:val="18"/>
                <w:color w:val="auto"/>
                <w:w w:val="97"/>
              </w:rPr>
              <w:t>(In millions)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Share-based compensation expense:</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02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r>
      <w:tr>
        <w:trPr>
          <w:trHeight w:val="21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r>
      <w:tr>
        <w:trPr>
          <w:trHeight w:val="216"/>
        </w:trPr>
        <w:tc>
          <w:tcPr>
            <w:tcW w:w="30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r>
      <w:tr>
        <w:trPr>
          <w:trHeight w:val="27"/>
        </w:trPr>
        <w:tc>
          <w:tcPr>
            <w:tcW w:w="3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37"/>
        </w:trPr>
        <w:tc>
          <w:tcPr>
            <w:tcW w:w="3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r>
      <w:tr>
        <w:trPr>
          <w:trHeight w:val="20"/>
        </w:trPr>
        <w:tc>
          <w:tcPr>
            <w:tcW w:w="3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National Historical results are for the twelve months ended November 28, 2010.</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Adjustment</w:t>
            </w: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rPr>
              <w:t>National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Pro</w:t>
            </w:r>
          </w:p>
        </w:tc>
        <w:tc>
          <w:tcPr>
            <w:tcW w:w="10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to</w:t>
            </w:r>
          </w:p>
        </w:tc>
      </w:tr>
      <w:tr>
        <w:trPr>
          <w:trHeight w:val="241"/>
        </w:trPr>
        <w:tc>
          <w:tcPr>
            <w:tcW w:w="3020" w:type="dxa"/>
            <w:vAlign w:val="bottom"/>
          </w:tcPr>
          <w:p>
            <w:pPr>
              <w:spacing w:after="0"/>
              <w:rPr>
                <w:sz w:val="20"/>
                <w:szCs w:val="20"/>
                <w:color w:val="auto"/>
              </w:rPr>
            </w:pPr>
            <w:r>
              <w:rPr>
                <w:rFonts w:ascii="Arial" w:cs="Arial" w:eastAsia="Arial" w:hAnsi="Arial"/>
                <w:sz w:val="18"/>
                <w:szCs w:val="18"/>
                <w:b w:val="1"/>
                <w:bCs w:val="1"/>
                <w:color w:val="auto"/>
              </w:rPr>
              <w:t>Six Months Ended June 30, 2011:</w:t>
            </w: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Historical*</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Forma</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Pro Forma</w:t>
            </w:r>
          </w:p>
        </w:tc>
        <w:tc>
          <w:tcPr>
            <w:tcW w:w="260" w:type="dxa"/>
            <w:vAlign w:val="bottom"/>
          </w:tcPr>
          <w:p>
            <w:pPr>
              <w:spacing w:after="0"/>
              <w:rPr>
                <w:sz w:val="20"/>
                <w:szCs w:val="20"/>
                <w:color w:val="auto"/>
              </w:rPr>
            </w:pP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ind w:left="160"/>
              <w:spacing w:after="0"/>
              <w:rPr>
                <w:sz w:val="20"/>
                <w:szCs w:val="20"/>
                <w:color w:val="auto"/>
              </w:rPr>
            </w:pPr>
            <w:r>
              <w:rPr>
                <w:rFonts w:ascii="Arial" w:cs="Arial" w:eastAsia="Arial" w:hAnsi="Arial"/>
                <w:sz w:val="18"/>
                <w:szCs w:val="18"/>
                <w:color w:val="auto"/>
                <w:w w:val="97"/>
              </w:rPr>
              <w:t>(In millions)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Share-based compensation expense:</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02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r>
      <w:tr>
        <w:trPr>
          <w:trHeight w:val="21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r>
      <w:tr>
        <w:trPr>
          <w:trHeight w:val="216"/>
        </w:trPr>
        <w:tc>
          <w:tcPr>
            <w:tcW w:w="30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7"/>
        </w:trPr>
        <w:tc>
          <w:tcPr>
            <w:tcW w:w="3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37"/>
        </w:trPr>
        <w:tc>
          <w:tcPr>
            <w:tcW w:w="3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r>
      <w:tr>
        <w:trPr>
          <w:trHeight w:val="20"/>
        </w:trPr>
        <w:tc>
          <w:tcPr>
            <w:tcW w:w="3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National Historical results are for the six months ended May 29, 2011.</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Adjustment</w:t>
            </w: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rPr>
              <w:t>National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Pro</w:t>
            </w:r>
          </w:p>
        </w:tc>
        <w:tc>
          <w:tcPr>
            <w:tcW w:w="10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to</w:t>
            </w:r>
          </w:p>
        </w:tc>
      </w:tr>
      <w:tr>
        <w:trPr>
          <w:trHeight w:val="241"/>
        </w:trPr>
        <w:tc>
          <w:tcPr>
            <w:tcW w:w="3020" w:type="dxa"/>
            <w:vAlign w:val="bottom"/>
          </w:tcPr>
          <w:p>
            <w:pPr>
              <w:spacing w:after="0"/>
              <w:rPr>
                <w:sz w:val="20"/>
                <w:szCs w:val="20"/>
                <w:color w:val="auto"/>
              </w:rPr>
            </w:pPr>
            <w:r>
              <w:rPr>
                <w:rFonts w:ascii="Arial" w:cs="Arial" w:eastAsia="Arial" w:hAnsi="Arial"/>
                <w:sz w:val="18"/>
                <w:szCs w:val="18"/>
                <w:b w:val="1"/>
                <w:bCs w:val="1"/>
                <w:color w:val="auto"/>
              </w:rPr>
              <w:t>Six Months Ended June 30, 2010:</w:t>
            </w: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Historical*</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Forma</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Pro Forma</w:t>
            </w:r>
          </w:p>
        </w:tc>
        <w:tc>
          <w:tcPr>
            <w:tcW w:w="260" w:type="dxa"/>
            <w:vAlign w:val="bottom"/>
          </w:tcPr>
          <w:p>
            <w:pPr>
              <w:spacing w:after="0"/>
              <w:rPr>
                <w:sz w:val="20"/>
                <w:szCs w:val="20"/>
                <w:color w:val="auto"/>
              </w:rPr>
            </w:pP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ind w:left="160"/>
              <w:spacing w:after="0"/>
              <w:rPr>
                <w:sz w:val="20"/>
                <w:szCs w:val="20"/>
                <w:color w:val="auto"/>
              </w:rPr>
            </w:pPr>
            <w:r>
              <w:rPr>
                <w:rFonts w:ascii="Arial" w:cs="Arial" w:eastAsia="Arial" w:hAnsi="Arial"/>
                <w:sz w:val="18"/>
                <w:szCs w:val="18"/>
                <w:color w:val="auto"/>
                <w:w w:val="97"/>
              </w:rPr>
              <w:t>(In millions)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Share-based compensation expense:</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02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r>
      <w:tr>
        <w:trPr>
          <w:trHeight w:val="21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r>
      <w:tr>
        <w:trPr>
          <w:trHeight w:val="216"/>
        </w:trPr>
        <w:tc>
          <w:tcPr>
            <w:tcW w:w="30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r>
      <w:tr>
        <w:trPr>
          <w:trHeight w:val="27"/>
        </w:trPr>
        <w:tc>
          <w:tcPr>
            <w:tcW w:w="3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37"/>
        </w:trPr>
        <w:tc>
          <w:tcPr>
            <w:tcW w:w="3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r>
      <w:tr>
        <w:trPr>
          <w:trHeight w:val="20"/>
        </w:trPr>
        <w:tc>
          <w:tcPr>
            <w:tcW w:w="3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National Historical results are for the six months ended May 30, 2010.</w:t>
      </w:r>
    </w:p>
    <w:p>
      <w:pPr>
        <w:spacing w:after="0" w:line="252" w:lineRule="exact"/>
        <w:rPr>
          <w:rFonts w:ascii="Arial" w:cs="Arial" w:eastAsia="Arial" w:hAnsi="Arial"/>
          <w:sz w:val="18"/>
          <w:szCs w:val="18"/>
          <w:color w:val="auto"/>
        </w:rPr>
      </w:pPr>
    </w:p>
    <w:p>
      <w:pPr>
        <w:ind w:left="660" w:right="160" w:hanging="607"/>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Reflects the preliminary estimate of additional depreciation of acquired property, plant and equipment on a straight line basis over estimated useful lives that vary from 5 to 12 years. Annual depreciation is estimated at $40 million.</w:t>
      </w:r>
    </w:p>
    <w:p>
      <w:pPr>
        <w:spacing w:after="0" w:line="197" w:lineRule="exact"/>
        <w:rPr>
          <w:sz w:val="20"/>
          <w:szCs w:val="20"/>
          <w:color w:val="auto"/>
        </w:rPr>
      </w:pPr>
    </w:p>
    <w:p>
      <w:pPr>
        <w:ind w:left="660" w:right="10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Reflects the preliminary estimate of amortization of acquired intangibles on a straight-line basis over estimated useful lives. Annual amortization is estimated at about $324 million for each of the first five years.</w:t>
      </w:r>
    </w:p>
    <w:p>
      <w:pPr>
        <w:spacing w:after="0" w:line="197" w:lineRule="exact"/>
        <w:rPr>
          <w:rFonts w:ascii="Arial" w:cs="Arial" w:eastAsia="Arial" w:hAnsi="Arial"/>
          <w:sz w:val="18"/>
          <w:szCs w:val="18"/>
          <w:color w:val="auto"/>
        </w:rPr>
      </w:pPr>
    </w:p>
    <w:p>
      <w:pPr>
        <w:ind w:left="660" w:right="340" w:hanging="652"/>
        <w:spacing w:after="0" w:line="30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Reflects interest expense on fixed-rate and floating-rate debt as if the debt had been issued at the beginning of the twelve month period using an assumed weighted average interest rate of 1.01%. For the floating-rate debt, a variance of 1/8 of a percent (0.00125%) in the interest rate for the periods outstanding would not have resulted in a material difference in pro forma interest expense. Also includes amortization of original issue discount and capitalized debt issuance costs associated with the May 2011issuance of debt by TI over the estimated life of the related debt.</w:t>
      </w:r>
    </w:p>
    <w:p>
      <w:pPr>
        <w:spacing w:after="0" w:line="181" w:lineRule="exact"/>
        <w:rPr>
          <w:rFonts w:ascii="Arial" w:cs="Arial" w:eastAsia="Arial" w:hAnsi="Arial"/>
          <w:sz w:val="16"/>
          <w:szCs w:val="16"/>
          <w:color w:val="auto"/>
        </w:rPr>
      </w:pPr>
    </w:p>
    <w:p>
      <w:pPr>
        <w:ind w:left="480" w:right="200" w:hanging="472"/>
        <w:spacing w:after="0" w:line="277"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 effects of the pro forma adjustments are based on the federal statutory tax rate of 35% and do not comprehend the effect of any state or non-U.S. taxes.</w:t>
      </w:r>
    </w:p>
    <w:p>
      <w:pPr>
        <w:spacing w:after="0" w:line="197" w:lineRule="exact"/>
        <w:rPr>
          <w:rFonts w:ascii="Arial" w:cs="Arial" w:eastAsia="Arial" w:hAnsi="Arial"/>
          <w:sz w:val="18"/>
          <w:szCs w:val="18"/>
          <w:color w:val="auto"/>
        </w:rPr>
      </w:pPr>
    </w:p>
    <w:p>
      <w:pPr>
        <w:ind w:left="660" w:right="60" w:hanging="652"/>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Reflects adjustment to the earnings per share (“EPS”) calculation for the TI replacement RSUs and stock options converted at closing. TI assumed the National awards at closing, including their existing terms and conditions. National’s RSUs, contrasted with TI’s RSUs, are considered to be non-</w:t>
      </w:r>
    </w:p>
    <w:p>
      <w:pPr>
        <w:sectPr>
          <w:pgSz w:w="11900" w:h="16908" w:orient="portrait"/>
          <w:cols w:equalWidth="0" w:num="1">
            <w:col w:w="11400"/>
          </w:cols>
          <w:pgMar w:left="240" w:top="513" w:right="259" w:bottom="0" w:gutter="0" w:footer="0" w:header="0"/>
        </w:sectPr>
      </w:pPr>
    </w:p>
    <w:bookmarkStart w:id="9" w:name="page10"/>
    <w:bookmarkEnd w:id="9"/>
    <w:p>
      <w:pPr>
        <w:spacing w:after="0" w:line="254" w:lineRule="auto"/>
        <w:rPr>
          <w:sz w:val="20"/>
          <w:szCs w:val="20"/>
          <w:color w:val="auto"/>
        </w:rPr>
      </w:pPr>
      <w:r>
        <w:rPr>
          <w:rFonts w:ascii="Arial" w:cs="Arial" w:eastAsia="Arial" w:hAnsi="Arial"/>
          <w:sz w:val="18"/>
          <w:szCs w:val="18"/>
          <w:color w:val="auto"/>
        </w:rPr>
        <w:t>participating securities (i.e. no dividends or dividend equivalents are paid on those awards prior to their vesting). As a result, under the “two-class” method of calculating EPS, no portion of net income applicable to common stock is allocated to those National RSUs. However, we have adjusted the calculation of pro forma diluted EPS for these National RSUs through an adjustment of average shares outstanding for the impact of dilutive shares representing the preliminary number of RSUs estimated to be converted at closing that will eventually vest and be settled in TI common stock. We believe this to be the most dilutive potential impact on EPS from these RSUs. The actual number of RSUs that may eventually vest and be settled in TI common stock may vary significantly from these estimated amounts, but the difference to the diluted EPS is not expected to be material. The converted TI replacement stock options did not have a material effect on the number of dilutive average shares outstanding for the periods presented.</w:t>
      </w:r>
    </w:p>
    <w:sectPr>
      <w:pgSz w:w="11900" w:h="16838" w:orient="portrait"/>
      <w:cols w:equalWidth="0" w:num="1">
        <w:col w:w="10600"/>
      </w:cols>
      <w:pgMar w:left="900" w:top="12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
      <w:numFmt w:val="bullet"/>
      <w:start w:val="1"/>
    </w:lvl>
    <w:lvl w:ilvl="1">
      <w:lvlJc w:val="left"/>
      <w:lvlText w:val="(%2)"/>
      <w:numFmt w:val="lowerLetter"/>
      <w:start w:val="3"/>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2019-12-10T04:03:35Z</dcterms:created>
  <dcterms:modified xsi:type="dcterms:W3CDTF">2019-12-10T04:03:35Z</dcterms:modified>
</cp:coreProperties>
</file>