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March 6, 2006</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47"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3">
            <w:col w:w="2960" w:space="200"/>
            <w:col w:w="2540" w:space="420"/>
            <w:col w:w="4099"/>
          </w:cols>
          <w:pgMar w:left="240" w:top="649" w:right="1440" w:bottom="0" w:gutter="0" w:footer="0" w:header="0"/>
          <w:type w:val="continuous"/>
        </w:sect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59"/>
        <w:spacing w:after="0"/>
        <w:rPr>
          <w:sz w:val="20"/>
          <w:szCs w:val="20"/>
          <w:color w:val="auto"/>
        </w:rPr>
      </w:pPr>
      <w:r>
        <w:rPr>
          <w:rFonts w:ascii="Courier New" w:cs="Courier New" w:eastAsia="Courier New" w:hAnsi="Courier New"/>
          <w:sz w:val="18"/>
          <w:szCs w:val="18"/>
          <w:color w:val="auto"/>
        </w:rPr>
        <w:t>DALLAS, TEXAS 75266-0199</w:t>
      </w:r>
    </w:p>
    <w:p>
      <w:pPr>
        <w:jc w:val="center"/>
        <w:ind w:right="175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Written communications pursuant to Rule 425 under the Securities Act (17 CFR 230.425)</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__ Soliciting material pursuant to Rule 14a-12 under the Exchange Act (17 CFR 240.14a-12)</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14d-2(b) under the Exchange Act (17 CFR 240.14d-2(b))</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Registrant's news release dated March 6, 2006, regarding the Registrant's outlook for the first quarter of 2006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47"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47" w:orient="portrait"/>
          <w:cols w:equalWidth="0" w:num="2">
            <w:col w:w="1600" w:space="720"/>
            <w:col w:w="7899"/>
          </w:cols>
          <w:pgMar w:left="240" w:top="649"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March 6, 2006 (furnished pursuant to Item 7.01)</w:t>
      </w:r>
    </w:p>
    <w:p>
      <w:pPr>
        <w:spacing w:after="0" w:line="200" w:lineRule="exact"/>
        <w:rPr>
          <w:sz w:val="24"/>
          <w:szCs w:val="24"/>
          <w:color w:val="auto"/>
        </w:rPr>
      </w:pPr>
    </w:p>
    <w:p>
      <w:pPr>
        <w:sectPr>
          <w:pgSz w:w="11900" w:h="16847" w:orient="portrait"/>
          <w:cols w:equalWidth="0" w:num="2">
            <w:col w:w="1600" w:space="720"/>
            <w:col w:w="7899"/>
          </w:cols>
          <w:pgMar w:left="240" w:top="649" w:right="1440" w:bottom="0" w:gutter="0" w:footer="0" w:header="0"/>
          <w:type w:val="continuous"/>
        </w:sectPr>
      </w:pPr>
    </w:p>
    <w:p>
      <w:pPr>
        <w:spacing w:after="0" w:line="24"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w:t>
      </w:r>
    </w:p>
    <w:p>
      <w:pPr>
        <w:sectPr>
          <w:pgSz w:w="11900" w:h="16847"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analog chips and digital signal processors in key markets such as communications, entertainment electronics and computing;</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utilities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P. March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2560" w:space="720"/>
            <w:col w:w="300" w:space="640"/>
            <w:col w:w="5999"/>
          </w:cols>
          <w:pgMar w:left="240" w:top="142" w:right="1440" w:bottom="0" w:gutter="0" w:footer="0" w:header="0"/>
          <w:type w:val="continuous"/>
        </w:sectPr>
      </w:pPr>
    </w:p>
    <w:bookmarkStart w:id="2" w:name="page3"/>
    <w:bookmarkEnd w:id="2"/>
    <w:p>
      <w:pPr>
        <w:ind w:left="3020"/>
        <w:spacing w:after="0"/>
        <w:rPr>
          <w:sz w:val="20"/>
          <w:szCs w:val="20"/>
          <w:color w:val="auto"/>
        </w:rPr>
      </w:pPr>
      <w:r>
        <w:rPr>
          <w:rFonts w:ascii="Courier New" w:cs="Courier New" w:eastAsia="Courier New" w:hAnsi="Courier New"/>
          <w:sz w:val="18"/>
          <w:szCs w:val="18"/>
          <w:color w:val="auto"/>
        </w:rPr>
        <w:t>Kevin P. March</w:t>
      </w:r>
    </w:p>
    <w:p>
      <w:pPr>
        <w:ind w:left="30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9019"/>
          </w:cols>
          <w:pgMar w:left="1440" w:top="136"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TI Updates First-Quarter 2006 Business Outlook</w:t>
      </w:r>
    </w:p>
    <w:p>
      <w:pPr>
        <w:spacing w:after="0" w:line="200"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$3.22 Billion and $3.35 Billion</w:t>
      </w:r>
    </w:p>
    <w:p>
      <w:pPr>
        <w:spacing w:after="0" w:line="4" w:lineRule="exact"/>
        <w:rPr>
          <w:rFonts w:ascii="Courier New" w:cs="Courier New" w:eastAsia="Courier New" w:hAnsi="Courier New"/>
          <w:sz w:val="18"/>
          <w:szCs w:val="18"/>
          <w:color w:val="auto"/>
        </w:rPr>
      </w:pPr>
    </w:p>
    <w:p>
      <w:pPr>
        <w:ind w:left="540" w:right="33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-EPS Expected between $0.31 and $0.33 Including Stock-Based Compensation Expense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CONFERENCE CALL ON TI WEB SITE AT 3:30 P.M. CENTRAL STANDARD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DALLAS (March 6, 2006) - In a scheduled update to its business outlook for the first quarter of 2006, Texas Instruments Incorporated (TI) (NYSE: TXN) today narrowed its expected ranges for revenue and earnings per share. The company's expectations for revenue from continuing operations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$3.22 billion and $3.35 billion, compared with the prior range of $3.11 billion to $3.38 billion;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$3.15 billion and $3.28 billion, compared with the prior range of $3.05 billion to $3.30 billion; and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$65 million and $75 million, compared with the prior range of $60 million to $80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expects earnings per share from continuing operations between $0.31 and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$0.33, compared with the previous range of $0.29 to $0.33. Both the current and previous ranges for earnings per share include about $0.04 for stock-based compensation expense. Earnings per share from discontinued operations are expected to be about $0.03, and will be in addition to the earnings-per-share range noted above.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3:30 p.m. CST today to discuss this update. This conference call will be available live at www.ti.com. TI's original first-quarter outlook was published in the company's fourth-quarter and year end 2005 earnings release on January 23, available at www.ti.com. TI's first quarter ends on March 31.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analog chips and digital signal processors in key markets such as communications, entertainment electronics and computing;</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w:t>
      </w:r>
    </w:p>
    <w:p>
      <w:pPr>
        <w:sectPr>
          <w:pgSz w:w="11900" w:h="16838" w:orient="portrait"/>
          <w:cols w:equalWidth="0" w:num="1">
            <w:col w:w="10219"/>
          </w:cols>
          <w:pgMar w:left="240" w:top="717" w:right="1440" w:bottom="0" w:gutter="0" w:footer="0" w:header="0"/>
        </w:sectPr>
      </w:pPr>
    </w:p>
    <w:bookmarkStart w:id="4" w:name="page5"/>
    <w:bookmarkEnd w:id="4"/>
    <w:p>
      <w:pPr>
        <w:ind w:left="540" w:right="3039"/>
        <w:spacing w:after="0" w:line="235" w:lineRule="auto"/>
        <w:rPr>
          <w:sz w:val="20"/>
          <w:szCs w:val="20"/>
          <w:color w:val="auto"/>
        </w:rPr>
      </w:pPr>
      <w:r>
        <w:rPr>
          <w:rFonts w:ascii="Courier New" w:cs="Courier New" w:eastAsia="Courier New" w:hAnsi="Courier New"/>
          <w:sz w:val="18"/>
          <w:szCs w:val="18"/>
          <w:color w:val="auto"/>
        </w:rPr>
        <w:t>conditions, possible disruptions in transportation networks and fluctuations in foreign currency exchange rates;</w:t>
      </w:r>
    </w:p>
    <w:p>
      <w:pPr>
        <w:spacing w:after="0" w:line="208" w:lineRule="exact"/>
        <w:rPr>
          <w:sz w:val="20"/>
          <w:szCs w:val="20"/>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utilities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2019-12-13T07:26:49Z</dcterms:created>
  <dcterms:modified xsi:type="dcterms:W3CDTF">2019-12-13T07:26:49Z</dcterms:modified>
</cp:coreProperties>
</file>