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62"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1,040,363,377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1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For 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6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3,150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(COR)</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1,334</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Borders>
              <w:bottom w:val="single" w:sz="8" w:color="CCEEFF"/>
            </w:tcBorders>
          </w:tcPr>
          <w:p>
            <w:pPr>
              <w:spacing w:after="0"/>
              <w:rPr>
                <w:sz w:val="18"/>
                <w:szCs w:val="18"/>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1,816</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Research and development (R&amp;D)</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9"/>
                <w:szCs w:val="19"/>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Acquisition charges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1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r>
      <w:tr>
        <w:trPr>
          <w:trHeight w:val="207"/>
        </w:trPr>
        <w:tc>
          <w:tcPr>
            <w:tcW w:w="7660" w:type="dxa"/>
            <w:vAlign w:val="bottom"/>
          </w:tcPr>
          <w:p>
            <w:pPr>
              <w:spacing w:after="0"/>
              <w:rPr>
                <w:sz w:val="20"/>
                <w:szCs w:val="20"/>
                <w:color w:val="auto"/>
              </w:rPr>
            </w:pPr>
            <w:r>
              <w:rPr>
                <w:rFonts w:ascii="Arial" w:cs="Arial" w:eastAsia="Arial" w:hAnsi="Arial"/>
                <w:sz w:val="16"/>
                <w:szCs w:val="16"/>
                <w:color w:val="auto"/>
              </w:rPr>
              <w:t>Operating profit</w:t>
            </w:r>
          </w:p>
        </w:tc>
        <w:tc>
          <w:tcPr>
            <w:tcW w:w="1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958</w:t>
            </w: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7"/>
                <w:szCs w:val="17"/>
                <w:color w:val="auto"/>
              </w:rPr>
            </w:pPr>
          </w:p>
        </w:tc>
      </w:tr>
      <w:tr>
        <w:trPr>
          <w:trHeight w:val="219"/>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r>
      <w:tr>
        <w:trPr>
          <w:trHeight w:val="213"/>
        </w:trPr>
        <w:tc>
          <w:tcPr>
            <w:tcW w:w="7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and debt expense</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income taxes</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18"/>
                <w:szCs w:val="18"/>
                <w:color w:val="auto"/>
              </w:rPr>
            </w:pPr>
          </w:p>
        </w:tc>
      </w:tr>
      <w:tr>
        <w:trPr>
          <w:trHeight w:val="21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tcBorders>
              <w:bottom w:val="single" w:sz="8" w:color="auto"/>
            </w:tcBorders>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3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2"/>
                <w:szCs w:val="22"/>
                <w:color w:val="auto"/>
              </w:rPr>
            </w:pPr>
          </w:p>
        </w:tc>
      </w:tr>
      <w:tr>
        <w:trPr>
          <w:trHeight w:val="197"/>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w:t>
            </w:r>
          </w:p>
        </w:tc>
        <w:tc>
          <w:tcPr>
            <w:tcW w:w="3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tcPr>
          <w:p>
            <w:pPr>
              <w:spacing w:after="0"/>
              <w:rPr>
                <w:sz w:val="22"/>
                <w:szCs w:val="22"/>
                <w:color w:val="auto"/>
              </w:rPr>
            </w:pPr>
          </w:p>
        </w:tc>
      </w:tr>
      <w:tr>
        <w:trPr>
          <w:trHeight w:val="197"/>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1,061</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112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8"/>
                <w:szCs w:val="18"/>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7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(9)</w:t>
            </w:r>
          </w:p>
        </w:tc>
        <w:tc>
          <w:tcPr>
            <w:tcW w:w="7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30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180" w:type="dxa"/>
            <w:vAlign w:val="bottom"/>
            <w:shd w:val="clear" w:color="auto" w:fill="CCEEFF"/>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Other comprehensive income (loss), net of taxes: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actuarial gains (losses) of defined benefit plans:</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1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w:t>
            </w:r>
          </w:p>
        </w:tc>
        <w:tc>
          <w:tcPr>
            <w:tcW w:w="1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9"/>
        </w:trPr>
        <w:tc>
          <w:tcPr>
            <w:tcW w:w="7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Prior service cost of defined benefit plans: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11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7"/>
                <w:szCs w:val="17"/>
                <w:color w:val="auto"/>
              </w:rPr>
            </w:pPr>
          </w:p>
        </w:tc>
      </w:tr>
      <w:tr>
        <w:trPr>
          <w:trHeight w:val="210"/>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18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657</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($12) and ($12)</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Raw materials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1,844</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810</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7,692</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(3,419)</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(3,426)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Acquisition-related intangibles,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Capitalized software licenses,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Overfunded retirement plans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17,346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2,286</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3,638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403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6,977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1,410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29,948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Treasury common stock at cost.</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March 31, 2015 – 696,401,920; December 31, 2014 – 694,189,127</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(22,199)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(531)</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17,346</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040" w:type="dxa"/>
            <w:vAlign w:val="bottom"/>
            <w:gridSpan w:val="4"/>
          </w:tcPr>
          <w:p>
            <w:pPr>
              <w:jc w:val="right"/>
              <w:ind w:right="282"/>
              <w:spacing w:after="0"/>
              <w:rPr>
                <w:sz w:val="20"/>
                <w:szCs w:val="20"/>
                <w:color w:val="auto"/>
              </w:rPr>
            </w:pPr>
            <w:r>
              <w:rPr>
                <w:rFonts w:ascii="Arial" w:cs="Arial" w:eastAsia="Arial" w:hAnsi="Arial"/>
                <w:sz w:val="16"/>
                <w:szCs w:val="16"/>
                <w:b w:val="1"/>
                <w:bCs w:val="1"/>
                <w:color w:val="auto"/>
              </w:rPr>
              <w:t>For 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100" w:type="dxa"/>
            <w:vAlign w:val="bottom"/>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340" w:type="dxa"/>
            <w:vAlign w:val="bottom"/>
          </w:tcPr>
          <w:p>
            <w:pPr>
              <w:spacing w:after="0"/>
              <w:rPr>
                <w:sz w:val="18"/>
                <w:szCs w:val="18"/>
                <w:color w:val="auto"/>
              </w:rPr>
            </w:pPr>
          </w:p>
        </w:tc>
        <w:tc>
          <w:tcPr>
            <w:tcW w:w="1080" w:type="dxa"/>
            <w:vAlign w:val="bottom"/>
          </w:tcPr>
          <w:p>
            <w:pPr>
              <w:jc w:val="right"/>
              <w:ind w:right="92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Amortization of capitalized software</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Gains on sales of assets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Increase (decrease) from changes in:</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(154)</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(60)</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(108)</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(294)</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(25)</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(123)</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Purchases of short-term investments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(335)</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(356)</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Stock repurchases</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(670)</w:t>
            </w: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3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Net change in Cash and cash equivalents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1,199</w:t>
            </w:r>
          </w:p>
        </w:tc>
        <w:tc>
          <w:tcPr>
            <w:tcW w:w="3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1100" w:type="dxa"/>
            <w:vAlign w:val="bottom"/>
            <w:tcBorders>
              <w:bottom w:val="single" w:sz="8" w:color="auto"/>
            </w:tcBorders>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1,242</w:t>
            </w:r>
          </w:p>
        </w:tc>
        <w:tc>
          <w:tcPr>
            <w:tcW w:w="340" w:type="dxa"/>
            <w:vAlign w:val="bottom"/>
          </w:tcPr>
          <w:p>
            <w:pPr>
              <w:spacing w:after="0"/>
              <w:rPr>
                <w:sz w:val="17"/>
                <w:szCs w:val="17"/>
                <w:color w:val="auto"/>
              </w:rPr>
            </w:pPr>
          </w:p>
        </w:tc>
        <w:tc>
          <w:tcPr>
            <w:tcW w:w="1080" w:type="dxa"/>
            <w:vAlign w:val="bottom"/>
            <w:tcBorders>
              <w:bottom w:val="single" w:sz="8" w:color="auto"/>
            </w:tcBorders>
          </w:tcPr>
          <w:p>
            <w:pPr>
              <w:jc w:val="right"/>
              <w:ind w:right="92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including segment information</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20" w:right="120" w:hanging="494"/>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 which consists primarily of products that we acquired through our purchase of National Semiconductor Corporation (National) in 2011.</w:t>
      </w:r>
    </w:p>
    <w:p>
      <w:pPr>
        <w:spacing w:after="0" w:line="73" w:lineRule="exact"/>
        <w:rPr>
          <w:rFonts w:ascii="Arial" w:cs="Arial" w:eastAsia="Arial" w:hAnsi="Arial"/>
          <w:sz w:val="18"/>
          <w:szCs w:val="18"/>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Processor, Microcontrollers and Connectivity.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our remaining business activities in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Three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Analog</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6"/>
                <w:szCs w:val="16"/>
                <w:color w:val="auto"/>
              </w:rPr>
              <w:t>Embedded Processing</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3,150</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66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Analog</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6"/>
                <w:szCs w:val="16"/>
                <w:color w:val="auto"/>
              </w:rPr>
              <w:t>Embedded Processing</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8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2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centralized manufacturing and support organizations, such as facilities, procurement and logistics, to provide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2014. The Consolidated Statements of Income, Comprehensive Income and Cash Flows for the periods ended March 31, 2015 and 2014, and the Consolidated Balance Sheet as of March 31, 2015, are not audited but reflect all adjustments that are of a normal recurring nature and are necessary for a fair statement of the results of the periods shown.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2014. The results for the three-month periods are not necessarily indicative of a full year’s results.</w:t>
      </w:r>
    </w:p>
    <w:p>
      <w:pPr>
        <w:spacing w:after="0" w:line="1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For Three Months Ended March 31,</w:t>
            </w: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Income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EPS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Income</w:t>
            </w: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656</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4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647</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1,046</w:t>
            </w:r>
          </w:p>
        </w:tc>
        <w:tc>
          <w:tcPr>
            <w:tcW w:w="26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1,081</w:t>
            </w:r>
          </w:p>
        </w:tc>
        <w:tc>
          <w:tcPr>
            <w:tcW w:w="24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656</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9"/>
              </w:rPr>
              <w:t>647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1,061</w:t>
            </w:r>
          </w:p>
        </w:tc>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1,096</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Potentially dilutive securities representing 12 million and 10 million shares of common stock that were outstanding during the first quarters of 2015 and 2014, respectively, were excluded from the computation of diluted earnings per common share for these periods because their effect would have been anti-dilutive.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financial instruments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as of March 31, 2015.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its fair value as measured using broker-dealer quotes, which are based on Level 2 inputs. See Note 6 for the definition of Level 2 inputs.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standard provides a single set of guidelines for revenue recognition to be used across all industries and requires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On April 1, 2015, the FASB proposed deferring the effective date by one year to December 15, 2017, for annual and interim reporting periods beginning after that date. The FASB also proposed permitting early adoption of the standard, but not before the original effective date of December 15, 2016. We are currently evaluating the potential impact of this standard on our financial position and results of operations.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 (Topic 810) – Amendments to the Consolidation Analysis</w:t>
      </w:r>
      <w:r>
        <w:rPr>
          <w:rFonts w:ascii="Arial" w:cs="Arial" w:eastAsia="Arial" w:hAnsi="Arial"/>
          <w:sz w:val="17"/>
          <w:szCs w:val="17"/>
          <w:color w:val="auto"/>
        </w:rPr>
        <w:t>, which changes the way reporting entities evaluate certain investment holdings for possible consolidation and also includes possible changes in disclosures resulting from that evaluation. This standard is effective for annual and interim reporting periods beginning as of January 1, 2016. We are currently evaluating the potential impact of this standard and expect it will have no material impact on our financial position and results of operations.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charges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incurred various costs as a result of the 2011 acquisition of National that are included in Other for segment reporting purposes, consistent with how management measures the performance of its segments. For the three months ended March 31, 2015 and 2014, Acquisition charges were primarily from the ongoing amortization of intangible assets resulting from the National acquisition. See Note 7 for more information.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comprised of the following components, all of which are recognized in Other for segment reporting purposes:</w:t>
      </w:r>
    </w:p>
    <w:p>
      <w:pPr>
        <w:spacing w:after="0" w:line="303" w:lineRule="exact"/>
        <w:rPr>
          <w:sz w:val="20"/>
          <w:szCs w:val="20"/>
          <w:color w:val="auto"/>
        </w:rPr>
      </w:pPr>
    </w:p>
    <w:tbl>
      <w:tblPr>
        <w:tblLayout w:type="fixed"/>
        <w:tblInd w:w="172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160" w:type="dxa"/>
            <w:vAlign w:val="bottom"/>
            <w:gridSpan w:val="6"/>
          </w:tcPr>
          <w:p>
            <w:pPr>
              <w:jc w:val="right"/>
              <w:ind w:right="280"/>
              <w:spacing w:after="0"/>
              <w:rPr>
                <w:sz w:val="20"/>
                <w:szCs w:val="20"/>
                <w:color w:val="auto"/>
              </w:rPr>
            </w:pPr>
            <w:r>
              <w:rPr>
                <w:rFonts w:ascii="Arial" w:cs="Arial" w:eastAsia="Arial" w:hAnsi="Arial"/>
                <w:sz w:val="15"/>
                <w:szCs w:val="15"/>
                <w:b w:val="1"/>
                <w:bCs w:val="1"/>
                <w:color w:val="auto"/>
              </w:rPr>
              <w:t>For 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Restructuring charges by action</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spacing w:after="0"/>
              <w:rPr>
                <w:sz w:val="20"/>
                <w:szCs w:val="20"/>
                <w:color w:val="auto"/>
              </w:rPr>
            </w:pPr>
            <w:r>
              <w:rPr>
                <w:rFonts w:ascii="Arial" w:cs="Arial" w:eastAsia="Arial" w:hAnsi="Arial"/>
                <w:sz w:val="15"/>
                <w:szCs w:val="15"/>
                <w:color w:val="auto"/>
              </w:rPr>
              <w:t>2013 actions: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Severance and benefits cost (a)</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exit costs</w:t>
            </w: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Restructuring charges for 2013 actions</w:t>
            </w: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gridSpan w:val="2"/>
          </w:tcPr>
          <w:p>
            <w:pPr>
              <w:spacing w:after="0" w:line="169" w:lineRule="exact"/>
              <w:rPr>
                <w:sz w:val="20"/>
                <w:szCs w:val="20"/>
                <w:color w:val="auto"/>
              </w:rPr>
            </w:pPr>
            <w:r>
              <w:rPr>
                <w:rFonts w:ascii="Arial" w:cs="Arial" w:eastAsia="Arial" w:hAnsi="Arial"/>
                <w:sz w:val="15"/>
                <w:szCs w:val="15"/>
                <w:color w:val="auto"/>
              </w:rPr>
              <w:t>Prior actions:</w:t>
            </w: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Severance and benefits cost (a)</w:t>
            </w:r>
          </w:p>
        </w:tc>
        <w:tc>
          <w:tcPr>
            <w:tcW w:w="6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ind w:left="100"/>
              <w:spacing w:after="0"/>
              <w:rPr>
                <w:sz w:val="20"/>
                <w:szCs w:val="20"/>
                <w:color w:val="auto"/>
              </w:rPr>
            </w:pPr>
            <w:r>
              <w:rPr>
                <w:rFonts w:ascii="Arial" w:cs="Arial" w:eastAsia="Arial" w:hAnsi="Arial"/>
                <w:sz w:val="15"/>
                <w:szCs w:val="15"/>
                <w:color w:val="auto"/>
              </w:rPr>
              <w:t>Accelerated depreciation</w:t>
            </w:r>
          </w:p>
        </w:tc>
        <w:tc>
          <w:tcPr>
            <w:tcW w:w="6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exit costs (a)</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5"/>
                <w:szCs w:val="15"/>
                <w:color w:val="auto"/>
              </w:rPr>
              <w:t>Restructuring charges for prior actions</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Total restructuring charges</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ind w:left="100"/>
              <w:spacing w:after="0"/>
              <w:rPr>
                <w:sz w:val="20"/>
                <w:szCs w:val="20"/>
                <w:color w:val="auto"/>
              </w:rPr>
            </w:pPr>
            <w:r>
              <w:rPr>
                <w:rFonts w:ascii="Arial" w:cs="Arial" w:eastAsia="Arial" w:hAnsi="Arial"/>
                <w:sz w:val="15"/>
                <w:szCs w:val="15"/>
                <w:color w:val="auto"/>
              </w:rPr>
              <w:t>Gains on sales of assets</w:t>
            </w:r>
          </w:p>
        </w:tc>
        <w:tc>
          <w:tcPr>
            <w:tcW w:w="6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w:t>
            </w:r>
          </w:p>
        </w:tc>
        <w:tc>
          <w:tcPr>
            <w:tcW w:w="6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5"/>
                <w:szCs w:val="15"/>
                <w:color w:val="auto"/>
              </w:rPr>
              <w:t>Restructuring charges/other</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2"/>
            <w:vMerge w:val="continue"/>
          </w:tcPr>
          <w:p>
            <w:pPr>
              <w:spacing w:after="0"/>
              <w:rPr>
                <w:sz w:val="14"/>
                <w:szCs w:val="14"/>
                <w:color w:val="auto"/>
              </w:rPr>
            </w:pPr>
          </w:p>
        </w:tc>
        <w:tc>
          <w:tcPr>
            <w:tcW w:w="660" w:type="dxa"/>
            <w:vAlign w:val="bottom"/>
          </w:tcPr>
          <w:p>
            <w:pPr>
              <w:jc w:val="right"/>
              <w:ind w:right="503"/>
              <w:spacing w:after="0" w:line="169" w:lineRule="exact"/>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(2)</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actions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announced in January 2014 cost-saving actions in Embedded Processing and in Japan to reduce expenses and focus our investments on markets with greater potential for sustainable growth and strong long-term returns. We expect the actions to be completed by mid-2015. Cost reductions include the elimination of about 1,100 jobs worldwide. Through March 31, 2015, we have recognized $74 million in cumulative restructuring charges, with no further material charges expected. As of March 31, 2015, $48 million has been paid to terminated employees for severance and benefits.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Prior to 2013, we announced a restructuring of our former Wireless business and the closures of manufacturing facilities in Houston, Texas and Hiji, Japan.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actions were completed in 2013, and as of March 31, 2015, $356 million has been paid to terminated employees for severance and benefits.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00" w:type="dxa"/>
            <w:vAlign w:val="bottom"/>
          </w:tcPr>
          <w:p>
            <w:pPr>
              <w:spacing w:after="0"/>
              <w:rPr>
                <w:sz w:val="15"/>
                <w:szCs w:val="15"/>
                <w:color w:val="auto"/>
              </w:rPr>
            </w:pPr>
          </w:p>
        </w:tc>
        <w:tc>
          <w:tcPr>
            <w:tcW w:w="2440" w:type="dxa"/>
            <w:vAlign w:val="bottom"/>
            <w:tcBorders>
              <w:bottom w:val="single" w:sz="8" w:color="auto"/>
            </w:tcBorders>
            <w:gridSpan w:val="5"/>
          </w:tcPr>
          <w:p>
            <w:pPr>
              <w:jc w:val="right"/>
              <w:ind w:right="583"/>
              <w:spacing w:after="0"/>
              <w:rPr>
                <w:sz w:val="20"/>
                <w:szCs w:val="20"/>
                <w:color w:val="auto"/>
              </w:rPr>
            </w:pPr>
            <w:r>
              <w:rPr>
                <w:rFonts w:ascii="Arial" w:cs="Arial" w:eastAsia="Arial" w:hAnsi="Arial"/>
                <w:sz w:val="15"/>
                <w:szCs w:val="15"/>
                <w:b w:val="1"/>
                <w:bCs w:val="1"/>
                <w:color w:val="auto"/>
              </w:rPr>
              <w:t>2013 Actions</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b w:val="1"/>
                <w:bCs w:val="1"/>
                <w:color w:val="auto"/>
                <w:w w:val="93"/>
              </w:rPr>
              <w:t>Prior Actions</w:t>
            </w:r>
          </w:p>
        </w:tc>
        <w:tc>
          <w:tcPr>
            <w:tcW w:w="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5"/>
        </w:trPr>
        <w:tc>
          <w:tcPr>
            <w:tcW w:w="5900" w:type="dxa"/>
            <w:vAlign w:val="bottom"/>
          </w:tcPr>
          <w:p>
            <w:pPr>
              <w:spacing w:after="0"/>
              <w:rPr>
                <w:sz w:val="14"/>
                <w:szCs w:val="14"/>
                <w:color w:val="auto"/>
              </w:rPr>
            </w:pPr>
          </w:p>
        </w:tc>
        <w:tc>
          <w:tcPr>
            <w:tcW w:w="1000" w:type="dxa"/>
            <w:vAlign w:val="bottom"/>
          </w:tcPr>
          <w:p>
            <w:pPr>
              <w:jc w:val="right"/>
              <w:ind w:right="3"/>
              <w:spacing w:after="0" w:line="165" w:lineRule="exact"/>
              <w:rPr>
                <w:sz w:val="20"/>
                <w:szCs w:val="20"/>
                <w:color w:val="auto"/>
              </w:rPr>
            </w:pPr>
            <w:r>
              <w:rPr>
                <w:rFonts w:ascii="Arial" w:cs="Arial" w:eastAsia="Arial" w:hAnsi="Arial"/>
                <w:sz w:val="15"/>
                <w:szCs w:val="15"/>
                <w:b w:val="1"/>
                <w:bCs w:val="1"/>
                <w:color w:val="auto"/>
              </w:rPr>
              <w:t>Severance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03"/>
              <w:spacing w:after="0" w:line="165" w:lineRule="exact"/>
              <w:rPr>
                <w:sz w:val="20"/>
                <w:szCs w:val="20"/>
                <w:color w:val="auto"/>
              </w:rPr>
            </w:pPr>
            <w:r>
              <w:rPr>
                <w:rFonts w:ascii="Arial" w:cs="Arial" w:eastAsia="Arial" w:hAnsi="Arial"/>
                <w:sz w:val="15"/>
                <w:szCs w:val="15"/>
                <w:b w:val="1"/>
                <w:bCs w:val="1"/>
                <w:color w:val="auto"/>
              </w:rPr>
              <w:t>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left="103"/>
              <w:spacing w:after="0" w:line="165" w:lineRule="exact"/>
              <w:rPr>
                <w:sz w:val="20"/>
                <w:szCs w:val="20"/>
                <w:color w:val="auto"/>
              </w:rPr>
            </w:pPr>
            <w:r>
              <w:rPr>
                <w:rFonts w:ascii="Arial" w:cs="Arial" w:eastAsia="Arial" w:hAnsi="Arial"/>
                <w:sz w:val="15"/>
                <w:szCs w:val="15"/>
                <w:b w:val="1"/>
                <w:bCs w:val="1"/>
                <w:color w:val="auto"/>
                <w:w w:val="87"/>
              </w:rPr>
              <w:t>Severance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59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and Benefits</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Charges</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b w:val="1"/>
                <w:bCs w:val="1"/>
                <w:color w:val="auto"/>
                <w:w w:val="88"/>
              </w:rPr>
              <w:t>and Benefits</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CCEEFF"/>
            </w:tcBorders>
          </w:tcPr>
          <w:p>
            <w:pPr>
              <w:spacing w:after="0"/>
              <w:rPr>
                <w:sz w:val="15"/>
                <w:szCs w:val="15"/>
                <w:color w:val="auto"/>
              </w:rPr>
            </w:pPr>
          </w:p>
        </w:tc>
      </w:tr>
      <w:tr>
        <w:trPr>
          <w:trHeight w:val="169"/>
        </w:trPr>
        <w:tc>
          <w:tcPr>
            <w:tcW w:w="5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Accrual as of December 31, 2014</w:t>
            </w:r>
          </w:p>
        </w:tc>
        <w:tc>
          <w:tcPr>
            <w:tcW w:w="1000" w:type="dxa"/>
            <w:vAlign w:val="bottom"/>
            <w:shd w:val="clear" w:color="auto" w:fill="CCEEFF"/>
          </w:tcPr>
          <w:p>
            <w:pPr>
              <w:jc w:val="right"/>
              <w:ind w:right="843"/>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22</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83"/>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83"/>
              <w:spacing w:after="0" w:line="169"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83"/>
              </w:rPr>
              <w:t>26</w:t>
            </w:r>
          </w:p>
        </w:tc>
        <w:tc>
          <w:tcPr>
            <w:tcW w:w="2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71"/>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4"/>
                <w:szCs w:val="14"/>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5"/>
                <w:szCs w:val="15"/>
                <w:b w:val="1"/>
                <w:bCs w:val="1"/>
                <w:color w:val="auto"/>
              </w:rPr>
              <w:t>Restructuring charges (a)</w:t>
            </w:r>
          </w:p>
        </w:tc>
        <w:tc>
          <w:tcPr>
            <w:tcW w:w="100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w:t>
            </w:r>
          </w:p>
        </w:tc>
      </w:tr>
      <w:tr>
        <w:trPr>
          <w:trHeight w:val="176"/>
        </w:trPr>
        <w:tc>
          <w:tcPr>
            <w:tcW w:w="5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Payments</w:t>
            </w:r>
          </w:p>
        </w:tc>
        <w:tc>
          <w:tcPr>
            <w:tcW w:w="10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w:t>
            </w: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Remaining accrual as of March 31, 2015</w:t>
            </w:r>
          </w:p>
        </w:tc>
        <w:tc>
          <w:tcPr>
            <w:tcW w:w="1000" w:type="dxa"/>
            <w:vAlign w:val="bottom"/>
            <w:tcBorders>
              <w:top w:val="single" w:sz="8" w:color="auto"/>
              <w:bottom w:val="single" w:sz="8" w:color="auto"/>
            </w:tcBorders>
          </w:tcPr>
          <w:p>
            <w:pPr>
              <w:jc w:val="right"/>
              <w:ind w:right="843"/>
              <w:spacing w:after="0" w:line="169" w:lineRule="exact"/>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3"/>
              <w:spacing w:after="0" w:line="169" w:lineRule="exact"/>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3"/>
              <w:spacing w:after="0" w:line="169" w:lineRule="exact"/>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83"/>
              </w:rPr>
              <w:t>20</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44</w:t>
            </w:r>
          </w:p>
        </w:tc>
        <w:tc>
          <w:tcPr>
            <w:tcW w:w="120" w:type="dxa"/>
            <w:vAlign w:val="bottom"/>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accrual balances above are primarily reported as a component of either Accrued expenses and other liabilities or Deferred credits and other liabilities on our Consolidated Balance Sheets, depending on the expected timing of payment.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first quarter of 2014, we recognized $37 million of gains on sales of assets. This consisted of $30 million associated with the sale of our site in Nice, France, and $7 million of asset sales associated primarily with the closure of our Houston, Texas, and Hiji, Japan, manufacturing facilities.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The rate is based on current tax law and for 2015 does not assume reinstatement of the federal research tax credit, which expired at the end of 2014. As of March 31, 2015, the estimated annual effective tax rate for 2015 is about 30 percent, which differs from the 35 percent statutory corporate tax rate due to lower statutory tax rates applicable to our operations in many of the jurisdictions in which we operate and from U.S. tax benefits.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Valuation of debt and equity investments and certain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and trading securities are stated at fair value, which is generally based on market prices or broker quotes. See fair-value discussion</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98"/>
              </w:rPr>
              <w:t>March 31, 2015</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December 31, 2014</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Cash and Cash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Short-Term</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Long-Term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Cash and Cash</w:t>
            </w: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Equivalents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7"/>
              </w:rPr>
              <w:t>Investments</w:t>
            </w: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Equivalents</w:t>
            </w: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 securities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992</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2,062</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1,242</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2,062</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60"/>
        <w:spacing w:after="0" w:line="308" w:lineRule="auto"/>
        <w:rPr>
          <w:sz w:val="20"/>
          <w:szCs w:val="20"/>
          <w:color w:val="auto"/>
        </w:rPr>
      </w:pPr>
      <w:r>
        <w:rPr>
          <w:rFonts w:ascii="Arial" w:cs="Arial" w:eastAsia="Arial" w:hAnsi="Arial"/>
          <w:sz w:val="17"/>
          <w:szCs w:val="17"/>
          <w:color w:val="auto"/>
        </w:rPr>
        <w:t>As of March 31, 2015, and December 31, 2014, we had no significant unrealized gains or losses associated with our available-for-sale investments. We did not recognize any credit losses related to available-for-sale investments for the three months ended March 31, 2015 and 2014.</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2015 and 2014, the proceeds from sales, redemptions and maturities of short-term available-for-sale investments were $615 million and $785 million, respectively. Gross realized gains and losses from these sales were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March 31, 2015:</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13"/>
        </w:trPr>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6"/>
                <w:szCs w:val="16"/>
                <w:color w:val="auto"/>
              </w:rPr>
              <w:t>One year or less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2,919</w:t>
            </w:r>
          </w:p>
        </w:tc>
        <w:tc>
          <w:tcPr>
            <w:tcW w:w="80" w:type="dxa"/>
            <w:vAlign w:val="bottom"/>
          </w:tcPr>
          <w:p>
            <w:pPr>
              <w:spacing w:after="0"/>
              <w:rPr>
                <w:sz w:val="18"/>
                <w:szCs w:val="18"/>
                <w:color w:val="auto"/>
              </w:rPr>
            </w:pPr>
          </w:p>
        </w:tc>
      </w:tr>
      <w:tr>
        <w:trPr>
          <w:trHeight w:val="21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Gross realized gains and losses from sales of long-term investments were not significant for the three months ended March 31, 2015 and 2014. Other-than-temporary declines and impairments in the values of these investments recognized in OI&amp;E also were not significant for the three months ended March 31, 2015 and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20" w:hanging="494"/>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20" w:right="20" w:hanging="494"/>
        <w:spacing w:after="0" w:line="27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left="1020" w:right="100" w:hanging="494"/>
        <w:spacing w:after="0" w:line="312"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 As of March 31, 2015, and December 31, 2014, we had no Level 3 assets or liabilities, other than certain assets held by our postretirement plans.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March 31, 2015, and December 31, 2014. These tables do not include cash on hand, assets held by our postretirement plans, or assets and liabilities that are measured at historical cost or any basis other than fair value.</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March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440" w:type="dxa"/>
            <w:vAlign w:val="bottom"/>
            <w:gridSpan w:val="2"/>
          </w:tcPr>
          <w:p>
            <w:pPr>
              <w:jc w:val="right"/>
              <w:ind w:right="4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460" w:type="dxa"/>
            <w:vAlign w:val="bottom"/>
            <w:gridSpan w:val="3"/>
          </w:tcPr>
          <w:p>
            <w:pPr>
              <w:jc w:val="right"/>
              <w:ind w:right="69"/>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42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9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3,247</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4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460" w:type="dxa"/>
            <w:vAlign w:val="bottom"/>
            <w:gridSpan w:val="3"/>
            <w:shd w:val="clear" w:color="auto" w:fill="CCEEFF"/>
          </w:tcPr>
          <w:p>
            <w:pPr>
              <w:jc w:val="right"/>
              <w:ind w:right="69"/>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9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522</w:t>
            </w:r>
          </w:p>
        </w:tc>
        <w:tc>
          <w:tcPr>
            <w:tcW w:w="44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522</w:t>
            </w:r>
          </w:p>
        </w:tc>
        <w:tc>
          <w:tcPr>
            <w:tcW w:w="460" w:type="dxa"/>
            <w:vAlign w:val="bottom"/>
            <w:gridSpan w:val="3"/>
          </w:tcPr>
          <w:p>
            <w:pPr>
              <w:jc w:val="right"/>
              <w:ind w:right="6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3,511</w:t>
            </w:r>
          </w:p>
        </w:tc>
        <w:tc>
          <w:tcPr>
            <w:tcW w:w="44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2,469</w:t>
            </w:r>
          </w:p>
        </w:tc>
        <w:tc>
          <w:tcPr>
            <w:tcW w:w="460" w:type="dxa"/>
            <w:vAlign w:val="bottom"/>
            <w:gridSpan w:val="3"/>
          </w:tcPr>
          <w:p>
            <w:pPr>
              <w:jc w:val="right"/>
              <w:ind w:right="6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60" w:type="dxa"/>
            <w:vAlign w:val="bottom"/>
            <w:gridSpan w:val="3"/>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w:t>
            </w:r>
          </w:p>
        </w:tc>
        <w:tc>
          <w:tcPr>
            <w:tcW w:w="44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460" w:type="dxa"/>
            <w:vAlign w:val="bottom"/>
            <w:gridSpan w:val="3"/>
          </w:tcPr>
          <w:p>
            <w:pPr>
              <w:jc w:val="right"/>
              <w:ind w:right="6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acquisition-related intangibles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Goodwill was $4.36 billion net of accumulated impairment of $90 million as of March 31, 2015, and December 31, 2014. There was no impairment of goodwill during the three months ended March 31,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acquisition-related intangible assets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March 31, 2015</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December 31, 2014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10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Accumulated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CEEFF"/>
            </w:tcBorders>
          </w:tcPr>
          <w:p>
            <w:pPr>
              <w:spacing w:after="0"/>
              <w:rPr>
                <w:sz w:val="19"/>
                <w:szCs w:val="19"/>
                <w:color w:val="auto"/>
              </w:rPr>
            </w:pPr>
          </w:p>
        </w:tc>
      </w:tr>
      <w:tr>
        <w:trPr>
          <w:trHeight w:val="213"/>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5 - 10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60" w:type="dxa"/>
            <w:vAlign w:val="bottom"/>
            <w:shd w:val="clear" w:color="auto" w:fill="CCEEFF"/>
          </w:tcPr>
          <w:p>
            <w:pPr>
              <w:spacing w:after="0"/>
              <w:rPr>
                <w:sz w:val="18"/>
                <w:szCs w:val="18"/>
                <w:color w:val="auto"/>
              </w:rPr>
            </w:pPr>
          </w:p>
        </w:tc>
      </w:tr>
      <w:tr>
        <w:trPr>
          <w:trHeight w:val="213"/>
        </w:trPr>
        <w:tc>
          <w:tcPr>
            <w:tcW w:w="220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480</w:t>
            </w:r>
          </w:p>
        </w:tc>
        <w:tc>
          <w:tcPr>
            <w:tcW w:w="60" w:type="dxa"/>
            <w:vAlign w:val="bottom"/>
          </w:tcPr>
          <w:p>
            <w:pPr>
              <w:spacing w:after="0"/>
              <w:rPr>
                <w:sz w:val="18"/>
                <w:szCs w:val="18"/>
                <w:color w:val="auto"/>
              </w:rPr>
            </w:pPr>
          </w:p>
        </w:tc>
      </w:tr>
      <w:tr>
        <w:trPr>
          <w:trHeight w:val="21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9"/>
                <w:szCs w:val="19"/>
                <w:color w:val="auto"/>
              </w:rPr>
            </w:pPr>
          </w:p>
        </w:tc>
      </w:t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2,945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1,123</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1,822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2,948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1,902</w:t>
            </w:r>
          </w:p>
        </w:tc>
        <w:tc>
          <w:tcPr>
            <w:tcW w:w="60" w:type="dxa"/>
            <w:vAlign w:val="bottom"/>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Amortization of acquisition-related intangibles was $80 million and $81 million for the three months ended March 31, 2015 and 2014, respectively, primarily related to developed technology. Fully amortized assets are written off against accumulated amortization.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542"/>
              <w:spacing w:after="0"/>
              <w:rPr>
                <w:sz w:val="20"/>
                <w:szCs w:val="20"/>
                <w:color w:val="auto"/>
              </w:rPr>
            </w:pPr>
            <w:r>
              <w:rPr>
                <w:rFonts w:ascii="Arial" w:cs="Arial" w:eastAsia="Arial" w:hAnsi="Arial"/>
                <w:sz w:val="16"/>
                <w:szCs w:val="16"/>
                <w:b w:val="1"/>
                <w:bCs w:val="1"/>
                <w:color w:val="auto"/>
              </w:rPr>
              <w:t>U.S.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3"/>
          </w:tcPr>
          <w:p>
            <w:pPr>
              <w:jc w:val="right"/>
              <w:ind w:right="362"/>
              <w:spacing w:after="0"/>
              <w:rPr>
                <w:sz w:val="20"/>
                <w:szCs w:val="20"/>
                <w:color w:val="auto"/>
              </w:rPr>
            </w:pPr>
            <w:r>
              <w:rPr>
                <w:rFonts w:ascii="Arial" w:cs="Arial" w:eastAsia="Arial" w:hAnsi="Arial"/>
                <w:sz w:val="16"/>
                <w:szCs w:val="16"/>
                <w:b w:val="1"/>
                <w:bCs w:val="1"/>
                <w:color w:val="auto"/>
                <w:w w:val="97"/>
              </w:rPr>
              <w:t>Non-U.S.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Defined Benefit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March 31,</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w:t>
            </w:r>
          </w:p>
        </w:tc>
        <w:tc>
          <w:tcPr>
            <w:tcW w:w="6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7"/>
                <w:szCs w:val="17"/>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lines of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2015, we had a variable-rate revolving credit facility from a consortium of investment-grade banks that allows us to borrow up to $2 billion until March 2020. The interest rate on borrowings under this credit facility, if drawn, is indexed to the applicable London Interbank Offered Rate (LIBOR). As of March 31, 2015,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March 2014, we issued an aggregate principal amount of $500 million of fixed-rate long-term debt, with $250 million due in 2017 and $250 million due in 2021. We incurred $3 million of issuance and other related costs, which are amortized to Interest and debt expense over the term of the debt. The proceeds of the offering were $498 million, net of the original issuance discount and were used toward the repayment of the $1 billion of debt that matured in May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7"/>
              </w:rPr>
              <w:t>March 31,</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49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Notes due 2015 at 3.95% (assumed with National acquisition)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Notes due 2015 at 0.45%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r>
      <w:tr>
        <w:trPr>
          <w:trHeight w:val="21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r>
      <w:tr>
        <w:trPr>
          <w:trHeight w:val="21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Notes due 2018 at 1.00%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r>
      <w:tr>
        <w:trPr>
          <w:trHeight w:val="21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Notes due 2021 at 2.75%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r>
      <w:tr>
        <w:trPr>
          <w:trHeight w:val="21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Notes due 2023 at 2.25%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9"/>
                <w:szCs w:val="19"/>
                <w:color w:val="auto"/>
              </w:rPr>
            </w:pPr>
          </w:p>
        </w:tc>
      </w:tr>
      <w:tr>
        <w:trPr>
          <w:trHeight w:val="207"/>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debt</w:t>
            </w: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w:t>
            </w:r>
          </w:p>
        </w:tc>
        <w:tc>
          <w:tcPr>
            <w:tcW w:w="80" w:type="dxa"/>
            <w:vAlign w:val="bottom"/>
            <w:tcBorders>
              <w:bottom w:val="single" w:sz="8" w:color="CCEEFF"/>
            </w:tcBorders>
          </w:tcPr>
          <w:p>
            <w:pPr>
              <w:spacing w:after="0"/>
              <w:rPr>
                <w:sz w:val="17"/>
                <w:szCs w:val="17"/>
                <w:color w:val="auto"/>
              </w:rPr>
            </w:pPr>
          </w:p>
        </w:tc>
      </w:tr>
      <w:tr>
        <w:trPr>
          <w:trHeight w:val="212"/>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premium</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(1,000)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(1,001)</w:t>
            </w: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Interest and debt expense was $22 million and $25 million for the three months ended March 31, 2015 and 2014, respectively. This was net of the amortization of the debt premium and other debt issuance costs. Capitalized interest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periods ended March 31, 2015 and 2014. The table below details where on the Consolidated Statements of Income these transactions are recorded.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gridSpan w:val="7"/>
          </w:tcPr>
          <w:p>
            <w:pPr>
              <w:jc w:val="right"/>
              <w:ind w:right="180"/>
              <w:spacing w:after="0"/>
              <w:rPr>
                <w:sz w:val="20"/>
                <w:szCs w:val="20"/>
                <w:color w:val="auto"/>
              </w:rPr>
            </w:pPr>
            <w:r>
              <w:rPr>
                <w:rFonts w:ascii="Arial" w:cs="Arial" w:eastAsia="Arial" w:hAnsi="Arial"/>
                <w:sz w:val="16"/>
                <w:szCs w:val="16"/>
                <w:b w:val="1"/>
                <w:bCs w:val="1"/>
                <w:color w:val="auto"/>
                <w:w w:val="93"/>
              </w:rPr>
              <w:t>For Three Months Ended</w:t>
            </w:r>
          </w:p>
        </w:tc>
        <w:tc>
          <w:tcPr>
            <w:tcW w:w="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5"/>
              </w:rPr>
              <w:t>Impact to</w:t>
            </w:r>
          </w:p>
        </w:tc>
      </w:tr>
      <w:tr>
        <w:trPr>
          <w:trHeight w:val="216"/>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Borders>
              <w:bottom w:val="single" w:sz="8" w:color="auto"/>
            </w:tcBorders>
            <w:gridSpan w:val="5"/>
          </w:tcPr>
          <w:p>
            <w:pPr>
              <w:jc w:val="right"/>
              <w:ind w:right="284"/>
              <w:spacing w:after="0"/>
              <w:rPr>
                <w:sz w:val="20"/>
                <w:szCs w:val="20"/>
                <w:color w:val="auto"/>
              </w:rPr>
            </w:pPr>
            <w:r>
              <w:rPr>
                <w:rFonts w:ascii="Arial" w:cs="Arial" w:eastAsia="Arial" w:hAnsi="Arial"/>
                <w:sz w:val="16"/>
                <w:szCs w:val="16"/>
                <w:b w:val="1"/>
                <w:bCs w:val="1"/>
                <w:color w:val="auto"/>
              </w:rPr>
              <w:t>March 31,</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1"/>
              </w:rPr>
              <w:t>Related Statement</w:t>
            </w:r>
          </w:p>
        </w:tc>
      </w:tr>
      <w:tr>
        <w:trPr>
          <w:trHeight w:val="213"/>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2"/>
              </w:rPr>
              <w:t>of Income Line</w:t>
            </w:r>
          </w:p>
        </w:tc>
      </w:tr>
      <w:tr>
        <w:trPr>
          <w:trHeight w:val="212"/>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actuarial gains (losses) of defined benefit plans:</w:t>
            </w:r>
          </w:p>
        </w:tc>
        <w:tc>
          <w:tcPr>
            <w:tcW w:w="1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r>
      <w:tr>
        <w:trPr>
          <w:trHeight w:val="213"/>
        </w:trPr>
        <w:tc>
          <w:tcPr>
            <w:tcW w:w="47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1640" w:type="dxa"/>
            <w:vAlign w:val="bottom"/>
            <w:gridSpan w:val="2"/>
          </w:tcPr>
          <w:p>
            <w:pPr>
              <w:jc w:val="right"/>
              <w:ind w:right="4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8"/>
                <w:szCs w:val="18"/>
                <w:color w:val="auto"/>
              </w:rPr>
            </w:pPr>
          </w:p>
        </w:tc>
        <w:tc>
          <w:tcPr>
            <w:tcW w:w="680" w:type="dxa"/>
            <w:vAlign w:val="bottom"/>
            <w:gridSpan w:val="2"/>
          </w:tcPr>
          <w:p>
            <w:pPr>
              <w:jc w:val="right"/>
              <w:ind w:right="444"/>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720" w:type="dxa"/>
            <w:vAlign w:val="bottom"/>
            <w:gridSpan w:val="2"/>
          </w:tcPr>
          <w:p>
            <w:pPr>
              <w:ind w:left="80"/>
              <w:spacing w:after="0"/>
              <w:rPr>
                <w:sz w:val="20"/>
                <w:szCs w:val="20"/>
                <w:color w:val="auto"/>
              </w:rPr>
            </w:pPr>
            <w:r>
              <w:rPr>
                <w:rFonts w:ascii="Arial" w:cs="Arial" w:eastAsia="Arial" w:hAnsi="Arial"/>
                <w:sz w:val="16"/>
                <w:szCs w:val="16"/>
                <w:color w:val="auto"/>
              </w:rPr>
              <w:t>Increase to Pension expense (b)</w:t>
            </w:r>
          </w:p>
        </w:tc>
      </w:tr>
      <w:tr>
        <w:trPr>
          <w:trHeight w:val="219"/>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3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Decrease to Provision for income taxes</w:t>
            </w:r>
          </w:p>
        </w:tc>
      </w:tr>
      <w:tr>
        <w:trPr>
          <w:trHeight w:val="247"/>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Recognized within Net income, net of taxes</w:t>
            </w:r>
          </w:p>
        </w:tc>
        <w:tc>
          <w:tcPr>
            <w:tcW w:w="104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1"/>
                <w:szCs w:val="21"/>
                <w:color w:val="auto"/>
              </w:rPr>
            </w:pPr>
          </w:p>
        </w:tc>
        <w:tc>
          <w:tcPr>
            <w:tcW w:w="37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Decrease to Net income</w:t>
            </w:r>
          </w:p>
        </w:tc>
      </w:tr>
      <w:tr>
        <w:trPr>
          <w:trHeight w:val="199"/>
        </w:trPr>
        <w:tc>
          <w:tcPr>
            <w:tcW w:w="4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Prior service cost of defined benefit plans: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9"/>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 (credit) (a)</w:t>
            </w:r>
          </w:p>
        </w:tc>
        <w:tc>
          <w:tcPr>
            <w:tcW w:w="1640" w:type="dxa"/>
            <w:vAlign w:val="bottom"/>
            <w:gridSpan w:val="2"/>
            <w:shd w:val="clear" w:color="auto" w:fill="CCEEFF"/>
          </w:tcPr>
          <w:p>
            <w:pPr>
              <w:jc w:val="right"/>
              <w:ind w:right="44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44"/>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Increase to Pension expense (b)</w:t>
            </w:r>
          </w:p>
        </w:tc>
      </w:tr>
      <w:tr>
        <w:trPr>
          <w:trHeight w:val="21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10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Decrease to Provision for income taxes</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Recognized within Net income, net of taxes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1"/>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4"/>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Decrease to Net income</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Detailed in Note 8.</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expense is included in COR, R&amp;D and SG&amp;A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several advantages that are unique to TI:</w:t>
      </w:r>
    </w:p>
    <w:p>
      <w:pPr>
        <w:spacing w:after="0" w:line="170" w:lineRule="exact"/>
        <w:rPr>
          <w:sz w:val="20"/>
          <w:szCs w:val="20"/>
          <w:color w:val="auto"/>
        </w:rPr>
      </w:pPr>
    </w:p>
    <w:p>
      <w:pPr>
        <w:ind w:left="760" w:hanging="372"/>
        <w:spacing w:after="0" w:line="259"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186" w:lineRule="exact"/>
        <w:rPr>
          <w:rFonts w:ascii="Arial" w:cs="Arial" w:eastAsia="Arial" w:hAnsi="Arial"/>
          <w:sz w:val="18"/>
          <w:szCs w:val="18"/>
          <w:color w:val="auto"/>
        </w:rPr>
      </w:pPr>
    </w:p>
    <w:p>
      <w:pPr>
        <w:ind w:left="760" w:right="100" w:hanging="372"/>
        <w:spacing w:after="0" w:line="29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technology and low-cost production. </w:t>
      </w:r>
      <w:r>
        <w:rPr>
          <w:rFonts w:ascii="Arial" w:cs="Arial" w:eastAsia="Arial" w:hAnsi="Arial"/>
          <w:sz w:val="16"/>
          <w:szCs w:val="16"/>
          <w:color w:val="auto"/>
        </w:rPr>
        <w:t>We invest in manufacturing technologies that differentiate the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2014,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166" w:lineRule="exact"/>
        <w:rPr>
          <w:rFonts w:ascii="Arial" w:cs="Arial" w:eastAsia="Arial" w:hAnsi="Arial"/>
          <w:sz w:val="16"/>
          <w:szCs w:val="16"/>
          <w:color w:val="auto"/>
        </w:rPr>
      </w:pPr>
    </w:p>
    <w:p>
      <w:pPr>
        <w:ind w:left="760" w:right="240" w:hanging="372"/>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 of</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181" w:lineRule="exact"/>
        <w:rPr>
          <w:rFonts w:ascii="Arial" w:cs="Arial" w:eastAsia="Arial" w:hAnsi="Arial"/>
          <w:sz w:val="18"/>
          <w:szCs w:val="18"/>
          <w:color w:val="auto"/>
        </w:rPr>
      </w:pPr>
    </w:p>
    <w:p>
      <w:pPr>
        <w:ind w:left="760" w:right="20" w:hanging="372"/>
        <w:spacing w:after="0" w:line="259"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advantages above result in diverse and long-lived positions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advantages have resulted in consistent share gains and free cash flow growth, and they put us in a unique class of companies with the ability to grow, generate cash, and return that cash to shareholders.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760" w:hanging="37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 except per-share amounts.</w:t>
      </w:r>
    </w:p>
    <w:p>
      <w:pPr>
        <w:spacing w:after="0" w:line="225" w:lineRule="exact"/>
        <w:rPr>
          <w:rFonts w:ascii="Arial" w:cs="Arial" w:eastAsia="Arial" w:hAnsi="Arial"/>
          <w:sz w:val="18"/>
          <w:szCs w:val="18"/>
          <w:color w:val="auto"/>
        </w:rPr>
      </w:pPr>
    </w:p>
    <w:p>
      <w:pPr>
        <w:ind w:left="760" w:hanging="37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225" w:lineRule="exact"/>
        <w:rPr>
          <w:sz w:val="20"/>
          <w:szCs w:val="20"/>
          <w:color w:val="auto"/>
        </w:rPr>
      </w:pPr>
    </w:p>
    <w:p>
      <w:pPr>
        <w:ind w:left="1500" w:right="120" w:hanging="351"/>
        <w:spacing w:after="0" w:line="259" w:lineRule="auto"/>
        <w:tabs>
          <w:tab w:leader="none" w:pos="15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184" w:lineRule="exact"/>
        <w:rPr>
          <w:rFonts w:ascii="Courier New" w:cs="Courier New" w:eastAsia="Courier New" w:hAnsi="Courier New"/>
          <w:sz w:val="18"/>
          <w:szCs w:val="18"/>
          <w:color w:val="auto"/>
        </w:rPr>
      </w:pPr>
    </w:p>
    <w:p>
      <w:pPr>
        <w:ind w:left="1500" w:hanging="351"/>
        <w:spacing w:after="0"/>
        <w:tabs>
          <w:tab w:leader="none" w:pos="150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53" w:right="279" w:bottom="1440" w:gutter="0" w:footer="0" w:header="0"/>
        </w:sectPr>
      </w:pPr>
    </w:p>
    <w:bookmarkStart w:id="14" w:name="page15"/>
    <w:bookmarkEnd w:id="14"/>
    <w:p>
      <w:pPr>
        <w:ind w:left="1500" w:right="20" w:hanging="351"/>
        <w:spacing w:after="0" w:line="259" w:lineRule="auto"/>
        <w:tabs>
          <w:tab w:leader="none" w:pos="150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184" w:lineRule="exact"/>
        <w:rPr>
          <w:rFonts w:ascii="Courier New" w:cs="Courier New" w:eastAsia="Courier New" w:hAnsi="Courier New"/>
          <w:sz w:val="18"/>
          <w:szCs w:val="18"/>
          <w:color w:val="auto"/>
        </w:rPr>
      </w:pPr>
    </w:p>
    <w:p>
      <w:pPr>
        <w:ind w:left="1500" w:right="240" w:hanging="351"/>
        <w:spacing w:after="0" w:line="294" w:lineRule="auto"/>
        <w:tabs>
          <w:tab w:leader="none" w:pos="1500" w:val="left"/>
        </w:tabs>
        <w:numPr>
          <w:ilvl w:val="1"/>
          <w:numId w:val="12"/>
        </w:numPr>
        <w:rPr>
          <w:rFonts w:ascii="Courier New" w:cs="Courier New" w:eastAsia="Courier New" w:hAnsi="Courier New"/>
          <w:sz w:val="16"/>
          <w:szCs w:val="16"/>
          <w:color w:val="auto"/>
        </w:rPr>
      </w:pP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161" w:lineRule="exact"/>
        <w:rPr>
          <w:rFonts w:ascii="Courier New" w:cs="Courier New" w:eastAsia="Courier New" w:hAnsi="Courier New"/>
          <w:sz w:val="16"/>
          <w:szCs w:val="16"/>
          <w:color w:val="auto"/>
        </w:rPr>
      </w:pPr>
    </w:p>
    <w:p>
      <w:pPr>
        <w:ind w:left="760" w:right="120" w:hanging="372"/>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$3.15 billion, net income was $656 million and earnings per share (EPS) were $0.61.</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growth of 6 percent was the sixth consecutive quarter of year-over-year growth and within the range of our expectations. Automotive and industrial markets were strong, as we expected they would be. Revenue, however, was in the bottom half of our range for two reasons. First was weak demand in the last month of the quarter in our personal electronics market, particularly PCs, and in our communications equipment market, particularly wireless infrastructure equipment. Second was a steep decline in the currency exchange rate for the euro relative to the U.S. dollar.</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Even so, our core businesses of Analog and Embedded Processing delivered their seventh and tenth consecutive quarters of year-over-year growth, respectively. Combined, Analog and Embedded Processing comprised 86 percent of first-quarter revenue.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margin of 57.7 percent was up almost 4 percentage points from a year ago, reflecting the diversity and longevity of our product portfolio, as well as the efficiency of our manufacturing strategy.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cash flow from operations once again underscored the strength of our business model. Free cash flow for the trailing 12 months was up 17 percent from a year ago to $3.6 billion, or 27 percent of revenue. This represents an increase of 2 percentage points from a year ago and is consistent with our targeted range of 20-30 percent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returned $4.1 billion to shareholders in the past 12 months through stock repurchases and dividends.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balance sheet remains strong, with $3.3 billion of cash and short-term investments at the end of the quarter, 82 percent of which was owned by the company’s U.S. entities. Inventory ended the quarter at 124 days.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continuing weakness in our communications equipment and personal electronics markets, particularly for wireless infrastructure equipment and PCs, in the second quarter of 2015. We also do not expect a near-term rebound in foreign currency exchange rates.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reason for providing this non-GAAP measure, see the Non-GAAP financial information section after the Liquidity and capital resources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first-quarter 2015 compared with first-quarter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$167 million, or 6 percent, due to increased revenue from Analog and Embedded Processing.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57" w:right="299" w:bottom="1440" w:gutter="0" w:footer="0" w:header="0"/>
        </w:sectPr>
      </w:pPr>
    </w:p>
    <w:bookmarkStart w:id="15" w:name="page16"/>
    <w:bookmarkEnd w:id="15"/>
    <w:p>
      <w:pPr>
        <w:ind w:right="260"/>
        <w:spacing w:after="0" w:line="277" w:lineRule="auto"/>
        <w:rPr>
          <w:sz w:val="20"/>
          <w:szCs w:val="20"/>
          <w:color w:val="auto"/>
        </w:rPr>
      </w:pPr>
      <w:r>
        <w:rPr>
          <w:rFonts w:ascii="Arial" w:cs="Arial" w:eastAsia="Arial" w:hAnsi="Arial"/>
          <w:sz w:val="18"/>
          <w:szCs w:val="18"/>
          <w:color w:val="auto"/>
        </w:rPr>
        <w:t>Gross profit was $1.82 billion, or 57.7 percent of revenue, an increase of $209 million primarily due to increased revenue, and to a lesser extent, increased factory loadings.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expenses were $338 million for R&amp;D and $439 million for SG&amp;A. R&amp;D expense decreased $28 million and SG&amp;A expense decreased $40 million. The decreases, 8 percent in each comparison, were due to cost savings from previously announced restructuring actions and other efforts across the company to align costs with growth opportunities.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unchanged at $83 million. These charges were from the ongoing amortization of intangible assets. See Note 3 to the financial statements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$958 million, or 30.4 percent of revenue, compared with $690 million, or 23.1 percent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Quarterly income taxes are calculated using the estimated annual effective tax rate. At the end of the first quarter, our estimated annual effective tax rate for 2015 was about 30 percent. The tax rate is based on current tax law and does not include the effect of the federal research tax credit, which expired at the end of 2014.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was $284 million compared with $184 million. The increase was primarily due to an increase in income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2015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(includes High Volume Analog &amp; Logic (HVAL), Power Management (Power), High Performance Analog (HPA) and Silicon Valley Analog (SVA))</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1Q15</w:t>
            </w:r>
          </w:p>
        </w:tc>
        <w:tc>
          <w:tcPr>
            <w:tcW w:w="20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1Q14</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2,035</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5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500" w:type="dxa"/>
            <w:vAlign w:val="bottom"/>
          </w:tcPr>
          <w:p>
            <w:pPr>
              <w:spacing w:after="0"/>
              <w:rPr>
                <w:sz w:val="19"/>
                <w:szCs w:val="19"/>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45%</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35.4%</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1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Analog revenue increased primarily due to Power and HVAL. SVA and HPA also grew, but to a lesser extent. Operating profit increased primarily due to higher revenue and associated gross profit.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5"/>
          </w:tcPr>
          <w:p>
            <w:pPr>
              <w:jc w:val="right"/>
              <w:ind w:right="1300"/>
              <w:spacing w:after="0"/>
              <w:rPr>
                <w:sz w:val="20"/>
                <w:szCs w:val="20"/>
                <w:color w:val="auto"/>
              </w:rPr>
            </w:pPr>
            <w:r>
              <w:rPr>
                <w:rFonts w:ascii="Arial" w:cs="Arial" w:eastAsia="Arial" w:hAnsi="Arial"/>
                <w:sz w:val="18"/>
                <w:szCs w:val="18"/>
                <w:i w:val="1"/>
                <w:iCs w:val="1"/>
                <w:color w:val="auto"/>
                <w:w w:val="90"/>
              </w:rPr>
              <w:t>Embedded Processing (includes Processor, Microcontrollers and Connectivity)</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6"/>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1Q15</w:t>
            </w:r>
          </w:p>
        </w:tc>
        <w:tc>
          <w:tcPr>
            <w:tcW w:w="200" w:type="dxa"/>
            <w:vAlign w:val="bottom"/>
          </w:tcPr>
          <w:p>
            <w:pPr>
              <w:spacing w:after="0"/>
              <w:rPr>
                <w:sz w:val="24"/>
                <w:szCs w:val="2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1Q14</w:t>
            </w: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1720" w:type="dxa"/>
            <w:vAlign w:val="bottom"/>
          </w:tcPr>
          <w:p>
            <w:pPr>
              <w:spacing w:after="0"/>
              <w:rPr>
                <w:sz w:val="19"/>
                <w:szCs w:val="19"/>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5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w:t>
            </w:r>
          </w:p>
        </w:tc>
      </w:tr>
      <w:tr>
        <w:trPr>
          <w:trHeight w:val="230"/>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137%</w:t>
            </w:r>
          </w:p>
        </w:tc>
      </w:tr>
      <w:tr>
        <w:trPr>
          <w:trHeight w:val="230"/>
        </w:trPr>
        <w:tc>
          <w:tcPr>
            <w:tcW w:w="17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1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Embedded Processing revenue increased due to Microcontrollers and Connectivity, which grew by about the same amount. Processor revenue decreased due to a less favorable mix of products shipped. Operating profit increased primarily due to lower operating expenses.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57"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custom ASIC products, calculators and royalties)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1Q15</w:t>
            </w:r>
          </w:p>
        </w:tc>
        <w:tc>
          <w:tcPr>
            <w:tcW w:w="20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1Q14</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-19%</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25.7%</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1160" w:type="dxa"/>
            <w:vAlign w:val="bottom"/>
            <w:shd w:val="clear" w:color="auto" w:fill="CCEEFF"/>
          </w:tcPr>
          <w:p>
            <w:pPr>
              <w:spacing w:after="0"/>
              <w:rPr>
                <w:sz w:val="19"/>
                <w:szCs w:val="19"/>
                <w:color w:val="auto"/>
              </w:rPr>
            </w:pPr>
          </w:p>
        </w:tc>
      </w:tr>
    </w:tbl>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 decreased primarily due to custom ASIC products and, to a lesser extent, DLP products. Operating profit decreased primarily due to lower gross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end of the first quarter of 2015, total cash (Cash and cash equivalents plus Short-term investments) was $3.30 billion, a decrease of $237 million from the end of 2014.</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Accounts receivable were $1.39 billion. This was an increase of $148 million compared with the end of 2014 primarily due to higher revenue at the end of the first quarter than at the end of 2014. Days sales outstanding were 40 at the end of the first quarter compared with 34 at the end of 2014.</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Inventory was $1.84 billion, an increase of $60 million from the end of 2014. Days of inventory at the end of the first quarter were 124 compared with 117 at the end of 2014. The days increased due about equally to our planned build-ahead of long-lived products and revenue that came in the bottom half of our expected range.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revolving credit facility. Cash flow from operating activities for the first quarter of 2015 was $609 million, an increase of $147 million from the year-ago quarter due to an increase in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have a variable-rate revolving credit facility with a consortium of investment-grade banks that allows us to borrow up to $2 billion until March</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2020. This credit facility also serves as support for the issuance of commercial paper. As of March 31, 2015, our credit facility was undrawn and we had no commercial paper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first three months of 2015, investing activities provided $158 million in cash compared with using cash of $305 million in the year-ago</w:t>
      </w:r>
    </w:p>
    <w:p>
      <w:pPr>
        <w:spacing w:after="0" w:line="23"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period. Capital expenditures were $123 million compared with $77 million in the year-ago period, and were primarily for semiconductor manufacturing equipment. We received proceeds from sales of short-term investments, net of purchases, of $280 million. In comparison, in the year-ago period, we had purchases of short-term investments, net of sales, that used cash of $266 million.</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three months of 2015, financing activities used net cash of $724 million compared with $219 million in the year-ago period. In 2014, we received proceeds of $498 million from the issuance of fixed-rate long-term debt (net of original issuance discount). We paid dividends of $356 million compared with $325 million in the year-ago period, reflecting an increase in the dividend rate. We used $670 million to repurchase 12.0 million shares of our common stock, compared with $720 million used in the year-ago period to repurchase 16.6 million shares. Employee exercises of stock options provided cash proceeds of $246 million compared with $283 million in the year-ago period.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April 2015, we repaid $250 million of maturing debt that we assumed in connection with the National acquisition. Additionally, on April 27, 2015, we agreed to issue $500 million principal amount of debt, which we expect to use for repayment of maturing debt. The debt offering is expected to close on May 6, 2015.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57" w:right="259" w:bottom="1440" w:gutter="0" w:footer="0" w:header="0"/>
        </w:sectPr>
      </w:pPr>
    </w:p>
    <w:bookmarkStart w:id="17" w:name="page18"/>
    <w:bookmarkEnd w:id="17"/>
    <w:p>
      <w:pPr>
        <w:ind w:right="400"/>
        <w:spacing w:after="0" w:line="264" w:lineRule="auto"/>
        <w:rPr>
          <w:sz w:val="20"/>
          <w:szCs w:val="20"/>
          <w:color w:val="auto"/>
        </w:rPr>
      </w:pPr>
      <w:r>
        <w:rPr>
          <w:rFonts w:ascii="Arial" w:cs="Arial" w:eastAsia="Arial" w:hAnsi="Arial"/>
          <w:sz w:val="18"/>
          <w:szCs w:val="18"/>
          <w:color w:val="auto"/>
        </w:rPr>
        <w:t>We had $1.24 billion of Cash and cash equivalents and $2.06 billion of Short-term investments as of March 31, 2015.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For 12 Months Ended</w:t>
            </w:r>
          </w:p>
        </w:tc>
        <w:tc>
          <w:tcPr>
            <w:tcW w:w="8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44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r>
      <w:tr>
        <w:trPr>
          <w:trHeight w:val="196"/>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4,039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3,486</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59"/>
              <w:spacing w:after="0"/>
              <w:rPr>
                <w:sz w:val="20"/>
                <w:szCs w:val="20"/>
                <w:color w:val="auto"/>
              </w:rPr>
            </w:pPr>
            <w:r>
              <w:rPr>
                <w:rFonts w:ascii="Arial" w:cs="Arial" w:eastAsia="Arial" w:hAnsi="Arial"/>
                <w:sz w:val="16"/>
                <w:szCs w:val="16"/>
                <w:b w:val="1"/>
                <w:bCs w:val="1"/>
                <w:color w:val="auto"/>
              </w:rPr>
              <w:t>16%</w:t>
            </w:r>
          </w:p>
        </w:tc>
      </w:tr>
      <w:tr>
        <w:trPr>
          <w:trHeight w:val="203"/>
        </w:trPr>
        <w:tc>
          <w:tcPr>
            <w:tcW w:w="448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(431)</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(405)</w:t>
            </w:r>
          </w:p>
        </w:tc>
        <w:tc>
          <w:tcPr>
            <w:tcW w:w="820" w:type="dxa"/>
            <w:vAlign w:val="bottom"/>
          </w:tcPr>
          <w:p>
            <w:pPr>
              <w:spacing w:after="0"/>
              <w:rPr>
                <w:sz w:val="17"/>
                <w:szCs w:val="17"/>
                <w:color w:val="auto"/>
              </w:rPr>
            </w:pPr>
          </w:p>
        </w:tc>
      </w:tr>
      <w:tr>
        <w:trPr>
          <w:trHeight w:val="196"/>
        </w:trPr>
        <w:tc>
          <w:tcPr>
            <w:tcW w:w="448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3,608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CFF0FC"/>
              <w:bottom w:val="single" w:sz="8" w:color="CFF0FC"/>
            </w:tcBorders>
            <w:shd w:val="clear" w:color="auto" w:fill="CFF0FC"/>
          </w:tcPr>
          <w:p>
            <w:pPr>
              <w:jc w:val="right"/>
              <w:ind w:right="359"/>
              <w:spacing w:after="0"/>
              <w:rPr>
                <w:sz w:val="20"/>
                <w:szCs w:val="20"/>
                <w:color w:val="auto"/>
              </w:rPr>
            </w:pPr>
            <w:r>
              <w:rPr>
                <w:rFonts w:ascii="Arial" w:cs="Arial" w:eastAsia="Arial" w:hAnsi="Arial"/>
                <w:sz w:val="16"/>
                <w:szCs w:val="16"/>
                <w:b w:val="1"/>
                <w:bCs w:val="1"/>
                <w:color w:val="auto"/>
              </w:rPr>
              <w:t>17%</w:t>
            </w: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0"/>
        </w:trPr>
        <w:tc>
          <w:tcPr>
            <w:tcW w:w="4480" w:type="dxa"/>
            <w:vAlign w:val="bottom"/>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13,212</w:t>
            </w:r>
          </w:p>
        </w:tc>
        <w:tc>
          <w:tcPr>
            <w:tcW w:w="240" w:type="dxa"/>
            <w:vAlign w:val="bottom"/>
          </w:tcPr>
          <w:p>
            <w:pPr>
              <w:spacing w:after="0"/>
              <w:rPr>
                <w:sz w:val="24"/>
                <w:szCs w:val="24"/>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12,302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as a percent of revenue (GAAP)</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31%</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w:t>
            </w:r>
          </w:p>
        </w:tc>
        <w:tc>
          <w:tcPr>
            <w:tcW w:w="820" w:type="dxa"/>
            <w:vAlign w:val="bottom"/>
            <w:shd w:val="clear" w:color="auto" w:fill="CFF0FC"/>
          </w:tcPr>
          <w:p>
            <w:pPr>
              <w:spacing w:after="0"/>
              <w:rPr>
                <w:sz w:val="17"/>
                <w:szCs w:val="17"/>
                <w:color w:val="auto"/>
              </w:rPr>
            </w:pPr>
          </w:p>
        </w:tc>
      </w:tr>
      <w:tr>
        <w:trPr>
          <w:trHeight w:val="210"/>
        </w:trPr>
        <w:tc>
          <w:tcPr>
            <w:tcW w:w="448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820" w:type="dxa"/>
            <w:vAlign w:val="bottom"/>
          </w:tcPr>
          <w:p>
            <w:pPr>
              <w:spacing w:after="0"/>
              <w:rPr>
                <w:sz w:val="18"/>
                <w:szCs w:val="18"/>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5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2014, and is incorporated by reference herein.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ISSUER PURCHASES OF EQUITY SECURITIES</w:t>
            </w:r>
          </w:p>
        </w:tc>
        <w:tc>
          <w:tcPr>
            <w:tcW w:w="1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Total Number</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of Shares</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5"/>
              </w:rPr>
              <w:t>Purchased as</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Part of</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jc w:val="center"/>
              <w:ind w:left="145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Publicly</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Announced</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40" w:type="dxa"/>
            <w:vAlign w:val="bottom"/>
          </w:tcPr>
          <w:p>
            <w:pPr>
              <w:jc w:val="center"/>
              <w:ind w:left="145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Price Paid</w:t>
            </w:r>
          </w:p>
        </w:tc>
        <w:tc>
          <w:tcPr>
            <w:tcW w:w="18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Plans or</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740" w:type="dxa"/>
            <w:vAlign w:val="bottom"/>
          </w:tcPr>
          <w:p>
            <w:pPr>
              <w:jc w:val="center"/>
              <w:ind w:left="1450"/>
              <w:spacing w:after="0"/>
              <w:rPr>
                <w:sz w:val="20"/>
                <w:szCs w:val="20"/>
                <w:color w:val="auto"/>
              </w:rPr>
            </w:pPr>
            <w:r>
              <w:rPr>
                <w:rFonts w:ascii="Arial" w:cs="Arial" w:eastAsia="Arial" w:hAnsi="Arial"/>
                <w:sz w:val="18"/>
                <w:szCs w:val="18"/>
                <w:b w:val="1"/>
                <w:bCs w:val="1"/>
                <w:color w:val="auto"/>
                <w:w w:val="86"/>
              </w:rPr>
              <w:t>Purchased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per Share</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c>
          <w:tcPr>
            <w:tcW w:w="168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2015 through January 31, 2015</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4,543,798</w:t>
            </w:r>
          </w:p>
        </w:tc>
        <w:tc>
          <w:tcPr>
            <w:tcW w:w="2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53.63</w:t>
            </w:r>
          </w:p>
        </w:tc>
        <w:tc>
          <w:tcPr>
            <w:tcW w:w="18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4,543,798</w:t>
            </w:r>
          </w:p>
        </w:tc>
        <w:tc>
          <w:tcPr>
            <w:tcW w:w="14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5"/>
              </w:rPr>
              <w:t>2.93 billion</w:t>
            </w:r>
          </w:p>
        </w:tc>
        <w:tc>
          <w:tcPr>
            <w:tcW w:w="24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February 1, 2015 through February 28, 2015</w:t>
            </w:r>
          </w:p>
        </w:tc>
        <w:tc>
          <w:tcPr>
            <w:tcW w:w="2740" w:type="dxa"/>
            <w:vAlign w:val="bottom"/>
          </w:tcPr>
          <w:p>
            <w:pPr>
              <w:jc w:val="right"/>
              <w:spacing w:after="0"/>
              <w:rPr>
                <w:sz w:val="20"/>
                <w:szCs w:val="20"/>
                <w:color w:val="auto"/>
              </w:rPr>
            </w:pPr>
            <w:r>
              <w:rPr>
                <w:rFonts w:ascii="Arial" w:cs="Arial" w:eastAsia="Arial" w:hAnsi="Arial"/>
                <w:sz w:val="18"/>
                <w:szCs w:val="18"/>
                <w:color w:val="auto"/>
              </w:rPr>
              <w:t>4,252,926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56.34</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4,252,926</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2.69 billion</w:t>
            </w: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March 1, 2015 through March 31, 2015</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3,228,625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57.83</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3,228,625</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2.50 billion</w:t>
            </w:r>
          </w:p>
        </w:tc>
      </w:tr>
      <w:tr>
        <w:trPr>
          <w:trHeight w:val="224"/>
        </w:trPr>
        <w:tc>
          <w:tcPr>
            <w:tcW w:w="20" w:type="dxa"/>
            <w:vAlign w:val="bottom"/>
          </w:tcPr>
          <w:p>
            <w:pPr>
              <w:spacing w:after="0"/>
              <w:rPr>
                <w:sz w:val="19"/>
                <w:szCs w:val="19"/>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12,025,349</w:t>
            </w:r>
          </w:p>
        </w:tc>
        <w:tc>
          <w:tcPr>
            <w:tcW w:w="2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87"/>
              </w:rPr>
              <w:t>(2)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55.72</w:t>
            </w: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12,025,349</w:t>
            </w:r>
            <w:r>
              <w:rPr>
                <w:rFonts w:ascii="Arial" w:cs="Arial" w:eastAsia="Arial" w:hAnsi="Arial"/>
                <w:sz w:val="15"/>
                <w:szCs w:val="15"/>
                <w:color w:val="auto"/>
              </w:rPr>
              <w:t>(2)</w:t>
            </w:r>
          </w:p>
        </w:tc>
        <w:tc>
          <w:tcPr>
            <w:tcW w:w="144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95"/>
              </w:rPr>
              <w:t>2.50 billion</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r>
    </w:tbl>
    <w:p>
      <w:pPr>
        <w:spacing w:after="0" w:line="201" w:lineRule="exact"/>
        <w:rPr>
          <w:sz w:val="20"/>
          <w:szCs w:val="20"/>
          <w:color w:val="auto"/>
        </w:rPr>
      </w:pPr>
    </w:p>
    <w:p>
      <w:pPr>
        <w:ind w:left="540" w:right="220" w:hanging="532"/>
        <w:spacing w:after="0" w:line="277"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$5.0 billion of additional shares of TI common stock announced on February 21, 2013.</w:t>
      </w:r>
    </w:p>
    <w:p>
      <w:pPr>
        <w:spacing w:after="0" w:line="62" w:lineRule="exact"/>
        <w:rPr>
          <w:rFonts w:ascii="Arial" w:cs="Arial" w:eastAsia="Arial" w:hAnsi="Arial"/>
          <w:sz w:val="15"/>
          <w:szCs w:val="15"/>
          <w:color w:val="auto"/>
        </w:rPr>
      </w:pPr>
    </w:p>
    <w:p>
      <w:pPr>
        <w:ind w:left="540" w:hanging="532"/>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117" w:lineRule="exact"/>
        <w:rPr>
          <w:rFonts w:ascii="Arial" w:cs="Arial" w:eastAsia="Arial" w:hAnsi="Arial"/>
          <w:sz w:val="15"/>
          <w:szCs w:val="15"/>
          <w:color w:val="auto"/>
        </w:rPr>
      </w:pPr>
    </w:p>
    <w:p>
      <w:pPr>
        <w:ind w:left="540" w:right="280" w:hanging="532"/>
        <w:spacing w:after="0" w:line="277"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 of March 31, 2015, this amount consisted of the remaining portion of the $5.0 billion authorized in February 2013.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540" w:type="dxa"/>
            <w:vAlign w:val="bottom"/>
          </w:tcPr>
          <w:p>
            <w:pPr>
              <w:ind w:left="120"/>
              <w:spacing w:after="0"/>
              <w:rPr>
                <w:sz w:val="20"/>
                <w:szCs w:val="20"/>
                <w:color w:val="auto"/>
              </w:rPr>
            </w:pPr>
            <w:r>
              <w:rPr>
                <w:rFonts w:ascii="Arial" w:cs="Arial" w:eastAsia="Arial" w:hAnsi="Arial"/>
                <w:sz w:val="18"/>
                <w:szCs w:val="18"/>
                <w:b w:val="1"/>
                <w:bCs w:val="1"/>
                <w:color w:val="auto"/>
                <w:w w:val="97"/>
              </w:rPr>
              <w:t>ITEM 6. Exhibits.</w:t>
            </w:r>
          </w:p>
        </w:tc>
        <w:tc>
          <w:tcPr>
            <w:tcW w:w="7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8"/>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Designation of</w:t>
            </w:r>
          </w:p>
        </w:tc>
        <w:tc>
          <w:tcPr>
            <w:tcW w:w="7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c>
          <w:tcPr>
            <w:tcW w:w="40" w:type="dxa"/>
            <w:vAlign w:val="bottom"/>
          </w:tcPr>
          <w:p>
            <w:pPr>
              <w:spacing w:after="0"/>
              <w:rPr>
                <w:sz w:val="18"/>
                <w:szCs w:val="18"/>
                <w:color w:val="auto"/>
              </w:rPr>
            </w:pPr>
          </w:p>
        </w:tc>
      </w:t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7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95"/>
        </w:trPr>
        <w:tc>
          <w:tcPr>
            <w:tcW w:w="154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2"/>
        </w:trPr>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3(a)</w:t>
            </w:r>
          </w:p>
        </w:tc>
        <w:tc>
          <w:tcPr>
            <w:tcW w:w="7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Restated Certificate of Incorporation of the Registrant, dated April 18, 1985, as amended (incorporated by</w:t>
            </w:r>
          </w:p>
        </w:tc>
        <w:tc>
          <w:tcPr>
            <w:tcW w:w="40" w:type="dxa"/>
            <w:vAlign w:val="bottom"/>
          </w:tcPr>
          <w:p>
            <w:pPr>
              <w:spacing w:after="0"/>
              <w:rPr>
                <w:sz w:val="17"/>
                <w:szCs w:val="17"/>
                <w:color w:val="auto"/>
              </w:rPr>
            </w:pPr>
          </w:p>
        </w:tc>
      </w:tr>
      <w:tr>
        <w:trPr>
          <w:trHeight w:val="216"/>
        </w:trPr>
        <w:tc>
          <w:tcPr>
            <w:tcW w:w="154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reference to Exhibit 3(a) of the Registrant's Annual Report on Form 10-K for the year ended December 31,</w:t>
            </w:r>
          </w:p>
        </w:tc>
        <w:tc>
          <w:tcPr>
            <w:tcW w:w="40" w:type="dxa"/>
            <w:vAlign w:val="bottom"/>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r>
      <w:tr>
        <w:trPr>
          <w:trHeight w:val="202"/>
        </w:trPr>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3"/>
              </w:rPr>
              <w:t>3(b)</w:t>
            </w:r>
          </w:p>
        </w:tc>
        <w:tc>
          <w:tcPr>
            <w:tcW w:w="7840" w:type="dxa"/>
            <w:vAlign w:val="bottom"/>
          </w:tcPr>
          <w:p>
            <w:pPr>
              <w:ind w:left="20"/>
              <w:spacing w:after="0" w:line="201" w:lineRule="exact"/>
              <w:rPr>
                <w:sz w:val="20"/>
                <w:szCs w:val="20"/>
                <w:color w:val="auto"/>
              </w:rPr>
            </w:pPr>
            <w:r>
              <w:rPr>
                <w:rFonts w:ascii="Arial" w:cs="Arial" w:eastAsia="Arial" w:hAnsi="Arial"/>
                <w:sz w:val="18"/>
                <w:szCs w:val="18"/>
                <w:color w:val="auto"/>
                <w:w w:val="93"/>
              </w:rPr>
              <w:t>By-Laws of the Registrant (incorporated by reference to Exhibit 3(b) to the Registrant's Annual Report on</w:t>
            </w:r>
          </w:p>
        </w:tc>
        <w:tc>
          <w:tcPr>
            <w:tcW w:w="4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2014).</w:t>
            </w:r>
          </w:p>
        </w:tc>
        <w:tc>
          <w:tcPr>
            <w:tcW w:w="40" w:type="dxa"/>
            <w:vAlign w:val="bottom"/>
          </w:tcPr>
          <w:p>
            <w:pPr>
              <w:spacing w:after="0"/>
              <w:rPr>
                <w:sz w:val="20"/>
                <w:szCs w:val="20"/>
                <w:color w:val="auto"/>
              </w:rPr>
            </w:pPr>
          </w:p>
        </w:tc>
      </w:tr>
      <w:tr>
        <w:trPr>
          <w:trHeight w:val="27"/>
        </w:trPr>
        <w:tc>
          <w:tcPr>
            <w:tcW w:w="15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31(a)</w:t>
            </w: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 xml:space="preserve">Certification of Chief Executive Officer of Periodic Report Pursuant to Rule 13a-15(e) or Rule 15d-15(e). </w:t>
            </w:r>
            <w:r>
              <w:rPr>
                <w:rFonts w:ascii="Arial" w:cs="Arial" w:eastAsia="Arial" w:hAnsi="Arial"/>
                <w:sz w:val="15"/>
                <w:szCs w:val="15"/>
                <w:color w:val="auto"/>
                <w:w w:val="92"/>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5"/>
              </w:rPr>
              <w:t>31(b)</w:t>
            </w:r>
          </w:p>
        </w:tc>
        <w:tc>
          <w:tcPr>
            <w:tcW w:w="7840" w:type="dxa"/>
            <w:vAlign w:val="bottom"/>
          </w:tcPr>
          <w:p>
            <w:pPr>
              <w:ind w:left="20"/>
              <w:spacing w:after="0"/>
              <w:rPr>
                <w:sz w:val="20"/>
                <w:szCs w:val="20"/>
                <w:color w:val="auto"/>
              </w:rPr>
            </w:pPr>
            <w:r>
              <w:rPr>
                <w:rFonts w:ascii="Arial" w:cs="Arial" w:eastAsia="Arial" w:hAnsi="Arial"/>
                <w:sz w:val="18"/>
                <w:szCs w:val="18"/>
                <w:color w:val="auto"/>
                <w:w w:val="93"/>
              </w:rPr>
              <w:t xml:space="preserve">Certification of Chief Financial Officer of Periodic Report Pursuant to Rule 13a-15(e) or Rule 15d-15(e). </w:t>
            </w:r>
            <w:r>
              <w:rPr>
                <w:rFonts w:ascii="Arial" w:cs="Arial" w:eastAsia="Arial" w:hAnsi="Arial"/>
                <w:sz w:val="15"/>
                <w:szCs w:val="15"/>
                <w:color w:val="auto"/>
                <w:w w:val="93"/>
              </w:rPr>
              <w:t>†</w:t>
            </w:r>
          </w:p>
        </w:tc>
        <w:tc>
          <w:tcPr>
            <w:tcW w:w="40" w:type="dxa"/>
            <w:vAlign w:val="bottom"/>
          </w:tcPr>
          <w:p>
            <w:pPr>
              <w:spacing w:after="0"/>
              <w:rPr>
                <w:sz w:val="20"/>
                <w:szCs w:val="20"/>
                <w:color w:val="auto"/>
              </w:rPr>
            </w:pPr>
          </w:p>
        </w:tc>
      </w:tr>
      <w:tr>
        <w:trPr>
          <w:trHeight w:val="40"/>
        </w:trPr>
        <w:tc>
          <w:tcPr>
            <w:tcW w:w="1540" w:type="dxa"/>
            <w:vAlign w:val="bottom"/>
          </w:tcPr>
          <w:p>
            <w:pPr>
              <w:spacing w:after="0"/>
              <w:rPr>
                <w:sz w:val="3"/>
                <w:szCs w:val="3"/>
                <w:color w:val="auto"/>
              </w:rPr>
            </w:pPr>
          </w:p>
        </w:tc>
        <w:tc>
          <w:tcPr>
            <w:tcW w:w="78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32(a)</w:t>
            </w: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5"/>
              </w:rPr>
              <w:t>32(b)</w:t>
            </w:r>
          </w:p>
        </w:tc>
        <w:tc>
          <w:tcPr>
            <w:tcW w:w="7840" w:type="dxa"/>
            <w:vAlign w:val="bottom"/>
          </w:tcPr>
          <w:p>
            <w:pPr>
              <w:ind w:left="20"/>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40"/>
        </w:trPr>
        <w:tc>
          <w:tcPr>
            <w:tcW w:w="1540" w:type="dxa"/>
            <w:vAlign w:val="bottom"/>
          </w:tcPr>
          <w:p>
            <w:pPr>
              <w:spacing w:after="0"/>
              <w:rPr>
                <w:sz w:val="3"/>
                <w:szCs w:val="3"/>
                <w:color w:val="auto"/>
              </w:rPr>
            </w:pPr>
          </w:p>
        </w:tc>
        <w:tc>
          <w:tcPr>
            <w:tcW w:w="78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101.ins</w:t>
            </w: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7840" w:type="dxa"/>
            <w:vAlign w:val="bottom"/>
          </w:tcPr>
          <w:p>
            <w:pPr>
              <w:ind w:left="20"/>
              <w:spacing w:after="0"/>
              <w:rPr>
                <w:sz w:val="20"/>
                <w:szCs w:val="20"/>
                <w:color w:val="auto"/>
              </w:rPr>
            </w:pPr>
            <w:r>
              <w:rPr>
                <w:rFonts w:ascii="Arial" w:cs="Arial" w:eastAsia="Arial" w:hAnsi="Arial"/>
                <w:sz w:val="18"/>
                <w:szCs w:val="18"/>
                <w:color w:val="auto"/>
              </w:rPr>
              <w:t xml:space="preserve">XBRL Taxonomy Extension Definition Linkbase Document </w:t>
            </w: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40"/>
        </w:trPr>
        <w:tc>
          <w:tcPr>
            <w:tcW w:w="1540" w:type="dxa"/>
            <w:vAlign w:val="bottom"/>
          </w:tcPr>
          <w:p>
            <w:pPr>
              <w:spacing w:after="0"/>
              <w:rPr>
                <w:sz w:val="3"/>
                <w:szCs w:val="3"/>
                <w:color w:val="auto"/>
              </w:rPr>
            </w:pPr>
          </w:p>
        </w:tc>
        <w:tc>
          <w:tcPr>
            <w:tcW w:w="78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101.sch</w:t>
            </w: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XBRL Taxonomy Extension Schema Document </w:t>
            </w: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89"/>
              </w:rPr>
              <w:t>101.cal</w:t>
            </w:r>
          </w:p>
        </w:tc>
        <w:tc>
          <w:tcPr>
            <w:tcW w:w="7840" w:type="dxa"/>
            <w:vAlign w:val="bottom"/>
          </w:tcPr>
          <w:p>
            <w:pPr>
              <w:ind w:left="20"/>
              <w:spacing w:after="0"/>
              <w:rPr>
                <w:sz w:val="20"/>
                <w:szCs w:val="20"/>
                <w:color w:val="auto"/>
              </w:rPr>
            </w:pPr>
            <w:r>
              <w:rPr>
                <w:rFonts w:ascii="Arial" w:cs="Arial" w:eastAsia="Arial" w:hAnsi="Arial"/>
                <w:sz w:val="18"/>
                <w:szCs w:val="18"/>
                <w:color w:val="auto"/>
              </w:rPr>
              <w:t xml:space="preserve">XBRL Taxonomy Extension Calculation Linkbase Document </w:t>
            </w:r>
            <w:r>
              <w:rPr>
                <w:rFonts w:ascii="Arial" w:cs="Arial" w:eastAsia="Arial" w:hAnsi="Arial"/>
                <w:sz w:val="15"/>
                <w:szCs w:val="15"/>
                <w:color w:val="auto"/>
              </w:rPr>
              <w:t>†</w:t>
            </w:r>
          </w:p>
        </w:tc>
        <w:tc>
          <w:tcPr>
            <w:tcW w:w="40" w:type="dxa"/>
            <w:vAlign w:val="bottom"/>
          </w:tcPr>
          <w:p>
            <w:pPr>
              <w:spacing w:after="0"/>
              <w:rPr>
                <w:sz w:val="20"/>
                <w:szCs w:val="20"/>
                <w:color w:val="auto"/>
              </w:rPr>
            </w:pPr>
          </w:p>
        </w:tc>
      </w:tr>
      <w:tr>
        <w:trPr>
          <w:trHeight w:val="40"/>
        </w:trPr>
        <w:tc>
          <w:tcPr>
            <w:tcW w:w="1540" w:type="dxa"/>
            <w:vAlign w:val="bottom"/>
          </w:tcPr>
          <w:p>
            <w:pPr>
              <w:spacing w:after="0"/>
              <w:rPr>
                <w:sz w:val="3"/>
                <w:szCs w:val="3"/>
                <w:color w:val="auto"/>
              </w:rPr>
            </w:pPr>
          </w:p>
        </w:tc>
        <w:tc>
          <w:tcPr>
            <w:tcW w:w="78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101.lab</w:t>
            </w: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XBRL Taxonomy Extension Label Linkbase Document </w:t>
            </w: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7840" w:type="dxa"/>
            <w:vAlign w:val="bottom"/>
          </w:tcPr>
          <w:p>
            <w:pPr>
              <w:ind w:left="20"/>
              <w:spacing w:after="0"/>
              <w:rPr>
                <w:sz w:val="20"/>
                <w:szCs w:val="20"/>
                <w:color w:val="auto"/>
              </w:rPr>
            </w:pPr>
            <w:r>
              <w:rPr>
                <w:rFonts w:ascii="Arial" w:cs="Arial" w:eastAsia="Arial" w:hAnsi="Arial"/>
                <w:sz w:val="18"/>
                <w:szCs w:val="18"/>
                <w:color w:val="auto"/>
              </w:rPr>
              <w:t xml:space="preserve">XBRL Taxonomy Extension Presentation Linkbase Document </w:t>
            </w:r>
            <w:r>
              <w:rPr>
                <w:rFonts w:ascii="Arial" w:cs="Arial" w:eastAsia="Arial" w:hAnsi="Arial"/>
                <w:sz w:val="15"/>
                <w:szCs w:val="15"/>
                <w:color w:val="auto"/>
              </w:rPr>
              <w:t>†</w:t>
            </w:r>
          </w:p>
        </w:tc>
        <w:tc>
          <w:tcPr>
            <w:tcW w:w="40" w:type="dxa"/>
            <w:vAlign w:val="bottom"/>
          </w:tcPr>
          <w:p>
            <w:pPr>
              <w:spacing w:after="0"/>
              <w:rPr>
                <w:sz w:val="20"/>
                <w:szCs w:val="20"/>
                <w:color w:val="auto"/>
              </w:rPr>
            </w:pPr>
          </w:p>
        </w:tc>
      </w:tr>
    </w:tbl>
    <w:p>
      <w:pPr>
        <w:spacing w:after="0" w:line="133" w:lineRule="exact"/>
        <w:rPr>
          <w:sz w:val="20"/>
          <w:szCs w:val="20"/>
          <w:color w:val="auto"/>
        </w:rPr>
      </w:pPr>
    </w:p>
    <w:p>
      <w:pPr>
        <w:ind w:left="400" w:hanging="107"/>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553"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23" w:lineRule="exact"/>
        <w:rPr>
          <w:rFonts w:ascii="Arial" w:cs="Arial" w:eastAsia="Arial" w:hAnsi="Arial"/>
          <w:sz w:val="18"/>
          <w:szCs w:val="18"/>
          <w:b w:val="1"/>
          <w:bCs w:val="1"/>
          <w:color w:val="auto"/>
        </w:rPr>
      </w:pPr>
    </w:p>
    <w:p>
      <w:pPr>
        <w:ind w:left="840" w:right="22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b w:val="1"/>
          <w:bCs w:val="1"/>
          <w:color w:val="auto"/>
        </w:rPr>
      </w:pPr>
    </w:p>
    <w:p>
      <w:pPr>
        <w:ind w:left="840" w:right="40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Natural events such as health epidemics, severe weather and earthquakes in the locations in which TI, its customers or its suppliers operate;</w:t>
      </w:r>
    </w:p>
    <w:p>
      <w:pPr>
        <w:spacing w:after="0" w:line="32" w:lineRule="exact"/>
        <w:rPr>
          <w:rFonts w:ascii="Arial" w:cs="Arial" w:eastAsia="Arial" w:hAnsi="Arial"/>
          <w:sz w:val="16"/>
          <w:szCs w:val="16"/>
          <w:b w:val="1"/>
          <w:bCs w:val="1"/>
          <w:color w:val="auto"/>
        </w:rPr>
      </w:pPr>
    </w:p>
    <w:p>
      <w:pPr>
        <w:ind w:left="840" w:hanging="445"/>
        <w:spacing w:after="0"/>
        <w:tabs>
          <w:tab w:leader="none" w:pos="8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b w:val="1"/>
          <w:bCs w:val="1"/>
          <w:color w:val="auto"/>
        </w:rPr>
      </w:pPr>
    </w:p>
    <w:p>
      <w:pPr>
        <w:ind w:left="84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840" w:right="300" w:hanging="445"/>
        <w:spacing w:after="0" w:line="281" w:lineRule="auto"/>
        <w:tabs>
          <w:tab w:leader="none" w:pos="8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 w:lineRule="exact"/>
        <w:rPr>
          <w:rFonts w:ascii="Arial" w:cs="Arial" w:eastAsia="Arial" w:hAnsi="Arial"/>
          <w:sz w:val="16"/>
          <w:szCs w:val="16"/>
          <w:b w:val="1"/>
          <w:bCs w:val="1"/>
          <w:color w:val="auto"/>
        </w:rPr>
      </w:pPr>
    </w:p>
    <w:p>
      <w:pPr>
        <w:ind w:left="840" w:hanging="445"/>
        <w:spacing w:after="0"/>
        <w:tabs>
          <w:tab w:leader="none" w:pos="8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b w:val="1"/>
          <w:bCs w:val="1"/>
          <w:color w:val="auto"/>
        </w:rPr>
      </w:pP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b w:val="1"/>
          <w:bCs w:val="1"/>
          <w:color w:val="auto"/>
        </w:rPr>
      </w:pPr>
    </w:p>
    <w:p>
      <w:pPr>
        <w:ind w:left="840" w:right="30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b w:val="1"/>
          <w:bCs w:val="1"/>
          <w:color w:val="auto"/>
        </w:rPr>
      </w:pPr>
    </w:p>
    <w:p>
      <w:pPr>
        <w:ind w:left="840" w:right="24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b w:val="1"/>
          <w:bCs w:val="1"/>
          <w:color w:val="auto"/>
        </w:rPr>
      </w:pPr>
    </w:p>
    <w:p>
      <w:pPr>
        <w:ind w:left="840" w:right="220" w:hanging="445"/>
        <w:spacing w:after="0" w:line="250" w:lineRule="auto"/>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840" w:hanging="445"/>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Breaches of our information technology systems or those of our customers or suppliers.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We undertake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53"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75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 Kevin P. March</w:t>
            </w:r>
          </w:p>
        </w:tc>
      </w:tr>
      <w:tr>
        <w:trPr>
          <w:trHeight w:val="195"/>
        </w:trPr>
        <w:tc>
          <w:tcPr>
            <w:tcW w:w="660" w:type="dxa"/>
            <w:vAlign w:val="bottom"/>
          </w:tcPr>
          <w:p>
            <w:pPr>
              <w:spacing w:after="0"/>
              <w:rPr>
                <w:sz w:val="16"/>
                <w:szCs w:val="16"/>
                <w:color w:val="auto"/>
              </w:rPr>
            </w:pPr>
          </w:p>
        </w:tc>
        <w:tc>
          <w:tcPr>
            <w:tcW w:w="3260" w:type="dxa"/>
            <w:vAlign w:val="bottom"/>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66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66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20" w:hanging="525"/>
        <w:spacing w:after="0" w:line="34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2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2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31750</wp:posOffset>
            </wp:positionV>
            <wp:extent cx="2941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20" w:hanging="525"/>
        <w:spacing w:after="0" w:line="34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6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25"/>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25"/>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00" w:lineRule="exact"/>
        <w:rPr>
          <w:sz w:val="20"/>
          <w:szCs w:val="20"/>
          <w:color w:val="auto"/>
        </w:rPr>
      </w:pPr>
    </w:p>
    <w:p>
      <w:pPr>
        <w:spacing w:after="0" w:line="21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2992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486"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560" w:right="80" w:hanging="6"/>
        <w:spacing w:after="0" w:line="342" w:lineRule="auto"/>
        <w:tabs>
          <w:tab w:leader="none" w:pos="7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2015,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820" w:hanging="26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38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560" w:right="120" w:hanging="6"/>
        <w:spacing w:after="0" w:line="342" w:lineRule="auto"/>
        <w:tabs>
          <w:tab w:leader="none" w:pos="7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2015,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820" w:hanging="26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387"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0"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o"/>
      <w:numFmt w:val="bullet"/>
      <w:start w:val="1"/>
    </w:lvl>
  </w:abstractNum>
  <w:abstractNum w:abstractNumId="11">
    <w:nsid w:val="41A7C4C9"/>
    <w:multiLevelType w:val="hybridMultilevel"/>
    <w:lvl w:ilvl="0">
      <w:lvlJc w:val="left"/>
      <w:lvlText w:val="·"/>
      <w:numFmt w:val="bullet"/>
      <w:start w:val="1"/>
    </w:lvl>
    <w:lvl w:ilvl="1">
      <w:lvlJc w:val="left"/>
      <w:lvlText w:val="o"/>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2019-12-05T16:00:40Z</dcterms:created>
  <dcterms:modified xsi:type="dcterms:W3CDTF">2019-12-05T16:00:40Z</dcterms:modified>
</cp:coreProperties>
</file>