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Registrant’s news release dated April 22, 2026, regarding its first-quarter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April 22, 2026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7360" w:type="dxa"/>
            <w:vAlign w:val="bottom"/>
            <w:gridSpan w:val="2"/>
          </w:tcPr>
          <w:p>
            <w:pPr>
              <w:ind w:left="224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840" w:type="dxa"/>
            <w:vAlign w:val="bottom"/>
          </w:tcPr>
          <w:p>
            <w:pPr>
              <w:spacing w:after="0"/>
              <w:rPr>
                <w:sz w:val="20"/>
                <w:szCs w:val="20"/>
                <w:color w:val="auto"/>
              </w:rPr>
            </w:pPr>
            <w:r>
              <w:rPr>
                <w:rFonts w:ascii="Arial" w:cs="Arial" w:eastAsia="Arial" w:hAnsi="Arial"/>
                <w:sz w:val="18"/>
                <w:szCs w:val="18"/>
                <w:color w:val="auto"/>
              </w:rPr>
              <w:t>Date: April 22, 2026</w:t>
            </w:r>
          </w:p>
        </w:tc>
        <w:tc>
          <w:tcPr>
            <w:tcW w:w="3080" w:type="dxa"/>
            <w:vAlign w:val="bottom"/>
          </w:tcPr>
          <w:p>
            <w:pPr>
              <w:ind w:left="22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8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84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8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first quarter 2026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Conference call at 3:30 p.m. Central time today on </w:t>
      </w:r>
      <w:r>
        <w:rPr>
          <w:rFonts w:ascii="Arial" w:cs="Arial" w:eastAsia="Arial" w:hAnsi="Arial"/>
          <w:sz w:val="18"/>
          <w:szCs w:val="18"/>
          <w:u w:val="single" w:color="auto"/>
          <w:color w:val="3051F2"/>
        </w:rPr>
        <w:t>ti.com/ir</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DALLAS (April 22, 2026) – Texas Instruments Incorporated (TI) (Nasdaq: TXN) today reported first quarter revenue of $4.83 billion, net income of $1.55 billion and earnings per share of $1.68. Earnings per share included a 5-cent benefit that was not in the company's original guidance.</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Regarding the company's performance and returns to shareholders, Haviv Ilan, TI's chairman, president and CEO, made the following comments:</w:t>
      </w:r>
    </w:p>
    <w:p>
      <w:pPr>
        <w:spacing w:after="0" w:line="153"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9% sequentially and 19% from the same quarter a year ago with growth led by industrial and data center.</w:t>
      </w:r>
    </w:p>
    <w:p>
      <w:pPr>
        <w:spacing w:after="0" w:line="225"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$7.8 billion for the trailing 12 months again underscored the strength of our business model, the quality of our product portfolio and the benefit of 300mm production. Free cash flow for the same period was $4.4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$3.9 billion in R&amp;D and SG&amp;A, invested $4.1 billion in capital expenditures and returned $6.0 billion to owners.</w:t>
      </w:r>
    </w:p>
    <w:p>
      <w:pPr>
        <w:spacing w:after="0" w:line="152" w:lineRule="exact"/>
        <w:rPr>
          <w:rFonts w:ascii="Arial" w:cs="Arial" w:eastAsia="Arial" w:hAnsi="Arial"/>
          <w:sz w:val="18"/>
          <w:szCs w:val="18"/>
          <w:color w:val="auto"/>
        </w:rPr>
      </w:pPr>
    </w:p>
    <w:p>
      <w:pPr>
        <w:ind w:left="620" w:right="36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second quarter outlook is for revenue in the range of $5.00 billion to $5.40 billion and earnings per share between $1.77 and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285" w:lineRule="auto"/>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 plus proceeds from U.S. CHIPS and Science Act (CHIPS Act) incentives.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Q1 2026</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Q1 2025</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4,825</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4,069</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1,808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1,545</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1,179</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Q1 2026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Q1 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Q1 2025</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7,824</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6,150</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4,351</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23.6 %</w:t>
            </w: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240" w:type="dxa"/>
            <w:vAlign w:val="bottom"/>
            <w:gridSpan w:val="3"/>
            <w:shd w:val="clear" w:color="auto" w:fill="DBDBDB"/>
          </w:tcPr>
          <w:p>
            <w:pPr>
              <w:jc w:val="right"/>
              <w:ind w:right="20"/>
              <w:spacing w:after="0"/>
              <w:rPr>
                <w:sz w:val="20"/>
                <w:szCs w:val="20"/>
                <w:color w:val="auto"/>
              </w:rPr>
            </w:pPr>
            <w:r>
              <w:rPr>
                <w:rFonts w:ascii="Arial" w:cs="Arial" w:eastAsia="Arial" w:hAnsi="Arial"/>
                <w:sz w:val="18"/>
                <w:szCs w:val="18"/>
                <w:color w:val="auto"/>
              </w:rPr>
              <w:t>10.7 %</w:t>
            </w: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240"/>
              <w:spacing w:after="0"/>
              <w:rPr>
                <w:sz w:val="20"/>
                <w:szCs w:val="20"/>
                <w:color w:val="auto"/>
              </w:rPr>
            </w:pPr>
            <w:r>
              <w:rPr>
                <w:rFonts w:ascii="Arial" w:cs="Arial" w:eastAsia="Arial" w:hAnsi="Arial"/>
                <w:sz w:val="18"/>
                <w:szCs w:val="18"/>
                <w:color w:val="auto"/>
              </w:rPr>
              <w:t>Q1 2026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Q1 2026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Q1 2025</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1,291</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5,052</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982</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1,449</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6,034</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6,429</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4,825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2,799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464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Acquisition charges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1,808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141</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909</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169</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1,545</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1,179</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1,536</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1,173</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80" w:top="89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3,549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($32) and ($16)</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2,245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1,860</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2,355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2,370</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1,877</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4,695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4,687</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1,753</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13,796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13,086</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17,870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16,036</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(5,725)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(4,225)</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12,145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11,811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4,330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323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2,505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2,965</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34,393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33,757</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1,149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638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782</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3,096</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2,489</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12,901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12,848</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1,434</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1,843</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17,615</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17,351</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4,722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4,058</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52,483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52,196</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March 31, 2026 – 831; March 31, 2025 – 832</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(42,084)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(41,442)</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16,778</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16,406</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34,393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33,757</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80" w:top="890"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1,545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1,520</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Repayment of debt</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(1,291)</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309</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(1,149)</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324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3,225</w:t>
            </w:r>
          </w:p>
        </w:tc>
        <w:tc>
          <w:tcPr>
            <w:tcW w:w="100" w:type="dxa"/>
            <w:vAlign w:val="bottom"/>
            <w:tcBorders>
              <w:bottom w:val="single" w:sz="8" w:color="DBDBDB"/>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3,549</w:t>
            </w:r>
          </w:p>
        </w:tc>
        <w:tc>
          <w:tcPr>
            <w:tcW w:w="1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auto"/>
            </w:tcBorders>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CHIPS Act incentives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555</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8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80" w:top="890" w:right="3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Q1 2026</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Q1 2025</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1,206</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 *</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right w:val="single" w:sz="8" w:color="auto"/>
            </w:tcBorders>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8"/>
              </w:rPr>
              <w:t>For Three</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9"/>
              </w:rPr>
              <w:t>For 12</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670"/>
              <w:spacing w:after="0" w:line="176" w:lineRule="exact"/>
              <w:rPr>
                <w:sz w:val="20"/>
                <w:szCs w:val="20"/>
                <w:color w:val="auto"/>
              </w:rPr>
            </w:pPr>
            <w:r>
              <w:rPr>
                <w:rFonts w:ascii="Arial" w:cs="Arial" w:eastAsia="Arial" w:hAnsi="Arial"/>
                <w:sz w:val="18"/>
                <w:szCs w:val="18"/>
                <w:b w:val="1"/>
                <w:bCs w:val="1"/>
                <w:color w:val="auto"/>
                <w:w w:val="99"/>
              </w:rPr>
              <w:t>Months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1600" w:type="dxa"/>
            <w:vAlign w:val="bottom"/>
            <w:tcBorders>
              <w:right w:val="single" w:sz="8" w:color="auto"/>
            </w:tcBorders>
            <w:gridSpan w:val="3"/>
          </w:tcPr>
          <w:p>
            <w:pPr>
              <w:jc w:val="center"/>
              <w:ind w:right="200"/>
              <w:spacing w:after="0" w:line="189" w:lineRule="exact"/>
              <w:rPr>
                <w:sz w:val="20"/>
                <w:szCs w:val="20"/>
                <w:color w:val="auto"/>
              </w:rPr>
            </w:pPr>
            <w:r>
              <w:rPr>
                <w:rFonts w:ascii="Arial" w:cs="Arial" w:eastAsia="Arial" w:hAnsi="Arial"/>
                <w:sz w:val="18"/>
                <w:szCs w:val="18"/>
                <w:b w:val="1"/>
                <w:bCs w:val="1"/>
                <w:color w:val="auto"/>
                <w:w w:val="99"/>
              </w:rPr>
              <w:t>Months Ended</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650"/>
              <w:spacing w:after="0" w:line="189" w:lineRule="exact"/>
              <w:rPr>
                <w:sz w:val="20"/>
                <w:szCs w:val="20"/>
                <w:color w:val="auto"/>
              </w:rPr>
            </w:pPr>
            <w:r>
              <w:rPr>
                <w:rFonts w:ascii="Arial" w:cs="Arial" w:eastAsia="Arial" w:hAnsi="Arial"/>
                <w:sz w:val="18"/>
                <w:szCs w:val="18"/>
                <w:b w:val="1"/>
                <w:bCs w:val="1"/>
                <w:color w:val="auto"/>
                <w:w w:val="98"/>
              </w:rPr>
              <w:t>Ended</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8"/>
              </w:rPr>
              <w:t>March 31,</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DBDBDB"/>
            </w:tcBorders>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2026</w:t>
            </w:r>
          </w:p>
        </w:tc>
        <w:tc>
          <w:tcPr>
            <w:tcW w:w="180" w:type="dxa"/>
            <w:vAlign w:val="bottom"/>
            <w:tcBorders>
              <w:bottom w:val="single" w:sz="8" w:color="DBDBDB"/>
              <w:right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1,520</w:t>
            </w:r>
          </w:p>
        </w:tc>
        <w:tc>
          <w:tcPr>
            <w:tcW w:w="18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7,824</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(676)</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(4,103)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(4,695)</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20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555</w:t>
            </w:r>
          </w:p>
        </w:tc>
        <w:tc>
          <w:tcPr>
            <w:tcW w:w="180" w:type="dxa"/>
            <w:vAlign w:val="bottom"/>
            <w:tcBorders>
              <w:right w:val="single" w:sz="8" w:color="auto"/>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630</w:t>
            </w:r>
          </w:p>
        </w:tc>
        <w:tc>
          <w:tcPr>
            <w:tcW w:w="10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6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1,399</w:t>
            </w:r>
          </w:p>
        </w:tc>
        <w:tc>
          <w:tcPr>
            <w:tcW w:w="18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4,351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1,715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24"/>
        </w:trPr>
        <w:tc>
          <w:tcPr>
            <w:tcW w:w="45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right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560" w:type="dxa"/>
            <w:vAlign w:val="bottom"/>
            <w:tcBorders>
              <w:top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18,438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16,049</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80" w:type="dxa"/>
            <w:vAlign w:val="bottom"/>
            <w:tcBorders>
              <w:right w:val="single" w:sz="8" w:color="DBDBDB"/>
            </w:tcBorders>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8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20"/>
              <w:spacing w:after="0" w:line="176" w:lineRule="exact"/>
              <w:rPr>
                <w:sz w:val="20"/>
                <w:szCs w:val="20"/>
                <w:color w:val="auto"/>
              </w:rPr>
            </w:pPr>
            <w:r>
              <w:rPr>
                <w:rFonts w:ascii="Arial" w:cs="Arial" w:eastAsia="Arial" w:hAnsi="Arial"/>
                <w:sz w:val="18"/>
                <w:szCs w:val="18"/>
                <w:color w:val="auto"/>
              </w:rPr>
              <w:t>Cash flow from operations as a percentage of revenue</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(GAAP)</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20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80" w:type="dxa"/>
            <w:vAlign w:val="bottom"/>
            <w:tcBorders>
              <w:right w:val="single" w:sz="8" w:color="DBDBDB"/>
            </w:tcBorders>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cash benefits of $335 million and $588 million from the CHIPS Act ITC used to reduce income taxes payable for the twelve months ended March 31, 2026 and 2025, respectively.</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train and recruit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make principal and interest payments on our debt when due;</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051F2"/>
        </w:rPr>
        <w:t>TI.com</w:t>
      </w:r>
      <w:r>
        <w:rPr>
          <w:rFonts w:ascii="Arial" w:cs="Arial" w:eastAsia="Arial" w:hAnsi="Arial"/>
          <w:sz w:val="18"/>
          <w:szCs w:val="18"/>
          <w:color w:val="auto"/>
        </w:rPr>
        <w:t>.</w:t>
      </w:r>
    </w:p>
    <w:p>
      <w:pPr>
        <w:spacing w:after="0" w:line="200" w:lineRule="exact"/>
        <w:rPr>
          <w:sz w:val="20"/>
          <w:szCs w:val="20"/>
          <w:color w:val="auto"/>
        </w:rPr>
      </w:pPr>
    </w:p>
    <w:p>
      <w:pPr>
        <w:spacing w:after="0" w:line="303"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9</w:t>
      </w:r>
    </w:p>
    <w:sectPr>
      <w:pgSz w:w="11900" w:h="16838" w:orient="portrait"/>
      <w:cols w:equalWidth="0" w:num="1">
        <w:col w:w="11160"/>
      </w:cols>
      <w:pgMar w:left="320" w:top="110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2026-04-22T15:10:13Z</dcterms:created>
  <dcterms:modified xsi:type="dcterms:W3CDTF">2026-04-22T15:10:13Z</dcterms:modified>
</cp:coreProperties>
</file>