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340" w:type="dxa"/>
            <w:vAlign w:val="bottom"/>
          </w:tcPr>
          <w:p>
            <w:pPr>
              <w:jc w:val="center"/>
              <w:ind w:right="1619"/>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right"/>
              <w:ind w:right="359"/>
              <w:spacing w:after="0"/>
              <w:rPr>
                <w:sz w:val="20"/>
                <w:szCs w:val="20"/>
                <w:color w:val="auto"/>
              </w:rPr>
            </w:pPr>
            <w:r>
              <w:rPr>
                <w:rFonts w:ascii="Arial" w:cs="Arial" w:eastAsia="Arial" w:hAnsi="Arial"/>
                <w:sz w:val="18"/>
                <w:szCs w:val="18"/>
                <w:b w:val="1"/>
                <w:bCs w:val="1"/>
                <w:color w:val="auto"/>
              </w:rPr>
              <w:t>001-03761</w:t>
            </w:r>
          </w:p>
        </w:tc>
      </w:tr>
      <w:tr>
        <w:trPr>
          <w:trHeight w:val="186"/>
        </w:trPr>
        <w:tc>
          <w:tcPr>
            <w:tcW w:w="4340" w:type="dxa"/>
            <w:vAlign w:val="bottom"/>
          </w:tcPr>
          <w:p>
            <w:pPr>
              <w:jc w:val="center"/>
              <w:ind w:right="1619"/>
              <w:spacing w:after="0"/>
              <w:rPr>
                <w:sz w:val="20"/>
                <w:szCs w:val="20"/>
                <w:color w:val="auto"/>
              </w:rPr>
            </w:pPr>
            <w:r>
              <w:rPr>
                <w:rFonts w:ascii="Arial" w:cs="Arial" w:eastAsia="Arial" w:hAnsi="Arial"/>
                <w:sz w:val="14"/>
                <w:szCs w:val="14"/>
                <w:b w:val="1"/>
                <w:bCs w:val="1"/>
                <w:color w:val="auto"/>
                <w:w w:val="93"/>
              </w:rPr>
              <w:t>(State of incorporation)</w:t>
            </w:r>
          </w:p>
        </w:tc>
        <w:tc>
          <w:tcPr>
            <w:tcW w:w="3380" w:type="dxa"/>
            <w:vAlign w:val="bottom"/>
          </w:tcPr>
          <w:p>
            <w:pPr>
              <w:jc w:val="center"/>
              <w:ind w:left="1619"/>
              <w:spacing w:after="0"/>
              <w:rPr>
                <w:sz w:val="20"/>
                <w:szCs w:val="20"/>
                <w:color w:val="auto"/>
              </w:rPr>
            </w:pPr>
            <w:r>
              <w:rPr>
                <w:rFonts w:ascii="Arial" w:cs="Arial" w:eastAsia="Arial" w:hAnsi="Arial"/>
                <w:sz w:val="14"/>
                <w:szCs w:val="14"/>
                <w:b w:val="1"/>
                <w:bCs w:val="1"/>
                <w:color w:val="auto"/>
                <w:w w:val="94"/>
              </w:rPr>
              <w:t>(Commission File Number)</w:t>
            </w:r>
          </w:p>
        </w:tc>
      </w:tr>
      <w:tr>
        <w:trPr>
          <w:trHeight w:val="394"/>
        </w:trPr>
        <w:tc>
          <w:tcPr>
            <w:tcW w:w="4340" w:type="dxa"/>
            <w:vAlign w:val="bottom"/>
          </w:tcPr>
          <w:p>
            <w:pPr>
              <w:jc w:val="center"/>
              <w:ind w:right="1639"/>
              <w:spacing w:after="0"/>
              <w:rPr>
                <w:sz w:val="20"/>
                <w:szCs w:val="20"/>
                <w:color w:val="auto"/>
              </w:rPr>
            </w:pPr>
            <w:r>
              <w:rPr>
                <w:rFonts w:ascii="Arial" w:cs="Arial" w:eastAsia="Arial" w:hAnsi="Arial"/>
                <w:sz w:val="18"/>
                <w:szCs w:val="18"/>
                <w:b w:val="1"/>
                <w:bCs w:val="1"/>
                <w:color w:val="auto"/>
                <w:w w:val="90"/>
              </w:rPr>
              <w:t>12500 TI Boulevard, Dallas, Texas</w:t>
            </w:r>
          </w:p>
        </w:tc>
        <w:tc>
          <w:tcPr>
            <w:tcW w:w="3380" w:type="dxa"/>
            <w:vAlign w:val="bottom"/>
          </w:tcPr>
          <w:p>
            <w:pPr>
              <w:jc w:val="right"/>
              <w:ind w:right="539"/>
              <w:spacing w:after="0"/>
              <w:rPr>
                <w:sz w:val="20"/>
                <w:szCs w:val="20"/>
                <w:color w:val="auto"/>
              </w:rPr>
            </w:pPr>
            <w:r>
              <w:rPr>
                <w:rFonts w:ascii="Arial" w:cs="Arial" w:eastAsia="Arial" w:hAnsi="Arial"/>
                <w:sz w:val="18"/>
                <w:szCs w:val="18"/>
                <w:b w:val="1"/>
                <w:bCs w:val="1"/>
                <w:color w:val="auto"/>
              </w:rPr>
              <w:t>75243</w:t>
            </w:r>
          </w:p>
        </w:tc>
      </w:tr>
      <w:tr>
        <w:trPr>
          <w:trHeight w:val="186"/>
        </w:trPr>
        <w:tc>
          <w:tcPr>
            <w:tcW w:w="4340" w:type="dxa"/>
            <w:vAlign w:val="bottom"/>
          </w:tcPr>
          <w:p>
            <w:pPr>
              <w:jc w:val="center"/>
              <w:ind w:right="16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61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Tifany Wilson, 214-479-3773</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13p-1 under the Securities Exchange Act (17 CFR 240.13p-1) for the reporting period from January 1 to December 31, 2022.</w:t>
      </w:r>
    </w:p>
    <w:p>
      <w:pPr>
        <w:spacing w:after="0" w:line="154" w:lineRule="exact"/>
        <w:rPr>
          <w:sz w:val="24"/>
          <w:szCs w:val="24"/>
          <w:color w:val="auto"/>
        </w:rPr>
      </w:pPr>
    </w:p>
    <w:p>
      <w:pPr>
        <w:ind w:left="980" w:hanging="54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ending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422"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2022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Form SD is available on our web site at ti.com/conflict-minerals. We are not incorporating by reference the contents of our web site into this Form SD.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2022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 as required by Items 1.01 and 1.02 of this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486" w:right="47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5715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440" w:top="490"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the Year Ended December 31, 2022</w:t>
      </w:r>
    </w:p>
    <w:p>
      <w:pPr>
        <w:spacing w:after="0" w:line="21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306"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2022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1: Establish strong company management systems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2: Identify and assess risks in the supply chain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4: Carry out independent third-party audit of smelter/refiner’s due diligence practices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5: Report annually on supply chain due diligence</w:t>
      </w:r>
    </w:p>
    <w:p>
      <w:pPr>
        <w:spacing w:after="0" w:line="374" w:lineRule="exact"/>
        <w:rPr>
          <w:sz w:val="20"/>
          <w:szCs w:val="20"/>
          <w:color w:val="auto"/>
        </w:rPr>
      </w:pPr>
    </w:p>
    <w:p>
      <w:pPr>
        <w:ind w:left="444" w:hanging="44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Third-Party Data</w:t>
      </w:r>
    </w:p>
    <w:p>
      <w:pPr>
        <w:spacing w:after="0" w:line="117" w:lineRule="exact"/>
        <w:rPr>
          <w:sz w:val="20"/>
          <w:szCs w:val="20"/>
          <w:color w:val="auto"/>
        </w:rPr>
      </w:pPr>
    </w:p>
    <w:p>
      <w:pPr>
        <w:ind w:left="4" w:right="220"/>
        <w:spacing w:after="0" w:line="275" w:lineRule="auto"/>
        <w:rPr>
          <w:sz w:val="20"/>
          <w:szCs w:val="20"/>
          <w:color w:val="auto"/>
        </w:rPr>
      </w:pPr>
      <w:r>
        <w:rPr>
          <w:rFonts w:ascii="Arial" w:cs="Arial" w:eastAsia="Arial" w:hAnsi="Arial"/>
          <w:sz w:val="17"/>
          <w:szCs w:val="17"/>
          <w:color w:val="auto"/>
        </w:rPr>
        <w:t>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w:t>
      </w:r>
    </w:p>
    <w:p>
      <w:pPr>
        <w:spacing w:after="0" w:line="176" w:lineRule="exact"/>
        <w:rPr>
          <w:sz w:val="20"/>
          <w:szCs w:val="20"/>
          <w:color w:val="auto"/>
        </w:rPr>
      </w:pPr>
    </w:p>
    <w:p>
      <w:pPr>
        <w:ind w:left="4" w:right="40"/>
        <w:spacing w:after="0" w:line="247" w:lineRule="auto"/>
        <w:rPr>
          <w:sz w:val="20"/>
          <w:szCs w:val="20"/>
          <w:color w:val="auto"/>
        </w:rPr>
      </w:pPr>
      <w:r>
        <w:rPr>
          <w:rFonts w:ascii="Arial" w:cs="Arial" w:eastAsia="Arial" w:hAnsi="Arial"/>
          <w:sz w:val="17"/>
          <w:szCs w:val="17"/>
          <w:color w:val="auto"/>
        </w:rPr>
        <w:t>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has demonstrated that all the materials it processed originated from Conformant</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sources. The RMAP is overseen by the Responsible Minerals Initiative (“RMI”), which was established by members of the Responsible Business Alliance (“RBA”) and the Global e-Sustainability Initiative. TI is a member of the RBA and RMI.</w:t>
      </w:r>
    </w:p>
    <w:p>
      <w:pPr>
        <w:spacing w:after="0" w:line="344" w:lineRule="exact"/>
        <w:rPr>
          <w:sz w:val="20"/>
          <w:szCs w:val="20"/>
          <w:color w:val="auto"/>
        </w:rPr>
      </w:pPr>
    </w:p>
    <w:p>
      <w:pPr>
        <w:ind w:left="444" w:hanging="444"/>
        <w:spacing w:after="0"/>
        <w:tabs>
          <w:tab w:leader="none" w:pos="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1: Establish strong company management systems</w:t>
      </w:r>
    </w:p>
    <w:p>
      <w:pPr>
        <w:spacing w:after="0" w:line="131" w:lineRule="exact"/>
        <w:rPr>
          <w:sz w:val="20"/>
          <w:szCs w:val="20"/>
          <w:color w:val="auto"/>
        </w:rPr>
      </w:pPr>
    </w:p>
    <w:p>
      <w:pPr>
        <w:ind w:left="984" w:hanging="433"/>
        <w:spacing w:after="0"/>
        <w:tabs>
          <w:tab w:leader="none" w:pos="9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 and implement a conflict minerals policy;</w:t>
      </w:r>
    </w:p>
    <w:p>
      <w:pPr>
        <w:spacing w:after="0" w:line="130" w:lineRule="exact"/>
        <w:rPr>
          <w:rFonts w:ascii="Arial" w:cs="Arial" w:eastAsia="Arial" w:hAnsi="Arial"/>
          <w:sz w:val="18"/>
          <w:szCs w:val="18"/>
          <w:color w:val="auto"/>
        </w:rPr>
      </w:pPr>
    </w:p>
    <w:p>
      <w:pPr>
        <w:ind w:left="984" w:right="20" w:hanging="433"/>
        <w:spacing w:after="0" w:line="263" w:lineRule="auto"/>
        <w:tabs>
          <w:tab w:leader="none" w:pos="9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Develop an organizational structure and processes intended to ensure that Suppliers are made aware of TI’s policy on CMs and that information received by TI that is relevant to supply-chain due diligence reaches TI employees who have knowledge of the SEC disclosure requirements;</w:t>
      </w:r>
    </w:p>
    <w:p>
      <w:pPr>
        <w:spacing w:after="0" w:line="156" w:lineRule="exact"/>
        <w:rPr>
          <w:rFonts w:ascii="Arial" w:cs="Arial" w:eastAsia="Arial" w:hAnsi="Arial"/>
          <w:sz w:val="18"/>
          <w:szCs w:val="18"/>
          <w:color w:val="auto"/>
        </w:rPr>
      </w:pPr>
    </w:p>
    <w:p>
      <w:pPr>
        <w:ind w:left="444" w:right="780" w:hanging="440"/>
        <w:spacing w:after="0" w:line="277"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“Conformant” means a Smelter has successfully completed an assessment against the applicable RMAP standard or an equivalent cross-recognized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4" w:name="page5"/>
    <w:bookmarkEnd w:id="4"/>
    <w:p>
      <w:pPr>
        <w:ind w:left="984" w:right="60" w:hanging="433"/>
        <w:spacing w:after="0" w:line="263" w:lineRule="auto"/>
        <w:tabs>
          <w:tab w:leader="none" w:pos="98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w:t>
      </w:r>
    </w:p>
    <w:p>
      <w:pPr>
        <w:spacing w:after="0" w:line="89" w:lineRule="exact"/>
        <w:rPr>
          <w:rFonts w:ascii="Arial" w:cs="Arial" w:eastAsia="Arial" w:hAnsi="Arial"/>
          <w:sz w:val="18"/>
          <w:szCs w:val="18"/>
          <w:color w:val="auto"/>
        </w:rPr>
      </w:pPr>
    </w:p>
    <w:p>
      <w:pPr>
        <w:ind w:left="984" w:hanging="433"/>
        <w:spacing w:after="0"/>
        <w:tabs>
          <w:tab w:leader="none" w:pos="984"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a mechanism for Suppliers and others to communicate to TI their concerns with respect to our CM Process; and</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Rely on the RMAP to validate supply chain due diligence.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2: Identify and assess risks in the supply chain</w:t>
      </w:r>
    </w:p>
    <w:p>
      <w:pPr>
        <w:spacing w:after="0" w:line="131" w:lineRule="exact"/>
        <w:rPr>
          <w:sz w:val="20"/>
          <w:szCs w:val="20"/>
          <w:color w:val="auto"/>
        </w:rPr>
      </w:pPr>
    </w:p>
    <w:p>
      <w:pPr>
        <w:ind w:left="984" w:hanging="433"/>
        <w:spacing w:after="0"/>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Communicate our CM policy to Suppliers;</w:t>
      </w:r>
    </w:p>
    <w:p>
      <w:pPr>
        <w:spacing w:after="0" w:line="130" w:lineRule="exact"/>
        <w:rPr>
          <w:rFonts w:ascii="Arial" w:cs="Arial" w:eastAsia="Arial" w:hAnsi="Arial"/>
          <w:sz w:val="18"/>
          <w:szCs w:val="18"/>
          <w:color w:val="auto"/>
        </w:rPr>
      </w:pPr>
    </w:p>
    <w:p>
      <w:pPr>
        <w:ind w:left="984" w:hanging="433"/>
        <w:spacing w:after="0" w:line="263"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9" w:lineRule="exact"/>
        <w:rPr>
          <w:rFonts w:ascii="Arial" w:cs="Arial" w:eastAsia="Arial" w:hAnsi="Arial"/>
          <w:sz w:val="18"/>
          <w:szCs w:val="18"/>
          <w:color w:val="auto"/>
        </w:rPr>
      </w:pPr>
    </w:p>
    <w:p>
      <w:pPr>
        <w:ind w:left="984" w:right="600" w:hanging="433"/>
        <w:spacing w:after="0" w:line="277"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Analyze Suppliers’ Conflict Minerals Reporting Template responses for completeness and internal consistency, and follow up with Suppliers in an effort to obtain more information and ensure accuracy of information;</w:t>
      </w:r>
    </w:p>
    <w:p>
      <w:pPr>
        <w:spacing w:after="0" w:line="75" w:lineRule="exact"/>
        <w:rPr>
          <w:rFonts w:ascii="Arial" w:cs="Arial" w:eastAsia="Arial" w:hAnsi="Arial"/>
          <w:sz w:val="18"/>
          <w:szCs w:val="18"/>
          <w:color w:val="auto"/>
        </w:rPr>
      </w:pPr>
    </w:p>
    <w:p>
      <w:pPr>
        <w:ind w:left="984" w:right="600" w:hanging="433"/>
        <w:spacing w:after="0" w:line="277"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 the information received from Suppliers with the data made available by the RMAP concerning the country of origin and Conflict Status of CMs processed or refined by Smelters; and</w:t>
      </w:r>
    </w:p>
    <w:p>
      <w:pPr>
        <w:spacing w:after="0" w:line="75" w:lineRule="exact"/>
        <w:rPr>
          <w:rFonts w:ascii="Arial" w:cs="Arial" w:eastAsia="Arial" w:hAnsi="Arial"/>
          <w:sz w:val="18"/>
          <w:szCs w:val="18"/>
          <w:color w:val="auto"/>
        </w:rPr>
      </w:pPr>
    </w:p>
    <w:p>
      <w:pPr>
        <w:ind w:left="984" w:right="80" w:hanging="433"/>
        <w:spacing w:after="0" w:line="263"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131" w:lineRule="exact"/>
        <w:rPr>
          <w:sz w:val="20"/>
          <w:szCs w:val="20"/>
          <w:color w:val="auto"/>
        </w:rPr>
      </w:pPr>
    </w:p>
    <w:p>
      <w:pPr>
        <w:ind w:left="984" w:right="360" w:hanging="433"/>
        <w:spacing w:after="0" w:line="277" w:lineRule="auto"/>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a risk management plan in response to identified risks while continuing to do business with Supplier or suspending/terminating dealings with Supplier; and</w:t>
      </w:r>
    </w:p>
    <w:p>
      <w:pPr>
        <w:spacing w:after="0" w:line="75" w:lineRule="exact"/>
        <w:rPr>
          <w:rFonts w:ascii="Arial" w:cs="Arial" w:eastAsia="Arial" w:hAnsi="Arial"/>
          <w:sz w:val="18"/>
          <w:szCs w:val="18"/>
          <w:color w:val="auto"/>
        </w:rPr>
      </w:pPr>
    </w:p>
    <w:p>
      <w:pPr>
        <w:ind w:left="984" w:hanging="433"/>
        <w:spacing w:after="0"/>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Communicate the risk management plan to senior management.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4: Carry out independent third-party audit of smelter/refiner’s due diligence practices</w:t>
      </w:r>
    </w:p>
    <w:p>
      <w:pPr>
        <w:spacing w:after="0" w:line="131" w:lineRule="exact"/>
        <w:rPr>
          <w:sz w:val="20"/>
          <w:szCs w:val="20"/>
          <w:color w:val="auto"/>
        </w:rPr>
      </w:pPr>
    </w:p>
    <w:p>
      <w:pPr>
        <w:ind w:left="984" w:right="200" w:hanging="433"/>
        <w:spacing w:after="0" w:line="277" w:lineRule="auto"/>
        <w:tabs>
          <w:tab w:leader="none" w:pos="9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information provided by independent third party audit programs, including the RMI, to confirm the existence and verify the OECD-conformance status of Smelters identified during due diligence.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5: Report annually on the supply chain due diligence</w:t>
      </w:r>
    </w:p>
    <w:p>
      <w:pPr>
        <w:spacing w:after="0" w:line="131" w:lineRule="exact"/>
        <w:rPr>
          <w:sz w:val="20"/>
          <w:szCs w:val="20"/>
          <w:color w:val="auto"/>
        </w:rPr>
      </w:pPr>
    </w:p>
    <w:p>
      <w:pPr>
        <w:ind w:left="984" w:right="460" w:hanging="433"/>
        <w:spacing w:after="0" w:line="277" w:lineRule="auto"/>
        <w:tabs>
          <w:tab w:leader="none" w:pos="9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Annually submit a Conflict Minerals Disclosure and Report to the SEC, which reports the results of TI’s due diligence. This Conflict Minerals Report has been filed with the SEC and is available on our website at ti.com/conflict-minerals.</w:t>
      </w:r>
    </w:p>
    <w:p>
      <w:pPr>
        <w:spacing w:after="0" w:line="319"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IV.</w:t>
        <w:tab/>
        <w:t>Our Findings</w:t>
      </w:r>
    </w:p>
    <w:p>
      <w:pPr>
        <w:spacing w:after="0" w:line="117" w:lineRule="exact"/>
        <w:rPr>
          <w:sz w:val="20"/>
          <w:szCs w:val="20"/>
          <w:color w:val="auto"/>
        </w:rPr>
      </w:pPr>
    </w:p>
    <w:p>
      <w:pPr>
        <w:ind w:left="4" w:right="220"/>
        <w:spacing w:after="0" w:line="222" w:lineRule="auto"/>
        <w:rPr>
          <w:sz w:val="20"/>
          <w:szCs w:val="20"/>
          <w:color w:val="auto"/>
        </w:rPr>
      </w:pPr>
      <w:r>
        <w:rPr>
          <w:rFonts w:ascii="Arial" w:cs="Arial" w:eastAsia="Arial" w:hAnsi="Arial"/>
          <w:sz w:val="18"/>
          <w:szCs w:val="18"/>
          <w:color w:val="auto"/>
        </w:rPr>
        <w:t xml:space="preserve">We have determined that 100% of the 218 Smelters in the supply chain for our integrated circuits (“ICs”) </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were Conformant. Our determination is based on the finding that 100% of the Smelters identified to us by our Suppliers as being potentially in the supply chain for ICs in 2022 supplied CMs exclusively from Conformant sources. ICs accounted for approximately 91% of TI revenue in 2022.</w:t>
      </w:r>
    </w:p>
    <w:p>
      <w:pPr>
        <w:spacing w:after="0" w:line="205" w:lineRule="exact"/>
        <w:rPr>
          <w:sz w:val="20"/>
          <w:szCs w:val="20"/>
          <w:color w:val="auto"/>
        </w:rPr>
      </w:pPr>
    </w:p>
    <w:p>
      <w:pPr>
        <w:ind w:left="4"/>
        <w:spacing w:after="0" w:line="215" w:lineRule="auto"/>
        <w:rPr>
          <w:sz w:val="20"/>
          <w:szCs w:val="20"/>
          <w:color w:val="auto"/>
        </w:rPr>
      </w:pPr>
      <w:r>
        <w:rPr>
          <w:rFonts w:ascii="Arial" w:cs="Arial" w:eastAsia="Arial" w:hAnsi="Arial"/>
          <w:sz w:val="18"/>
          <w:szCs w:val="18"/>
          <w:color w:val="auto"/>
        </w:rPr>
        <w:t>Of the 232 Smelters identified for 2022 in our overall supply chain (including ICs as well as other products manufactured by or for TI), we have determined that the CMs potentially supplied to us by 97% of the Smelters were Conformant. Of the remaining 3% of the Smelters identified for 2022 (8 in total), 2 were designated as Active,</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3 were designated as Non-Conformant,</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and 3 were designated as RMI Due Diligence Review – Unable to Proceed.</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In no instance did we find CMs in our supply chain to be from a source that, to our knowledge, was directly or indirectly financing or benefiting armed conflict in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444" w:hanging="444"/>
        <w:spacing w:after="0" w:line="194" w:lineRule="auto"/>
        <w:tabs>
          <w:tab w:leader="none" w:pos="44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“Integrated circuits” refers to finished semiconductor products that contain chips manufactured by or for TI and packaging subcomponents such as mold compounds, bond wires and lead frames. It excludes DLP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products, semiconductor modules and all other products manufactured by or for TI.</w:t>
      </w:r>
    </w:p>
    <w:p>
      <w:pPr>
        <w:spacing w:after="0" w:line="2" w:lineRule="exact"/>
        <w:rPr>
          <w:sz w:val="20"/>
          <w:szCs w:val="20"/>
          <w:color w:val="auto"/>
        </w:rPr>
      </w:pPr>
    </w:p>
    <w:p>
      <w:pPr>
        <w:ind w:left="444" w:right="20" w:hanging="444"/>
        <w:spacing w:after="0" w:line="214" w:lineRule="auto"/>
        <w:tabs>
          <w:tab w:leader="none" w:pos="44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“Active” means a Smelter has committed to undergo an RMAP assessment, completed the relevant documents, and scheduled the on-site assessment. On February 13, 2023, 1 of the Smelters designated in this Report as Active (CV Venus Inti Perkasa) was moved to Conformant status by the RMI.</w:t>
      </w:r>
    </w:p>
    <w:p>
      <w:pPr>
        <w:spacing w:after="0" w:line="2" w:lineRule="exact"/>
        <w:rPr>
          <w:sz w:val="20"/>
          <w:szCs w:val="20"/>
          <w:color w:val="auto"/>
        </w:rPr>
      </w:pPr>
    </w:p>
    <w:p>
      <w:pPr>
        <w:ind w:left="444" w:right="200" w:hanging="444"/>
        <w:spacing w:after="0" w:line="225" w:lineRule="auto"/>
        <w:tabs>
          <w:tab w:leader="none" w:pos="444"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“Non-Conformant” means a Smelter has been independently assessed and found non-conformant with the relevant RMAP standard. As of February 9, 2023, 1 of the Smelters designated in this Report as Non-Conformant (Unecha Refractory metals plant) had been removed from our</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supply chain.</w:t>
      </w:r>
    </w:p>
    <w:p>
      <w:pPr>
        <w:spacing w:after="0" w:line="9" w:lineRule="exact"/>
        <w:rPr>
          <w:sz w:val="20"/>
          <w:szCs w:val="20"/>
          <w:color w:val="auto"/>
        </w:rPr>
      </w:pPr>
    </w:p>
    <w:p>
      <w:pPr>
        <w:ind w:left="444" w:right="280" w:hanging="444"/>
        <w:spacing w:after="0" w:line="214" w:lineRule="auto"/>
        <w:tabs>
          <w:tab w:leader="none" w:pos="44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“RMI Due Diligence Review – Unable to Proceed” is a designation for Smelters that have not met the threshold for the due diligence vetting process after a period of 6 months. As of February 9, 2023, the 3 smelters designated in this Report as RMI Due Diligence Review – Unable to Proceed had all been removed from our supply chain.</w:t>
      </w:r>
    </w:p>
    <w:p>
      <w:pPr>
        <w:sectPr>
          <w:pgSz w:w="11900" w:h="16838" w:orient="portrait"/>
          <w:cols w:equalWidth="0" w:num="1">
            <w:col w:w="11004"/>
          </w:cols>
          <w:pgMar w:left="436" w:top="490" w:right="459" w:bottom="1440" w:gutter="0" w:footer="0" w:header="0"/>
        </w:sectPr>
      </w:pP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4"/>
          </w:cols>
          <w:pgMar w:left="436" w:top="490" w:right="459" w:bottom="1440" w:gutter="0" w:footer="0" w:header="0"/>
          <w:type w:val="continuous"/>
        </w:sectPr>
      </w:pPr>
    </w:p>
    <w:bookmarkStart w:id="5" w:name="page6"/>
    <w:bookmarkEnd w:id="5"/>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2022, we continued our due diligence efforts with regard to Smelters that are not compliant with the RMI. While we primarily relied on information from our first-tier suppliers, in some cases we contacted Smelters for more complete information. That information, combined with information available through the RMI, provided us with greater insight into the Conflict Status of CMs identified as potentially in our supply chain.</w:t>
      </w:r>
    </w:p>
    <w:p>
      <w:pPr>
        <w:spacing w:after="0" w:line="2" w:lineRule="exact"/>
        <w:rPr>
          <w:sz w:val="20"/>
          <w:szCs w:val="20"/>
          <w:color w:val="auto"/>
        </w:rPr>
      </w:pPr>
    </w:p>
    <w:p>
      <w:pPr>
        <w:ind w:left="4" w:right="60"/>
        <w:spacing w:after="0" w:line="251" w:lineRule="auto"/>
        <w:rPr>
          <w:sz w:val="20"/>
          <w:szCs w:val="20"/>
          <w:color w:val="auto"/>
        </w:rPr>
      </w:pPr>
      <w:r>
        <w:rPr>
          <w:rFonts w:ascii="Arial" w:cs="Arial" w:eastAsia="Arial" w:hAnsi="Arial"/>
          <w:sz w:val="18"/>
          <w:szCs w:val="18"/>
          <w:color w:val="auto"/>
        </w:rPr>
        <w:t>We do not have complete information about the CMs in our entire supply chain. For 2022, approximately 75%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an inherent limitation. For Smelters that are designated as Active, their status is currently undeterminable because the RMAP assessments are not complete or have not yet been dispositioned by the RMI due to continued operational impacts from COVID-19. The results of our due diligence reflect these limitations. The Smelters identified by our Suppliers as potentially in our supply chain are listed in Appendix A hereto. Our efforts to determine the mine or location of origin of the CMs consisted of the due diligence measures described above.</w:t>
      </w:r>
    </w:p>
    <w:p>
      <w:pPr>
        <w:spacing w:after="0" w:line="346" w:lineRule="exact"/>
        <w:rPr>
          <w:sz w:val="20"/>
          <w:szCs w:val="20"/>
          <w:color w:val="auto"/>
        </w:rPr>
      </w:pPr>
    </w:p>
    <w:p>
      <w:pPr>
        <w:ind w:left="444" w:hanging="444"/>
        <w:spacing w:after="0"/>
        <w:tabs>
          <w:tab w:leader="none" w:pos="4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117" w:lineRule="exact"/>
        <w:rPr>
          <w:sz w:val="20"/>
          <w:szCs w:val="20"/>
          <w:color w:val="auto"/>
        </w:rPr>
      </w:pPr>
    </w:p>
    <w:p>
      <w:pPr>
        <w:ind w:left="4"/>
        <w:spacing w:after="0" w:line="251" w:lineRule="auto"/>
        <w:rPr>
          <w:sz w:val="20"/>
          <w:szCs w:val="20"/>
          <w:color w:val="auto"/>
        </w:rPr>
      </w:pPr>
      <w:r>
        <w:rPr>
          <w:rFonts w:ascii="Arial" w:cs="Arial" w:eastAsia="Arial" w:hAnsi="Arial"/>
          <w:sz w:val="17"/>
          <w:szCs w:val="17"/>
          <w:color w:val="auto"/>
        </w:rPr>
        <w:t>In 2022, our products were divided into two reportable segments as described in our annual report on Form 10-K for the year ended December 31, 2022: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338"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VI.</w:t>
        <w:tab/>
        <w:t>Risk-Mitigation Efforts</w:t>
      </w:r>
    </w:p>
    <w:p>
      <w:pPr>
        <w:spacing w:after="0" w:line="117"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w:t>
      </w:r>
    </w:p>
    <w:p>
      <w:pPr>
        <w:spacing w:after="0" w:line="76" w:lineRule="exact"/>
        <w:rPr>
          <w:sz w:val="20"/>
          <w:szCs w:val="20"/>
          <w:color w:val="auto"/>
        </w:rPr>
      </w:pPr>
    </w:p>
    <w:p>
      <w:pPr>
        <w:ind w:left="984" w:hanging="433"/>
        <w:spacing w:after="0"/>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130" w:lineRule="exact"/>
        <w:rPr>
          <w:rFonts w:ascii="Arial" w:cs="Arial" w:eastAsia="Arial" w:hAnsi="Arial"/>
          <w:sz w:val="18"/>
          <w:szCs w:val="18"/>
          <w:color w:val="auto"/>
        </w:rPr>
      </w:pPr>
    </w:p>
    <w:p>
      <w:pPr>
        <w:ind w:left="984" w:right="640" w:hanging="433"/>
        <w:spacing w:after="0" w:line="277"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spacing w:after="0" w:line="75" w:lineRule="exact"/>
        <w:rPr>
          <w:rFonts w:ascii="Arial" w:cs="Arial" w:eastAsia="Arial" w:hAnsi="Arial"/>
          <w:sz w:val="18"/>
          <w:szCs w:val="18"/>
          <w:color w:val="auto"/>
        </w:rPr>
      </w:pPr>
    </w:p>
    <w:p>
      <w:pPr>
        <w:ind w:left="984" w:hanging="433"/>
        <w:spacing w:after="0"/>
        <w:tabs>
          <w:tab w:leader="none" w:pos="984"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encourage Suppliers to direct all Smelters in their supply chains to participate in the RMAP or a similar third-party audit program; and</w:t>
      </w:r>
    </w:p>
    <w:p>
      <w:pPr>
        <w:spacing w:after="0" w:line="142" w:lineRule="exact"/>
        <w:rPr>
          <w:rFonts w:ascii="Arial" w:cs="Arial" w:eastAsia="Arial" w:hAnsi="Arial"/>
          <w:sz w:val="17"/>
          <w:szCs w:val="17"/>
          <w:color w:val="auto"/>
        </w:rPr>
      </w:pPr>
    </w:p>
    <w:p>
      <w:pPr>
        <w:ind w:left="984" w:right="480" w:hanging="433"/>
        <w:spacing w:after="0" w:line="277"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RMI status changed, or they have refused to participate in an RMI audit.</w:t>
      </w:r>
    </w:p>
    <w:p>
      <w:pPr>
        <w:spacing w:after="0" w:line="319"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117"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LLP is set forth as Appendix B to this Conflict Minerals Report.</w:t>
      </w:r>
    </w:p>
    <w:p>
      <w:pPr>
        <w:spacing w:after="0" w:line="17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[Intentionally blank]</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490" w:right="47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Appendix A</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2022. As explained in this Conflict Minerals Report, the presence of a Smelter on the lists in this Appendix A does not mean that TI products necessarily contained CMs processed by that Smelter.</w:t>
      </w:r>
    </w:p>
    <w:p>
      <w:pPr>
        <w:spacing w:after="0" w:line="89" w:lineRule="exact"/>
        <w:rPr>
          <w:sz w:val="20"/>
          <w:szCs w:val="20"/>
          <w:color w:val="auto"/>
        </w:rPr>
      </w:pPr>
    </w:p>
    <w:p>
      <w:pPr>
        <w:ind w:left="444" w:hanging="444"/>
        <w:spacing w:after="0"/>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Table 1 – Conformant Smelters</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Listed below are the 224 Smelters identified to us by our Suppliers as potentially in our supply chain for 2022 that the RMAP has reported as compliant with its RMI standards. On that basis, we have determined that the CMs supplied by these Smelters were Conformant. The location information is as reported by the RMAP as of January 31, 2023.</w:t>
      </w:r>
    </w:p>
    <w:p>
      <w:pPr>
        <w:spacing w:after="0" w:line="211" w:lineRule="exact"/>
        <w:rPr>
          <w:sz w:val="20"/>
          <w:szCs w:val="20"/>
          <w:color w:val="auto"/>
        </w:rPr>
      </w:pPr>
    </w:p>
    <w:p>
      <w:pPr>
        <w:ind w:left="444" w:hanging="444"/>
        <w:spacing w:after="0"/>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Smelters that potentially supply the CMs for our ICs.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Smelter</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Country Location</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A.L.M.T. Corp.*</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ACL Metais Eireli*</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BRAZIL</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Asia Tungsten Products Vietnam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VIETNAM</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China Molybdenum Tungsten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Chongyi Zhangyuan Tungsten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Cronimet Brasil Ltda*</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BRAZIL</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Fujian Ganmin RareMetal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Fujian Xinlu Tungsten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Ganzhou Haichuang Tungsten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Ganzhou Huaxing Tungsten Products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Ganzhou Jiangwu Ferrotungsten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Ganzhou Seadragon W &amp; Mo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Global Tungsten &amp; Powders Corp.*</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Guangdong Xianglu Tungsten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H.C. Starck Tungsten GmbH*</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Hubei Green Tungsten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Hunan Chenzhou Mining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Hunan Jintai New Material Co., Ltd. *</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02"/>
        </w:trPr>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19.</w:t>
            </w:r>
          </w:p>
        </w:tc>
        <w:tc>
          <w:tcPr>
            <w:tcW w:w="63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Hunan Shizhuyuan Nonferrous Metals Co., Ltd. Chenzhou Tungsten Products</w:t>
            </w:r>
          </w:p>
        </w:tc>
        <w:tc>
          <w:tcPr>
            <w:tcW w:w="15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CHINA</w:t>
            </w:r>
          </w:p>
        </w:tc>
      </w:tr>
      <w:tr>
        <w:trPr>
          <w:trHeight w:val="230"/>
        </w:trPr>
        <w:tc>
          <w:tcPr>
            <w:tcW w:w="380" w:type="dxa"/>
            <w:vAlign w:val="bottom"/>
            <w:shd w:val="clear" w:color="auto" w:fill="CCEEFF"/>
          </w:tcPr>
          <w:p>
            <w:pPr>
              <w:spacing w:after="0"/>
              <w:rPr>
                <w:sz w:val="20"/>
                <w:szCs w:val="20"/>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Branch*</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Japan New Metals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JAPAN</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Jiangwu H.C. Starck Tungsten Products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Jiangxi Gan Bei Tungsten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Jiangxi Tonggu Non-ferrous Metallurgical &amp; Chemical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Jiangxi Xinsheng Tungsten Industry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Jiangxi Yaosheng Tungsten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26.</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Kennametal Fallon*</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Kennametal Huntsville*</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28.</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Lianyou Metals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TAIWAN</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Malipo Haiyu Tungsten Co., Ltd.*</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30.</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Masan High-Tech Materials*</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VIETNAM</w:t>
            </w:r>
          </w:p>
        </w:tc>
      </w:tr>
      <w:tr>
        <w:trPr>
          <w:trHeight w:val="108"/>
        </w:trPr>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3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Moliren Ltd.*</w:t>
            </w:r>
            <w:r>
              <w:rPr>
                <w:rFonts w:ascii="Arial" w:cs="Arial" w:eastAsia="Arial" w:hAnsi="Arial"/>
                <w:sz w:val="23"/>
                <w:szCs w:val="23"/>
                <w:color w:val="auto"/>
                <w:vertAlign w:val="superscript"/>
              </w:rPr>
              <w:t>††</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Tungsten</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4" w:lineRule="exact"/>
        <w:rPr>
          <w:sz w:val="20"/>
          <w:szCs w:val="20"/>
          <w:color w:val="auto"/>
        </w:rPr>
      </w:pPr>
    </w:p>
    <w:p>
      <w:pPr>
        <w:ind w:left="444" w:hanging="444"/>
        <w:spacing w:after="0"/>
        <w:tabs>
          <w:tab w:leader="none" w:pos="44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Subsequent to the date this data was reported, Moliren Ltd. was removed from our supply chain.</w:t>
      </w:r>
    </w:p>
    <w:p>
      <w:pPr>
        <w:sectPr>
          <w:pgSz w:w="11900" w:h="16838" w:orient="portrait"/>
          <w:cols w:equalWidth="0" w:num="1">
            <w:col w:w="11024"/>
          </w:cols>
          <w:pgMar w:left="436" w:top="490" w:right="439" w:bottom="1440" w:gutter="0" w:footer="0" w:header="0"/>
        </w:sectPr>
      </w:pPr>
    </w:p>
    <w:p>
      <w:pPr>
        <w:spacing w:after="0" w:line="134"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24"/>
          </w:cols>
          <w:pgMar w:left="436" w:top="490" w:right="4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32.</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Niagara Refining LLC*</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33.</w:t>
            </w:r>
          </w:p>
        </w:tc>
        <w:tc>
          <w:tcPr>
            <w:tcW w:w="5740" w:type="dxa"/>
            <w:vAlign w:val="bottom"/>
          </w:tcPr>
          <w:p>
            <w:pPr>
              <w:ind w:left="160"/>
              <w:spacing w:after="0"/>
              <w:rPr>
                <w:sz w:val="20"/>
                <w:szCs w:val="20"/>
                <w:color w:val="auto"/>
              </w:rPr>
            </w:pPr>
            <w:r>
              <w:rPr>
                <w:rFonts w:ascii="Arial" w:cs="Arial" w:eastAsia="Arial" w:hAnsi="Arial"/>
                <w:sz w:val="18"/>
                <w:szCs w:val="18"/>
                <w:color w:val="auto"/>
              </w:rPr>
              <w:t>Philippine Chuangxin Industrial Co., Inc.*</w:t>
            </w:r>
          </w:p>
        </w:tc>
        <w:tc>
          <w:tcPr>
            <w:tcW w:w="1800" w:type="dxa"/>
            <w:vAlign w:val="bottom"/>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tcPr>
          <w:p>
            <w:pPr>
              <w:ind w:left="440"/>
              <w:spacing w:after="0"/>
              <w:rPr>
                <w:sz w:val="20"/>
                <w:szCs w:val="20"/>
                <w:color w:val="auto"/>
              </w:rPr>
            </w:pPr>
            <w:r>
              <w:rPr>
                <w:rFonts w:ascii="Arial" w:cs="Arial" w:eastAsia="Arial" w:hAnsi="Arial"/>
                <w:sz w:val="18"/>
                <w:szCs w:val="18"/>
                <w:color w:val="auto"/>
              </w:rPr>
              <w:t>PHILIPPINES</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34.</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TANIOBIS Smelting GmbH &amp; Co. KG*</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GERMANY</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35.</w:t>
            </w:r>
          </w:p>
        </w:tc>
        <w:tc>
          <w:tcPr>
            <w:tcW w:w="5740" w:type="dxa"/>
            <w:vAlign w:val="bottom"/>
          </w:tcPr>
          <w:p>
            <w:pPr>
              <w:ind w:left="160"/>
              <w:spacing w:after="0"/>
              <w:rPr>
                <w:sz w:val="20"/>
                <w:szCs w:val="20"/>
                <w:color w:val="auto"/>
              </w:rPr>
            </w:pPr>
            <w:r>
              <w:rPr>
                <w:rFonts w:ascii="Arial" w:cs="Arial" w:eastAsia="Arial" w:hAnsi="Arial"/>
                <w:sz w:val="18"/>
                <w:szCs w:val="18"/>
                <w:color w:val="auto"/>
              </w:rPr>
              <w:t>Wolfram Bergbau und Hütten AG*</w:t>
            </w:r>
          </w:p>
        </w:tc>
        <w:tc>
          <w:tcPr>
            <w:tcW w:w="1800" w:type="dxa"/>
            <w:vAlign w:val="bottom"/>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tcPr>
          <w:p>
            <w:pPr>
              <w:ind w:left="440"/>
              <w:spacing w:after="0"/>
              <w:rPr>
                <w:sz w:val="20"/>
                <w:szCs w:val="20"/>
                <w:color w:val="auto"/>
              </w:rPr>
            </w:pPr>
            <w:r>
              <w:rPr>
                <w:rFonts w:ascii="Arial" w:cs="Arial" w:eastAsia="Arial" w:hAnsi="Arial"/>
                <w:sz w:val="18"/>
                <w:szCs w:val="18"/>
                <w:color w:val="auto"/>
              </w:rPr>
              <w:t>AUSTRIA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36.</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Xiamen Tungsten (H.C.) Co.,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37.</w:t>
            </w:r>
          </w:p>
        </w:tc>
        <w:tc>
          <w:tcPr>
            <w:tcW w:w="5740" w:type="dxa"/>
            <w:vAlign w:val="bottom"/>
          </w:tcPr>
          <w:p>
            <w:pPr>
              <w:ind w:left="160"/>
              <w:spacing w:after="0"/>
              <w:rPr>
                <w:sz w:val="20"/>
                <w:szCs w:val="20"/>
                <w:color w:val="auto"/>
              </w:rPr>
            </w:pPr>
            <w:r>
              <w:rPr>
                <w:rFonts w:ascii="Arial" w:cs="Arial" w:eastAsia="Arial" w:hAnsi="Arial"/>
                <w:sz w:val="18"/>
                <w:szCs w:val="18"/>
                <w:color w:val="auto"/>
              </w:rPr>
              <w:t>Xiamen Tungsten Co., Ltd.*</w:t>
            </w:r>
          </w:p>
        </w:tc>
        <w:tc>
          <w:tcPr>
            <w:tcW w:w="1800" w:type="dxa"/>
            <w:vAlign w:val="bottom"/>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38.</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Xinfeng Huarui Tungsten &amp; Molybdenum New Material Co.,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Tungsten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39.</w:t>
            </w:r>
          </w:p>
        </w:tc>
        <w:tc>
          <w:tcPr>
            <w:tcW w:w="5740" w:type="dxa"/>
            <w:vAlign w:val="bottom"/>
          </w:tcPr>
          <w:p>
            <w:pPr>
              <w:ind w:left="160"/>
              <w:spacing w:after="0"/>
              <w:rPr>
                <w:sz w:val="20"/>
                <w:szCs w:val="20"/>
                <w:color w:val="auto"/>
              </w:rPr>
            </w:pPr>
            <w:r>
              <w:rPr>
                <w:rFonts w:ascii="Arial" w:cs="Arial" w:eastAsia="Arial" w:hAnsi="Arial"/>
                <w:sz w:val="18"/>
                <w:szCs w:val="18"/>
                <w:color w:val="auto"/>
              </w:rPr>
              <w:t>Alpha*</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UNITED STATES</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40.</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Aurubis Beerse*</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BELGIUM</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41.</w:t>
            </w:r>
          </w:p>
        </w:tc>
        <w:tc>
          <w:tcPr>
            <w:tcW w:w="5740" w:type="dxa"/>
            <w:vAlign w:val="bottom"/>
          </w:tcPr>
          <w:p>
            <w:pPr>
              <w:ind w:left="160"/>
              <w:spacing w:after="0"/>
              <w:rPr>
                <w:sz w:val="20"/>
                <w:szCs w:val="20"/>
                <w:color w:val="auto"/>
              </w:rPr>
            </w:pPr>
            <w:r>
              <w:rPr>
                <w:rFonts w:ascii="Arial" w:cs="Arial" w:eastAsia="Arial" w:hAnsi="Arial"/>
                <w:sz w:val="18"/>
                <w:szCs w:val="18"/>
                <w:color w:val="auto"/>
              </w:rPr>
              <w:t>Aurubis Berango*</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SPAIN</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42.</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Chenzhou Yunxiang Mining and Metallurgy Co.,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43.</w:t>
            </w:r>
          </w:p>
        </w:tc>
        <w:tc>
          <w:tcPr>
            <w:tcW w:w="5740" w:type="dxa"/>
            <w:vAlign w:val="bottom"/>
          </w:tcPr>
          <w:p>
            <w:pPr>
              <w:ind w:left="160"/>
              <w:spacing w:after="0"/>
              <w:rPr>
                <w:sz w:val="20"/>
                <w:szCs w:val="20"/>
                <w:color w:val="auto"/>
              </w:rPr>
            </w:pPr>
            <w:r>
              <w:rPr>
                <w:rFonts w:ascii="Arial" w:cs="Arial" w:eastAsia="Arial" w:hAnsi="Arial"/>
                <w:sz w:val="18"/>
                <w:szCs w:val="18"/>
                <w:color w:val="auto"/>
              </w:rPr>
              <w:t>Chifeng Dajingzi Tin Industry Co., Ltd.*</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44.</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 Tin Group Co.,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45.</w:t>
            </w:r>
          </w:p>
        </w:tc>
        <w:tc>
          <w:tcPr>
            <w:tcW w:w="5740" w:type="dxa"/>
            <w:vAlign w:val="bottom"/>
          </w:tcPr>
          <w:p>
            <w:pPr>
              <w:ind w:left="160"/>
              <w:spacing w:after="0"/>
              <w:rPr>
                <w:sz w:val="20"/>
                <w:szCs w:val="20"/>
                <w:color w:val="auto"/>
              </w:rPr>
            </w:pPr>
            <w:r>
              <w:rPr>
                <w:rFonts w:ascii="Arial" w:cs="Arial" w:eastAsia="Arial" w:hAnsi="Arial"/>
                <w:sz w:val="18"/>
                <w:szCs w:val="18"/>
                <w:color w:val="auto"/>
              </w:rPr>
              <w:t>CRM Synergies</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SPAIN</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46.</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Dowa*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JAPAN</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47.</w:t>
            </w:r>
          </w:p>
        </w:tc>
        <w:tc>
          <w:tcPr>
            <w:tcW w:w="5740" w:type="dxa"/>
            <w:vAlign w:val="bottom"/>
          </w:tcPr>
          <w:p>
            <w:pPr>
              <w:ind w:left="160"/>
              <w:spacing w:after="0"/>
              <w:rPr>
                <w:sz w:val="20"/>
                <w:szCs w:val="20"/>
                <w:color w:val="auto"/>
              </w:rPr>
            </w:pPr>
            <w:r>
              <w:rPr>
                <w:rFonts w:ascii="Arial" w:cs="Arial" w:eastAsia="Arial" w:hAnsi="Arial"/>
                <w:sz w:val="18"/>
                <w:szCs w:val="18"/>
                <w:color w:val="auto"/>
              </w:rPr>
              <w:t>EM Vinto*</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BOLIVIA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48.</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Estanho de Rondonia S.A.*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49.</w:t>
            </w:r>
          </w:p>
        </w:tc>
        <w:tc>
          <w:tcPr>
            <w:tcW w:w="5740" w:type="dxa"/>
            <w:vAlign w:val="bottom"/>
          </w:tcPr>
          <w:p>
            <w:pPr>
              <w:ind w:left="160"/>
              <w:spacing w:after="0"/>
              <w:rPr>
                <w:sz w:val="20"/>
                <w:szCs w:val="20"/>
                <w:color w:val="auto"/>
              </w:rPr>
            </w:pPr>
            <w:r>
              <w:rPr>
                <w:rFonts w:ascii="Arial" w:cs="Arial" w:eastAsia="Arial" w:hAnsi="Arial"/>
                <w:sz w:val="18"/>
                <w:szCs w:val="18"/>
                <w:color w:val="auto"/>
              </w:rPr>
              <w:t>Fabrica Auricchio Industria e Comercio Ltda. *</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50.</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Fenix Metals*</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POLAND</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51.</w:t>
            </w:r>
          </w:p>
        </w:tc>
        <w:tc>
          <w:tcPr>
            <w:tcW w:w="5740" w:type="dxa"/>
            <w:vAlign w:val="bottom"/>
          </w:tcPr>
          <w:p>
            <w:pPr>
              <w:ind w:left="160"/>
              <w:spacing w:after="0"/>
              <w:rPr>
                <w:sz w:val="20"/>
                <w:szCs w:val="20"/>
                <w:color w:val="auto"/>
              </w:rPr>
            </w:pPr>
            <w:r>
              <w:rPr>
                <w:rFonts w:ascii="Arial" w:cs="Arial" w:eastAsia="Arial" w:hAnsi="Arial"/>
                <w:sz w:val="18"/>
                <w:szCs w:val="18"/>
                <w:color w:val="auto"/>
              </w:rPr>
              <w:t>Gejiu Non-Ferrous Metal Processing Co., Ltd.*</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52.</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Gejiu Zili Mining and Metallurgy Co.,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53.</w:t>
            </w:r>
          </w:p>
        </w:tc>
        <w:tc>
          <w:tcPr>
            <w:tcW w:w="5740" w:type="dxa"/>
            <w:vAlign w:val="bottom"/>
          </w:tcPr>
          <w:p>
            <w:pPr>
              <w:ind w:left="160"/>
              <w:spacing w:after="0"/>
              <w:rPr>
                <w:sz w:val="20"/>
                <w:szCs w:val="20"/>
                <w:color w:val="auto"/>
              </w:rPr>
            </w:pPr>
            <w:r>
              <w:rPr>
                <w:rFonts w:ascii="Arial" w:cs="Arial" w:eastAsia="Arial" w:hAnsi="Arial"/>
                <w:sz w:val="18"/>
                <w:szCs w:val="18"/>
                <w:color w:val="auto"/>
              </w:rPr>
              <w:t>Guangdong Hanhe Non-Ferrous Metal Co., Ltd*</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54.</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Jiangxi New Nasan Technology Ltd.*</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55.</w:t>
            </w:r>
          </w:p>
        </w:tc>
        <w:tc>
          <w:tcPr>
            <w:tcW w:w="5740" w:type="dxa"/>
            <w:vAlign w:val="bottom"/>
          </w:tcPr>
          <w:p>
            <w:pPr>
              <w:ind w:left="160"/>
              <w:spacing w:after="0"/>
              <w:rPr>
                <w:sz w:val="20"/>
                <w:szCs w:val="20"/>
                <w:color w:val="auto"/>
              </w:rPr>
            </w:pPr>
            <w:r>
              <w:rPr>
                <w:rFonts w:ascii="Arial" w:cs="Arial" w:eastAsia="Arial" w:hAnsi="Arial"/>
                <w:sz w:val="18"/>
                <w:szCs w:val="18"/>
                <w:color w:val="auto"/>
              </w:rPr>
              <w:t>Luna Smelter, Ltd.*</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RWANDA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56.</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Magnu’s Minerais Metais e Ligas Ltda.*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57.</w:t>
            </w:r>
          </w:p>
        </w:tc>
        <w:tc>
          <w:tcPr>
            <w:tcW w:w="5740" w:type="dxa"/>
            <w:vAlign w:val="bottom"/>
          </w:tcPr>
          <w:p>
            <w:pPr>
              <w:ind w:left="160"/>
              <w:spacing w:after="0"/>
              <w:rPr>
                <w:sz w:val="20"/>
                <w:szCs w:val="20"/>
                <w:color w:val="auto"/>
              </w:rPr>
            </w:pPr>
            <w:r>
              <w:rPr>
                <w:rFonts w:ascii="Arial" w:cs="Arial" w:eastAsia="Arial" w:hAnsi="Arial"/>
                <w:sz w:val="18"/>
                <w:szCs w:val="18"/>
                <w:color w:val="auto"/>
              </w:rPr>
              <w:t>Malaysia Smelting Corporation (MSC)*</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MALAYSIA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58.</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Metallic Resources, Inc.*</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59.</w:t>
            </w:r>
          </w:p>
        </w:tc>
        <w:tc>
          <w:tcPr>
            <w:tcW w:w="5740" w:type="dxa"/>
            <w:vAlign w:val="bottom"/>
          </w:tcPr>
          <w:p>
            <w:pPr>
              <w:ind w:left="160"/>
              <w:spacing w:after="0"/>
              <w:rPr>
                <w:sz w:val="20"/>
                <w:szCs w:val="20"/>
                <w:color w:val="auto"/>
              </w:rPr>
            </w:pPr>
            <w:r>
              <w:rPr>
                <w:rFonts w:ascii="Arial" w:cs="Arial" w:eastAsia="Arial" w:hAnsi="Arial"/>
                <w:sz w:val="18"/>
                <w:szCs w:val="18"/>
                <w:color w:val="auto"/>
              </w:rPr>
              <w:t>Mineração Taboca S.A.*</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BRAZIL</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60.</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Minsur*</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PERU</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61.</w:t>
            </w:r>
          </w:p>
        </w:tc>
        <w:tc>
          <w:tcPr>
            <w:tcW w:w="5740" w:type="dxa"/>
            <w:vAlign w:val="bottom"/>
          </w:tcPr>
          <w:p>
            <w:pPr>
              <w:ind w:left="160"/>
              <w:spacing w:after="0"/>
              <w:rPr>
                <w:sz w:val="20"/>
                <w:szCs w:val="20"/>
                <w:color w:val="auto"/>
              </w:rPr>
            </w:pPr>
            <w:r>
              <w:rPr>
                <w:rFonts w:ascii="Arial" w:cs="Arial" w:eastAsia="Arial" w:hAnsi="Arial"/>
                <w:sz w:val="18"/>
                <w:szCs w:val="18"/>
                <w:color w:val="auto"/>
              </w:rPr>
              <w:t>Mitsubishi Materials Corporation*</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JAPAN</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62.</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Manufacturing Philippines, Inc.*</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PHILIPPINES</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63.</w:t>
            </w:r>
          </w:p>
        </w:tc>
        <w:tc>
          <w:tcPr>
            <w:tcW w:w="5740" w:type="dxa"/>
            <w:vAlign w:val="bottom"/>
          </w:tcPr>
          <w:p>
            <w:pPr>
              <w:ind w:left="160"/>
              <w:spacing w:after="0"/>
              <w:rPr>
                <w:sz w:val="20"/>
                <w:szCs w:val="20"/>
                <w:color w:val="auto"/>
              </w:rPr>
            </w:pPr>
            <w:r>
              <w:rPr>
                <w:rFonts w:ascii="Arial" w:cs="Arial" w:eastAsia="Arial" w:hAnsi="Arial"/>
                <w:sz w:val="18"/>
                <w:szCs w:val="18"/>
                <w:color w:val="auto"/>
              </w:rPr>
              <w:t>O.M. Manufacturing (Thailand) Co., Ltd.*</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THAILAND</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64.</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Operaciones Metalurgical S.A.*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BOLIVIA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65.</w:t>
            </w:r>
          </w:p>
        </w:tc>
        <w:tc>
          <w:tcPr>
            <w:tcW w:w="5740" w:type="dxa"/>
            <w:vAlign w:val="bottom"/>
          </w:tcPr>
          <w:p>
            <w:pPr>
              <w:ind w:left="160"/>
              <w:spacing w:after="0"/>
              <w:rPr>
                <w:sz w:val="20"/>
                <w:szCs w:val="20"/>
                <w:color w:val="auto"/>
              </w:rPr>
            </w:pPr>
            <w:r>
              <w:rPr>
                <w:rFonts w:ascii="Arial" w:cs="Arial" w:eastAsia="Arial" w:hAnsi="Arial"/>
                <w:sz w:val="18"/>
                <w:szCs w:val="18"/>
                <w:color w:val="auto"/>
              </w:rPr>
              <w:t>PT Aries Kencana Sejahtera</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66.</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Artha Cipta Langgeng*</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67.</w:t>
            </w:r>
          </w:p>
        </w:tc>
        <w:tc>
          <w:tcPr>
            <w:tcW w:w="5740" w:type="dxa"/>
            <w:vAlign w:val="bottom"/>
          </w:tcPr>
          <w:p>
            <w:pPr>
              <w:ind w:left="160"/>
              <w:spacing w:after="0"/>
              <w:rPr>
                <w:sz w:val="20"/>
                <w:szCs w:val="20"/>
                <w:color w:val="auto"/>
              </w:rPr>
            </w:pPr>
            <w:r>
              <w:rPr>
                <w:rFonts w:ascii="Arial" w:cs="Arial" w:eastAsia="Arial" w:hAnsi="Arial"/>
                <w:sz w:val="18"/>
                <w:szCs w:val="18"/>
                <w:color w:val="auto"/>
              </w:rPr>
              <w:t>PT ATD Makmur Mandiri Jaya*</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68.</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Babel Inti Perkasa*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69.</w:t>
            </w:r>
          </w:p>
        </w:tc>
        <w:tc>
          <w:tcPr>
            <w:tcW w:w="5740" w:type="dxa"/>
            <w:vAlign w:val="bottom"/>
          </w:tcPr>
          <w:p>
            <w:pPr>
              <w:ind w:left="160"/>
              <w:spacing w:after="0"/>
              <w:rPr>
                <w:sz w:val="20"/>
                <w:szCs w:val="20"/>
                <w:color w:val="auto"/>
              </w:rPr>
            </w:pPr>
            <w:r>
              <w:rPr>
                <w:rFonts w:ascii="Arial" w:cs="Arial" w:eastAsia="Arial" w:hAnsi="Arial"/>
                <w:sz w:val="18"/>
                <w:szCs w:val="18"/>
                <w:color w:val="auto"/>
              </w:rPr>
              <w:t>PT Babel Surya Alam Lestari*</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70.</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Bangka Serumpun*</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71.</w:t>
            </w:r>
          </w:p>
        </w:tc>
        <w:tc>
          <w:tcPr>
            <w:tcW w:w="5740" w:type="dxa"/>
            <w:vAlign w:val="bottom"/>
          </w:tcPr>
          <w:p>
            <w:pPr>
              <w:ind w:left="160"/>
              <w:spacing w:after="0"/>
              <w:rPr>
                <w:sz w:val="20"/>
                <w:szCs w:val="20"/>
                <w:color w:val="auto"/>
              </w:rPr>
            </w:pPr>
            <w:r>
              <w:rPr>
                <w:rFonts w:ascii="Arial" w:cs="Arial" w:eastAsia="Arial" w:hAnsi="Arial"/>
                <w:sz w:val="18"/>
                <w:szCs w:val="18"/>
                <w:color w:val="auto"/>
              </w:rPr>
              <w:t>PT Bukit Timah*</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72.</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Cipta Persada Mulia*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73.</w:t>
            </w:r>
          </w:p>
        </w:tc>
        <w:tc>
          <w:tcPr>
            <w:tcW w:w="5740" w:type="dxa"/>
            <w:vAlign w:val="bottom"/>
          </w:tcPr>
          <w:p>
            <w:pPr>
              <w:ind w:left="160"/>
              <w:spacing w:after="0"/>
              <w:rPr>
                <w:sz w:val="20"/>
                <w:szCs w:val="20"/>
                <w:color w:val="auto"/>
              </w:rPr>
            </w:pPr>
            <w:r>
              <w:rPr>
                <w:rFonts w:ascii="Arial" w:cs="Arial" w:eastAsia="Arial" w:hAnsi="Arial"/>
                <w:sz w:val="18"/>
                <w:szCs w:val="18"/>
                <w:color w:val="auto"/>
              </w:rPr>
              <w:t>PT Menara Cipta Mulia*</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74.</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Mitra Stania Prima*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75.</w:t>
            </w:r>
          </w:p>
        </w:tc>
        <w:tc>
          <w:tcPr>
            <w:tcW w:w="5740" w:type="dxa"/>
            <w:vAlign w:val="bottom"/>
          </w:tcPr>
          <w:p>
            <w:pPr>
              <w:ind w:left="160"/>
              <w:spacing w:after="0"/>
              <w:rPr>
                <w:sz w:val="20"/>
                <w:szCs w:val="20"/>
                <w:color w:val="auto"/>
              </w:rPr>
            </w:pPr>
            <w:r>
              <w:rPr>
                <w:rFonts w:ascii="Arial" w:cs="Arial" w:eastAsia="Arial" w:hAnsi="Arial"/>
                <w:sz w:val="18"/>
                <w:szCs w:val="18"/>
                <w:color w:val="auto"/>
              </w:rPr>
              <w:t>PT Mitra Sukses Globalindo</w:t>
            </w:r>
          </w:p>
        </w:tc>
        <w:tc>
          <w:tcPr>
            <w:tcW w:w="1800" w:type="dxa"/>
            <w:vAlign w:val="bottom"/>
          </w:tcPr>
          <w:p>
            <w:pPr>
              <w:ind w:left="700"/>
              <w:spacing w:after="0"/>
              <w:rPr>
                <w:sz w:val="20"/>
                <w:szCs w:val="20"/>
                <w:color w:val="auto"/>
              </w:rPr>
            </w:pPr>
            <w:r>
              <w:rPr>
                <w:rFonts w:ascii="Arial" w:cs="Arial" w:eastAsia="Arial" w:hAnsi="Arial"/>
                <w:sz w:val="18"/>
                <w:szCs w:val="18"/>
                <w:color w:val="auto"/>
              </w:rPr>
              <w:t>Tin</w:t>
            </w:r>
          </w:p>
        </w:tc>
        <w:tc>
          <w:tcPr>
            <w:tcW w:w="3100" w:type="dxa"/>
            <w:vAlign w:val="bottom"/>
          </w:tcPr>
          <w:p>
            <w:pPr>
              <w:ind w:left="440"/>
              <w:spacing w:after="0"/>
              <w:rPr>
                <w:sz w:val="20"/>
                <w:szCs w:val="20"/>
                <w:color w:val="auto"/>
              </w:rPr>
            </w:pPr>
            <w:r>
              <w:rPr>
                <w:rFonts w:ascii="Arial" w:cs="Arial" w:eastAsia="Arial" w:hAnsi="Arial"/>
                <w:sz w:val="18"/>
                <w:szCs w:val="18"/>
                <w:color w:val="auto"/>
              </w:rPr>
              <w:t>INDONESIA</w:t>
            </w:r>
          </w:p>
        </w:tc>
      </w:tr>
      <w:tr>
        <w:trPr>
          <w:trHeight w:val="108"/>
        </w:trPr>
        <w:tc>
          <w:tcPr>
            <w:tcW w:w="3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tcPr>
          <w:p>
            <w:pPr>
              <w:spacing w:after="0"/>
              <w:rPr>
                <w:sz w:val="9"/>
                <w:szCs w:val="9"/>
                <w:color w:val="auto"/>
              </w:rPr>
            </w:pPr>
          </w:p>
        </w:tc>
      </w:tr>
      <w:tr>
        <w:trPr>
          <w:trHeight w:val="216"/>
        </w:trPr>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76.</w:t>
            </w: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PT Prima Timah Utama*</w:t>
            </w:r>
          </w:p>
        </w:tc>
        <w:tc>
          <w:tcPr>
            <w:tcW w:w="1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Tin</w:t>
            </w:r>
          </w:p>
        </w:tc>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INDONESIA</w:t>
            </w:r>
          </w:p>
        </w:tc>
      </w:tr>
    </w:tbl>
    <w:p>
      <w:pPr>
        <w:ind w:left="440"/>
        <w:spacing w:after="0"/>
        <w:rPr>
          <w:sz w:val="20"/>
          <w:szCs w:val="20"/>
          <w:color w:val="auto"/>
        </w:rPr>
        <w:sectPr>
          <w:pgSz w:w="11900" w:h="16838" w:orient="portrait"/>
          <w:cols w:equalWidth="0" w:num="1">
            <w:col w:w="11020"/>
          </w:cols>
          <w:pgMar w:left="440" w:top="612" w:right="439" w:bottom="906"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20"/>
          </w:cols>
          <w:pgMar w:left="440" w:top="612" w:right="439" w:bottom="906"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Putera Sarana Shakti (PT PSS) *</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78.</w:t>
            </w:r>
          </w:p>
        </w:tc>
        <w:tc>
          <w:tcPr>
            <w:tcW w:w="5340" w:type="dxa"/>
            <w:vAlign w:val="bottom"/>
          </w:tcPr>
          <w:p>
            <w:pPr>
              <w:ind w:left="120"/>
              <w:spacing w:after="0"/>
              <w:rPr>
                <w:sz w:val="20"/>
                <w:szCs w:val="20"/>
                <w:color w:val="auto"/>
              </w:rPr>
            </w:pPr>
            <w:r>
              <w:rPr>
                <w:rFonts w:ascii="Arial" w:cs="Arial" w:eastAsia="Arial" w:hAnsi="Arial"/>
                <w:sz w:val="18"/>
                <w:szCs w:val="18"/>
                <w:color w:val="auto"/>
              </w:rPr>
              <w:t>PT Rajawali Rimba Perkasa*</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Refined Bangka Tin*</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80.</w:t>
            </w:r>
          </w:p>
        </w:tc>
        <w:tc>
          <w:tcPr>
            <w:tcW w:w="5340" w:type="dxa"/>
            <w:vAlign w:val="bottom"/>
          </w:tcPr>
          <w:p>
            <w:pPr>
              <w:ind w:left="120"/>
              <w:spacing w:after="0"/>
              <w:rPr>
                <w:sz w:val="20"/>
                <w:szCs w:val="20"/>
                <w:color w:val="auto"/>
              </w:rPr>
            </w:pPr>
            <w:r>
              <w:rPr>
                <w:rFonts w:ascii="Arial" w:cs="Arial" w:eastAsia="Arial" w:hAnsi="Arial"/>
                <w:sz w:val="18"/>
                <w:szCs w:val="18"/>
                <w:color w:val="auto"/>
              </w:rPr>
              <w:t>PT Sariwiguna Bina Sentosa*</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Stanindo Inti Perkasa*</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82.</w:t>
            </w:r>
          </w:p>
        </w:tc>
        <w:tc>
          <w:tcPr>
            <w:tcW w:w="5340" w:type="dxa"/>
            <w:vAlign w:val="bottom"/>
          </w:tcPr>
          <w:p>
            <w:pPr>
              <w:ind w:left="120"/>
              <w:spacing w:after="0"/>
              <w:rPr>
                <w:sz w:val="20"/>
                <w:szCs w:val="20"/>
                <w:color w:val="auto"/>
              </w:rPr>
            </w:pPr>
            <w:r>
              <w:rPr>
                <w:rFonts w:ascii="Arial" w:cs="Arial" w:eastAsia="Arial" w:hAnsi="Arial"/>
                <w:sz w:val="18"/>
                <w:szCs w:val="18"/>
                <w:color w:val="auto"/>
              </w:rPr>
              <w:t>PT Sukses Inti Makmur*</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83.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Timah Tbk Kundur*</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84.</w:t>
            </w:r>
          </w:p>
        </w:tc>
        <w:tc>
          <w:tcPr>
            <w:tcW w:w="5340" w:type="dxa"/>
            <w:vAlign w:val="bottom"/>
          </w:tcPr>
          <w:p>
            <w:pPr>
              <w:ind w:left="120"/>
              <w:spacing w:after="0"/>
              <w:rPr>
                <w:sz w:val="20"/>
                <w:szCs w:val="20"/>
                <w:color w:val="auto"/>
              </w:rPr>
            </w:pPr>
            <w:r>
              <w:rPr>
                <w:rFonts w:ascii="Arial" w:cs="Arial" w:eastAsia="Arial" w:hAnsi="Arial"/>
                <w:sz w:val="18"/>
                <w:szCs w:val="18"/>
                <w:color w:val="auto"/>
              </w:rPr>
              <w:t>PT Timah Tbk Mentok*</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Tinindo Inter Nusa*</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86.</w:t>
            </w:r>
          </w:p>
        </w:tc>
        <w:tc>
          <w:tcPr>
            <w:tcW w:w="5340" w:type="dxa"/>
            <w:vAlign w:val="bottom"/>
          </w:tcPr>
          <w:p>
            <w:pPr>
              <w:ind w:left="120"/>
              <w:spacing w:after="0"/>
              <w:rPr>
                <w:sz w:val="20"/>
                <w:szCs w:val="20"/>
                <w:color w:val="auto"/>
              </w:rPr>
            </w:pPr>
            <w:r>
              <w:rPr>
                <w:rFonts w:ascii="Arial" w:cs="Arial" w:eastAsia="Arial" w:hAnsi="Arial"/>
                <w:sz w:val="18"/>
                <w:szCs w:val="18"/>
                <w:color w:val="auto"/>
              </w:rPr>
              <w:t>Resind Indústria e Comércio Ltda.*</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BRAZIL</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87.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Rui Da Hung*</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TAIWAN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88.</w:t>
            </w:r>
          </w:p>
        </w:tc>
        <w:tc>
          <w:tcPr>
            <w:tcW w:w="5340" w:type="dxa"/>
            <w:vAlign w:val="bottom"/>
          </w:tcPr>
          <w:p>
            <w:pPr>
              <w:ind w:left="120"/>
              <w:spacing w:after="0"/>
              <w:rPr>
                <w:sz w:val="20"/>
                <w:szCs w:val="20"/>
                <w:color w:val="auto"/>
              </w:rPr>
            </w:pPr>
            <w:r>
              <w:rPr>
                <w:rFonts w:ascii="Arial" w:cs="Arial" w:eastAsia="Arial" w:hAnsi="Arial"/>
                <w:sz w:val="18"/>
                <w:szCs w:val="18"/>
                <w:color w:val="auto"/>
              </w:rPr>
              <w:t>Thaisarco*</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THAILAND</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89.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Tin Smelting Branch of Yunnan Tin Co., Ltd. *</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90.</w:t>
            </w:r>
          </w:p>
        </w:tc>
        <w:tc>
          <w:tcPr>
            <w:tcW w:w="5340" w:type="dxa"/>
            <w:vAlign w:val="bottom"/>
          </w:tcPr>
          <w:p>
            <w:pPr>
              <w:ind w:left="120"/>
              <w:spacing w:after="0"/>
              <w:rPr>
                <w:sz w:val="20"/>
                <w:szCs w:val="20"/>
                <w:color w:val="auto"/>
              </w:rPr>
            </w:pPr>
            <w:r>
              <w:rPr>
                <w:rFonts w:ascii="Arial" w:cs="Arial" w:eastAsia="Arial" w:hAnsi="Arial"/>
                <w:sz w:val="18"/>
                <w:szCs w:val="18"/>
                <w:color w:val="auto"/>
              </w:rPr>
              <w:t>Tin Technology &amp; Refining*</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STATES</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White Solder Metalurgia e Mineração Ltda.*</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92.</w:t>
            </w:r>
          </w:p>
        </w:tc>
        <w:tc>
          <w:tcPr>
            <w:tcW w:w="5340" w:type="dxa"/>
            <w:vAlign w:val="bottom"/>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Tin</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 Brazil*</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94.</w:t>
            </w:r>
          </w:p>
        </w:tc>
        <w:tc>
          <w:tcPr>
            <w:tcW w:w="5340" w:type="dxa"/>
            <w:vAlign w:val="bottom"/>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 Block Metals, LLC*</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96.</w:t>
            </w:r>
          </w:p>
        </w:tc>
        <w:tc>
          <w:tcPr>
            <w:tcW w:w="5340" w:type="dxa"/>
            <w:vAlign w:val="bottom"/>
          </w:tcPr>
          <w:p>
            <w:pPr>
              <w:ind w:left="120"/>
              <w:spacing w:after="0"/>
              <w:rPr>
                <w:sz w:val="20"/>
                <w:szCs w:val="20"/>
                <w:color w:val="auto"/>
              </w:rPr>
            </w:pPr>
            <w:r>
              <w:rPr>
                <w:rFonts w:ascii="Arial" w:cs="Arial" w:eastAsia="Arial" w:hAnsi="Arial"/>
                <w:sz w:val="18"/>
                <w:szCs w:val="18"/>
                <w:color w:val="auto"/>
              </w:rPr>
              <w:t>F&amp;X Electro-Materials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 Metals &amp; Resource Ltd. *</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98.</w:t>
            </w:r>
          </w:p>
        </w:tc>
        <w:tc>
          <w:tcPr>
            <w:tcW w:w="5340" w:type="dxa"/>
            <w:vAlign w:val="bottom"/>
          </w:tcPr>
          <w:p>
            <w:pPr>
              <w:ind w:left="120"/>
              <w:spacing w:after="0"/>
              <w:rPr>
                <w:sz w:val="20"/>
                <w:szCs w:val="20"/>
                <w:color w:val="auto"/>
              </w:rPr>
            </w:pPr>
            <w:r>
              <w:rPr>
                <w:rFonts w:ascii="Arial" w:cs="Arial" w:eastAsia="Arial" w:hAnsi="Arial"/>
                <w:sz w:val="18"/>
                <w:szCs w:val="18"/>
                <w:color w:val="auto"/>
              </w:rPr>
              <w:t>Global Advanced Metals Aizu*</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Global Advanced Metals Boyertown*</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100.</w:t>
            </w:r>
          </w:p>
        </w:tc>
        <w:tc>
          <w:tcPr>
            <w:tcW w:w="5340" w:type="dxa"/>
            <w:vAlign w:val="bottom"/>
          </w:tcPr>
          <w:p>
            <w:pPr>
              <w:ind w:left="120"/>
              <w:spacing w:after="0"/>
              <w:rPr>
                <w:sz w:val="20"/>
                <w:szCs w:val="20"/>
                <w:color w:val="auto"/>
              </w:rPr>
            </w:pPr>
            <w:r>
              <w:rPr>
                <w:rFonts w:ascii="Arial" w:cs="Arial" w:eastAsia="Arial" w:hAnsi="Arial"/>
                <w:sz w:val="18"/>
                <w:szCs w:val="18"/>
                <w:color w:val="auto"/>
              </w:rPr>
              <w:t>Hengyang King Xing Lifeng New Materials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102.</w:t>
            </w:r>
          </w:p>
        </w:tc>
        <w:tc>
          <w:tcPr>
            <w:tcW w:w="5340" w:type="dxa"/>
            <w:vAlign w:val="bottom"/>
          </w:tcPr>
          <w:p>
            <w:pPr>
              <w:ind w:left="120"/>
              <w:spacing w:after="0"/>
              <w:rPr>
                <w:sz w:val="20"/>
                <w:szCs w:val="20"/>
                <w:color w:val="auto"/>
              </w:rPr>
            </w:pPr>
            <w:r>
              <w:rPr>
                <w:rFonts w:ascii="Arial" w:cs="Arial" w:eastAsia="Arial" w:hAnsi="Arial"/>
                <w:sz w:val="18"/>
                <w:szCs w:val="18"/>
                <w:color w:val="auto"/>
              </w:rPr>
              <w:t>Jiangxi Tuohong New Raw Material*</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5340" w:type="dxa"/>
            <w:vAlign w:val="bottom"/>
          </w:tcPr>
          <w:p>
            <w:pPr>
              <w:ind w:left="120"/>
              <w:spacing w:after="0"/>
              <w:rPr>
                <w:sz w:val="20"/>
                <w:szCs w:val="20"/>
                <w:color w:val="auto"/>
              </w:rPr>
            </w:pPr>
            <w:r>
              <w:rPr>
                <w:rFonts w:ascii="Arial" w:cs="Arial" w:eastAsia="Arial" w:hAnsi="Arial"/>
                <w:sz w:val="18"/>
                <w:szCs w:val="18"/>
                <w:color w:val="auto"/>
              </w:rPr>
              <w:t>Jiujiang Tanbre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106.</w:t>
            </w:r>
          </w:p>
        </w:tc>
        <w:tc>
          <w:tcPr>
            <w:tcW w:w="5340" w:type="dxa"/>
            <w:vAlign w:val="bottom"/>
          </w:tcPr>
          <w:p>
            <w:pPr>
              <w:ind w:left="120"/>
              <w:spacing w:after="0"/>
              <w:rPr>
                <w:sz w:val="20"/>
                <w:szCs w:val="20"/>
                <w:color w:val="auto"/>
              </w:rPr>
            </w:pPr>
            <w:r>
              <w:rPr>
                <w:rFonts w:ascii="Arial" w:cs="Arial" w:eastAsia="Arial" w:hAnsi="Arial"/>
                <w:sz w:val="18"/>
                <w:szCs w:val="18"/>
                <w:color w:val="auto"/>
              </w:rPr>
              <w:t>KEMET de Mexico*</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MEXICO</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Materion Newton Inc. *</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108.</w:t>
            </w:r>
          </w:p>
        </w:tc>
        <w:tc>
          <w:tcPr>
            <w:tcW w:w="5340" w:type="dxa"/>
            <w:vAlign w:val="bottom"/>
          </w:tcPr>
          <w:p>
            <w:pPr>
              <w:ind w:left="120"/>
              <w:spacing w:after="0"/>
              <w:rPr>
                <w:sz w:val="20"/>
                <w:szCs w:val="20"/>
                <w:color w:val="auto"/>
              </w:rPr>
            </w:pPr>
            <w:r>
              <w:rPr>
                <w:rFonts w:ascii="Arial" w:cs="Arial" w:eastAsia="Arial" w:hAnsi="Arial"/>
                <w:sz w:val="18"/>
                <w:szCs w:val="18"/>
                <w:color w:val="auto"/>
              </w:rPr>
              <w:t>Metallurgical Products India Pvt., Ltd. *</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INDIA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Mineração Taboca S.A.*</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110.</w:t>
            </w:r>
          </w:p>
        </w:tc>
        <w:tc>
          <w:tcPr>
            <w:tcW w:w="5340" w:type="dxa"/>
            <w:vAlign w:val="bottom"/>
          </w:tcPr>
          <w:p>
            <w:pPr>
              <w:ind w:left="120"/>
              <w:spacing w:after="0"/>
              <w:rPr>
                <w:sz w:val="20"/>
                <w:szCs w:val="20"/>
                <w:color w:val="auto"/>
              </w:rPr>
            </w:pPr>
            <w:r>
              <w:rPr>
                <w:rFonts w:ascii="Arial" w:cs="Arial" w:eastAsia="Arial" w:hAnsi="Arial"/>
                <w:sz w:val="18"/>
                <w:szCs w:val="18"/>
                <w:color w:val="auto"/>
              </w:rPr>
              <w:t>Mitsui Mining and Smelting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Ningxia Orient Tantalum Industry Co., Ltd.*</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112.</w:t>
            </w:r>
          </w:p>
        </w:tc>
        <w:tc>
          <w:tcPr>
            <w:tcW w:w="5340" w:type="dxa"/>
            <w:vAlign w:val="bottom"/>
          </w:tcPr>
          <w:p>
            <w:pPr>
              <w:ind w:left="120"/>
              <w:spacing w:after="0"/>
              <w:rPr>
                <w:sz w:val="20"/>
                <w:szCs w:val="20"/>
                <w:color w:val="auto"/>
              </w:rPr>
            </w:pPr>
            <w:r>
              <w:rPr>
                <w:rFonts w:ascii="Arial" w:cs="Arial" w:eastAsia="Arial" w:hAnsi="Arial"/>
                <w:sz w:val="18"/>
                <w:szCs w:val="18"/>
                <w:color w:val="auto"/>
              </w:rPr>
              <w:t>NPM Silmet AS*</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ESTONIA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QSIL Metals Hermsdorf GmbH*</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114.</w:t>
            </w:r>
          </w:p>
        </w:tc>
        <w:tc>
          <w:tcPr>
            <w:tcW w:w="5340" w:type="dxa"/>
            <w:vAlign w:val="bottom"/>
          </w:tcPr>
          <w:p>
            <w:pPr>
              <w:ind w:left="120"/>
              <w:spacing w:after="0"/>
              <w:rPr>
                <w:sz w:val="20"/>
                <w:szCs w:val="20"/>
                <w:color w:val="auto"/>
              </w:rPr>
            </w:pPr>
            <w:r>
              <w:rPr>
                <w:rFonts w:ascii="Arial" w:cs="Arial" w:eastAsia="Arial" w:hAnsi="Arial"/>
                <w:sz w:val="18"/>
                <w:szCs w:val="18"/>
                <w:color w:val="auto"/>
              </w:rPr>
              <w:t>QuantumClean*</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STATES</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115.</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Resind Indústria e Comércio Ltda.*</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116.</w:t>
            </w:r>
          </w:p>
        </w:tc>
        <w:tc>
          <w:tcPr>
            <w:tcW w:w="5340" w:type="dxa"/>
            <w:vAlign w:val="bottom"/>
          </w:tcPr>
          <w:p>
            <w:pPr>
              <w:ind w:left="120"/>
              <w:spacing w:after="0"/>
              <w:rPr>
                <w:sz w:val="20"/>
                <w:szCs w:val="20"/>
                <w:color w:val="auto"/>
              </w:rPr>
            </w:pPr>
            <w:r>
              <w:rPr>
                <w:rFonts w:ascii="Arial" w:cs="Arial" w:eastAsia="Arial" w:hAnsi="Arial"/>
                <w:sz w:val="18"/>
                <w:szCs w:val="18"/>
                <w:color w:val="auto"/>
              </w:rPr>
              <w:t>RFH Yancheng Jinye New Material Technology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Taki Chemical Co., Ltd.*</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118.</w:t>
            </w:r>
          </w:p>
        </w:tc>
        <w:tc>
          <w:tcPr>
            <w:tcW w:w="5340" w:type="dxa"/>
            <w:vAlign w:val="bottom"/>
          </w:tcPr>
          <w:p>
            <w:pPr>
              <w:ind w:left="120"/>
              <w:spacing w:after="0"/>
              <w:rPr>
                <w:sz w:val="20"/>
                <w:szCs w:val="20"/>
                <w:color w:val="auto"/>
              </w:rPr>
            </w:pPr>
            <w:r>
              <w:rPr>
                <w:rFonts w:ascii="Arial" w:cs="Arial" w:eastAsia="Arial" w:hAnsi="Arial"/>
                <w:sz w:val="18"/>
                <w:szCs w:val="18"/>
                <w:color w:val="auto"/>
              </w:rPr>
              <w:t>TANIOBIS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THAILAND</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TANIOBIS GmbH*</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120.</w:t>
            </w:r>
          </w:p>
        </w:tc>
        <w:tc>
          <w:tcPr>
            <w:tcW w:w="5340" w:type="dxa"/>
            <w:vAlign w:val="bottom"/>
          </w:tcPr>
          <w:p>
            <w:pPr>
              <w:ind w:left="120"/>
              <w:spacing w:after="0"/>
              <w:rPr>
                <w:sz w:val="20"/>
                <w:szCs w:val="20"/>
                <w:color w:val="auto"/>
              </w:rPr>
            </w:pPr>
            <w:r>
              <w:rPr>
                <w:rFonts w:ascii="Arial" w:cs="Arial" w:eastAsia="Arial" w:hAnsi="Arial"/>
                <w:sz w:val="18"/>
                <w:szCs w:val="18"/>
                <w:color w:val="auto"/>
              </w:rPr>
              <w:t>TANIOBIS Japan Co., Ltd.*</w:t>
            </w:r>
          </w:p>
        </w:tc>
        <w:tc>
          <w:tcPr>
            <w:tcW w:w="2180" w:type="dxa"/>
            <w:vAlign w:val="bottom"/>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TANIOBIS Smelting GmbH &amp; Co. KG*</w:t>
            </w:r>
          </w:p>
        </w:tc>
        <w:tc>
          <w:tcPr>
            <w:tcW w:w="2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r>
    </w:tbl>
    <w:p>
      <w:pPr>
        <w:ind w:left="420"/>
        <w:spacing w:after="0"/>
        <w:rPr>
          <w:sz w:val="20"/>
          <w:szCs w:val="20"/>
          <w:color w:val="auto"/>
        </w:rPr>
        <w:sectPr>
          <w:pgSz w:w="11900" w:h="16838" w:orient="portrait"/>
          <w:cols w:equalWidth="0" w:num="1">
            <w:col w:w="11020"/>
          </w:cols>
          <w:pgMar w:left="440" w:top="612" w:right="439" w:bottom="906"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20"/>
          </w:cols>
          <w:pgMar w:left="440" w:top="612" w:right="439" w:bottom="90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122.</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Telex Metals*</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123.</w:t>
            </w:r>
          </w:p>
        </w:tc>
        <w:tc>
          <w:tcPr>
            <w:tcW w:w="5700" w:type="dxa"/>
            <w:vAlign w:val="bottom"/>
          </w:tcPr>
          <w:p>
            <w:pPr>
              <w:ind w:left="120"/>
              <w:spacing w:after="0"/>
              <w:rPr>
                <w:sz w:val="20"/>
                <w:szCs w:val="20"/>
                <w:color w:val="auto"/>
              </w:rPr>
            </w:pPr>
            <w:r>
              <w:rPr>
                <w:rFonts w:ascii="Arial" w:cs="Arial" w:eastAsia="Arial" w:hAnsi="Arial"/>
                <w:sz w:val="18"/>
                <w:szCs w:val="18"/>
                <w:color w:val="auto"/>
              </w:rPr>
              <w:t>Ulba Metallurgical Plant JSC*</w:t>
            </w:r>
          </w:p>
        </w:tc>
        <w:tc>
          <w:tcPr>
            <w:tcW w:w="1820" w:type="dxa"/>
            <w:vAlign w:val="bottom"/>
          </w:tcPr>
          <w:p>
            <w:pPr>
              <w:ind w:left="70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KAZAKHSTAN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124.</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XIMEI RESOURCES (GUANGDONG) LIMITED*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125.</w:t>
            </w:r>
          </w:p>
        </w:tc>
        <w:tc>
          <w:tcPr>
            <w:tcW w:w="5700" w:type="dxa"/>
            <w:vAlign w:val="bottom"/>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1820" w:type="dxa"/>
            <w:vAlign w:val="bottom"/>
          </w:tcPr>
          <w:p>
            <w:pPr>
              <w:ind w:left="700"/>
              <w:spacing w:after="0"/>
              <w:rPr>
                <w:sz w:val="20"/>
                <w:szCs w:val="20"/>
                <w:color w:val="auto"/>
              </w:rPr>
            </w:pPr>
            <w:r>
              <w:rPr>
                <w:rFonts w:ascii="Arial" w:cs="Arial" w:eastAsia="Arial" w:hAnsi="Arial"/>
                <w:sz w:val="18"/>
                <w:szCs w:val="18"/>
                <w:color w:val="auto"/>
              </w:rPr>
              <w:t>Tantalum</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126.</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Yanling Jincheng Tantalum * Niobium Co., Ltd. *</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Tantalum</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127.</w:t>
            </w:r>
          </w:p>
        </w:tc>
        <w:tc>
          <w:tcPr>
            <w:tcW w:w="5700" w:type="dxa"/>
            <w:vAlign w:val="bottom"/>
          </w:tcPr>
          <w:p>
            <w:pPr>
              <w:ind w:left="120"/>
              <w:spacing w:after="0"/>
              <w:rPr>
                <w:sz w:val="20"/>
                <w:szCs w:val="20"/>
                <w:color w:val="auto"/>
              </w:rPr>
            </w:pPr>
            <w:r>
              <w:rPr>
                <w:rFonts w:ascii="Arial" w:cs="Arial" w:eastAsia="Arial" w:hAnsi="Arial"/>
                <w:sz w:val="18"/>
                <w:szCs w:val="18"/>
                <w:color w:val="auto"/>
              </w:rPr>
              <w:t>8853 S.p.A. *</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ITALY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128.</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Chemical Company*</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129.</w:t>
            </w:r>
          </w:p>
        </w:tc>
        <w:tc>
          <w:tcPr>
            <w:tcW w:w="5700" w:type="dxa"/>
            <w:vAlign w:val="bottom"/>
          </w:tcPr>
          <w:p>
            <w:pPr>
              <w:ind w:left="120"/>
              <w:spacing w:after="0"/>
              <w:rPr>
                <w:sz w:val="20"/>
                <w:szCs w:val="20"/>
                <w:color w:val="auto"/>
              </w:rPr>
            </w:pPr>
            <w:r>
              <w:rPr>
                <w:rFonts w:ascii="Arial" w:cs="Arial" w:eastAsia="Arial" w:hAnsi="Arial"/>
                <w:sz w:val="18"/>
                <w:szCs w:val="18"/>
                <w:color w:val="auto"/>
              </w:rPr>
              <w:t>Agosi AG*</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130.</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Aida Chemical Industries Co.,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131.</w:t>
            </w:r>
          </w:p>
        </w:tc>
        <w:tc>
          <w:tcPr>
            <w:tcW w:w="5700" w:type="dxa"/>
            <w:vAlign w:val="bottom"/>
          </w:tcPr>
          <w:p>
            <w:pPr>
              <w:ind w:left="120"/>
              <w:spacing w:after="0"/>
              <w:rPr>
                <w:sz w:val="20"/>
                <w:szCs w:val="20"/>
                <w:color w:val="auto"/>
              </w:rPr>
            </w:pPr>
            <w:r>
              <w:rPr>
                <w:rFonts w:ascii="Arial" w:cs="Arial" w:eastAsia="Arial" w:hAnsi="Arial"/>
                <w:sz w:val="18"/>
                <w:szCs w:val="18"/>
                <w:color w:val="auto"/>
              </w:rPr>
              <w:t>Al Etihad Gold Refinery DMCC*</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ARAB EMIRATES</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132.</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Almalyk Mining and Metallurgical Complex (AMMC)*</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UZBEKISTAN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133.</w:t>
            </w:r>
          </w:p>
        </w:tc>
        <w:tc>
          <w:tcPr>
            <w:tcW w:w="5700" w:type="dxa"/>
            <w:vAlign w:val="bottom"/>
          </w:tcPr>
          <w:p>
            <w:pPr>
              <w:ind w:left="120"/>
              <w:spacing w:after="0"/>
              <w:rPr>
                <w:sz w:val="20"/>
                <w:szCs w:val="20"/>
                <w:color w:val="auto"/>
              </w:rPr>
            </w:pPr>
            <w:r>
              <w:rPr>
                <w:rFonts w:ascii="Arial" w:cs="Arial" w:eastAsia="Arial" w:hAnsi="Arial"/>
                <w:sz w:val="18"/>
                <w:szCs w:val="18"/>
                <w:color w:val="auto"/>
              </w:rPr>
              <w:t>AngloGold Ashanti Córrego do Sítio Mineração*</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BRAZIL</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134.</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Argor-Heraeus S.A.*</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SWITZERLAND</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135.</w:t>
            </w:r>
          </w:p>
        </w:tc>
        <w:tc>
          <w:tcPr>
            <w:tcW w:w="5700" w:type="dxa"/>
            <w:vAlign w:val="bottom"/>
          </w:tcPr>
          <w:p>
            <w:pPr>
              <w:ind w:left="120"/>
              <w:spacing w:after="0"/>
              <w:rPr>
                <w:sz w:val="20"/>
                <w:szCs w:val="20"/>
                <w:color w:val="auto"/>
              </w:rPr>
            </w:pPr>
            <w:r>
              <w:rPr>
                <w:rFonts w:ascii="Arial" w:cs="Arial" w:eastAsia="Arial" w:hAnsi="Arial"/>
                <w:sz w:val="18"/>
                <w:szCs w:val="18"/>
                <w:color w:val="auto"/>
              </w:rPr>
              <w:t>Asahi Pretec Corp.*</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136.</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Asahi Refining Canada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137.</w:t>
            </w:r>
          </w:p>
        </w:tc>
        <w:tc>
          <w:tcPr>
            <w:tcW w:w="5700" w:type="dxa"/>
            <w:vAlign w:val="bottom"/>
          </w:tcPr>
          <w:p>
            <w:pPr>
              <w:ind w:left="120"/>
              <w:spacing w:after="0"/>
              <w:rPr>
                <w:sz w:val="20"/>
                <w:szCs w:val="20"/>
                <w:color w:val="auto"/>
              </w:rPr>
            </w:pPr>
            <w:r>
              <w:rPr>
                <w:rFonts w:ascii="Arial" w:cs="Arial" w:eastAsia="Arial" w:hAnsi="Arial"/>
                <w:sz w:val="18"/>
                <w:szCs w:val="18"/>
                <w:color w:val="auto"/>
              </w:rPr>
              <w:t>Asahi Refining USA Inc.*</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STATES</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138.</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Asaka Riken Co.,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139.</w:t>
            </w:r>
          </w:p>
        </w:tc>
        <w:tc>
          <w:tcPr>
            <w:tcW w:w="5700" w:type="dxa"/>
            <w:vAlign w:val="bottom"/>
          </w:tcPr>
          <w:p>
            <w:pPr>
              <w:ind w:left="120"/>
              <w:spacing w:after="0"/>
              <w:rPr>
                <w:sz w:val="20"/>
                <w:szCs w:val="20"/>
                <w:color w:val="auto"/>
              </w:rPr>
            </w:pPr>
            <w:r>
              <w:rPr>
                <w:rFonts w:ascii="Arial" w:cs="Arial" w:eastAsia="Arial" w:hAnsi="Arial"/>
                <w:sz w:val="18"/>
                <w:szCs w:val="18"/>
                <w:color w:val="auto"/>
              </w:rPr>
              <w:t>Aurubis AG*</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140.</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Bangalore Refinery*</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141.</w:t>
            </w:r>
          </w:p>
        </w:tc>
        <w:tc>
          <w:tcPr>
            <w:tcW w:w="5700" w:type="dxa"/>
            <w:vAlign w:val="bottom"/>
          </w:tcPr>
          <w:p>
            <w:pPr>
              <w:ind w:left="120"/>
              <w:spacing w:after="0"/>
              <w:rPr>
                <w:sz w:val="20"/>
                <w:szCs w:val="20"/>
                <w:color w:val="auto"/>
              </w:rPr>
            </w:pPr>
            <w:r>
              <w:rPr>
                <w:rFonts w:ascii="Arial" w:cs="Arial" w:eastAsia="Arial" w:hAnsi="Arial"/>
                <w:sz w:val="18"/>
                <w:szCs w:val="18"/>
                <w:color w:val="auto"/>
              </w:rPr>
              <w:t>Bangko Sentral ng Pilipinas (Central Bank of the Philippines)*</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PHILIPPINES</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142.</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Boliden AB*</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SWEDEN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143.</w:t>
            </w:r>
          </w:p>
        </w:tc>
        <w:tc>
          <w:tcPr>
            <w:tcW w:w="5700" w:type="dxa"/>
            <w:vAlign w:val="bottom"/>
          </w:tcPr>
          <w:p>
            <w:pPr>
              <w:ind w:left="120"/>
              <w:spacing w:after="0"/>
              <w:rPr>
                <w:sz w:val="20"/>
                <w:szCs w:val="20"/>
                <w:color w:val="auto"/>
              </w:rPr>
            </w:pPr>
            <w:r>
              <w:rPr>
                <w:rFonts w:ascii="Arial" w:cs="Arial" w:eastAsia="Arial" w:hAnsi="Arial"/>
                <w:sz w:val="18"/>
                <w:szCs w:val="18"/>
                <w:color w:val="auto"/>
              </w:rPr>
              <w:t>C. Hafner GmbH + Co. KG*</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144.</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CCR Refinery - Glencore Canada Corporation*</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145.</w:t>
            </w:r>
          </w:p>
        </w:tc>
        <w:tc>
          <w:tcPr>
            <w:tcW w:w="5700" w:type="dxa"/>
            <w:vAlign w:val="bottom"/>
          </w:tcPr>
          <w:p>
            <w:pPr>
              <w:ind w:left="120"/>
              <w:spacing w:after="0"/>
              <w:rPr>
                <w:sz w:val="20"/>
                <w:szCs w:val="20"/>
                <w:color w:val="auto"/>
              </w:rPr>
            </w:pPr>
            <w:r>
              <w:rPr>
                <w:rFonts w:ascii="Arial" w:cs="Arial" w:eastAsia="Arial" w:hAnsi="Arial"/>
                <w:sz w:val="18"/>
                <w:szCs w:val="18"/>
                <w:color w:val="auto"/>
              </w:rPr>
              <w:t>Cendres + Metaux S.A. *</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SWITZERLAND</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146.</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Chimet S.p.A.*</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147.</w:t>
            </w:r>
          </w:p>
        </w:tc>
        <w:tc>
          <w:tcPr>
            <w:tcW w:w="5700" w:type="dxa"/>
            <w:vAlign w:val="bottom"/>
          </w:tcPr>
          <w:p>
            <w:pPr>
              <w:ind w:left="120"/>
              <w:spacing w:after="0"/>
              <w:rPr>
                <w:sz w:val="20"/>
                <w:szCs w:val="20"/>
                <w:color w:val="auto"/>
              </w:rPr>
            </w:pPr>
            <w:r>
              <w:rPr>
                <w:rFonts w:ascii="Arial" w:cs="Arial" w:eastAsia="Arial" w:hAnsi="Arial"/>
                <w:sz w:val="18"/>
                <w:szCs w:val="18"/>
                <w:color w:val="auto"/>
              </w:rPr>
              <w:t>Chugai Mining*</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148.</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Dowa*</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149.</w:t>
            </w:r>
          </w:p>
        </w:tc>
        <w:tc>
          <w:tcPr>
            <w:tcW w:w="5700" w:type="dxa"/>
            <w:vAlign w:val="bottom"/>
          </w:tcPr>
          <w:p>
            <w:pPr>
              <w:ind w:left="120"/>
              <w:spacing w:after="0"/>
              <w:rPr>
                <w:sz w:val="20"/>
                <w:szCs w:val="20"/>
                <w:color w:val="auto"/>
              </w:rPr>
            </w:pPr>
            <w:r>
              <w:rPr>
                <w:rFonts w:ascii="Arial" w:cs="Arial" w:eastAsia="Arial" w:hAnsi="Arial"/>
                <w:sz w:val="18"/>
                <w:szCs w:val="18"/>
                <w:color w:val="auto"/>
              </w:rPr>
              <w:t>DSC (Do Sung Corporation)*</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KOREA (REPUBLIC OF)</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150.</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Eco-System Recycling Co., Ltd. East Plant*</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151.</w:t>
            </w:r>
          </w:p>
        </w:tc>
        <w:tc>
          <w:tcPr>
            <w:tcW w:w="5700" w:type="dxa"/>
            <w:vAlign w:val="bottom"/>
          </w:tcPr>
          <w:p>
            <w:pPr>
              <w:ind w:left="120"/>
              <w:spacing w:after="0"/>
              <w:rPr>
                <w:sz w:val="20"/>
                <w:szCs w:val="20"/>
                <w:color w:val="auto"/>
              </w:rPr>
            </w:pPr>
            <w:r>
              <w:rPr>
                <w:rFonts w:ascii="Arial" w:cs="Arial" w:eastAsia="Arial" w:hAnsi="Arial"/>
                <w:sz w:val="18"/>
                <w:szCs w:val="18"/>
                <w:color w:val="auto"/>
              </w:rPr>
              <w:t>Eco-System Recycling Co., Ltd. North Plant*</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152.</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Eco-System Recycling Co., Ltd. West Plant*</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153.</w:t>
            </w:r>
          </w:p>
        </w:tc>
        <w:tc>
          <w:tcPr>
            <w:tcW w:w="5700" w:type="dxa"/>
            <w:vAlign w:val="bottom"/>
          </w:tcPr>
          <w:p>
            <w:pPr>
              <w:ind w:left="120"/>
              <w:spacing w:after="0"/>
              <w:rPr>
                <w:sz w:val="20"/>
                <w:szCs w:val="20"/>
                <w:color w:val="auto"/>
              </w:rPr>
            </w:pPr>
            <w:r>
              <w:rPr>
                <w:rFonts w:ascii="Arial" w:cs="Arial" w:eastAsia="Arial" w:hAnsi="Arial"/>
                <w:sz w:val="18"/>
                <w:szCs w:val="18"/>
                <w:color w:val="auto"/>
              </w:rPr>
              <w:t>Emirates Gold DMCC*</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ARAB EMIRATES</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154.</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Geib Refining Corporation*</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155.</w:t>
            </w:r>
          </w:p>
        </w:tc>
        <w:tc>
          <w:tcPr>
            <w:tcW w:w="5700" w:type="dxa"/>
            <w:vAlign w:val="bottom"/>
          </w:tcPr>
          <w:p>
            <w:pPr>
              <w:ind w:left="120"/>
              <w:spacing w:after="0"/>
              <w:rPr>
                <w:sz w:val="20"/>
                <w:szCs w:val="20"/>
                <w:color w:val="auto"/>
              </w:rPr>
            </w:pPr>
            <w:r>
              <w:rPr>
                <w:rFonts w:ascii="Arial" w:cs="Arial" w:eastAsia="Arial" w:hAnsi="Arial"/>
                <w:sz w:val="18"/>
                <w:szCs w:val="18"/>
                <w:color w:val="auto"/>
              </w:rPr>
              <w:t>Gold Refinery of Zijin Mining Group Co., Ltd.*</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156.</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Heimerle + Meule GmbH*</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157.</w:t>
            </w:r>
          </w:p>
        </w:tc>
        <w:tc>
          <w:tcPr>
            <w:tcW w:w="5700" w:type="dxa"/>
            <w:vAlign w:val="bottom"/>
          </w:tcPr>
          <w:p>
            <w:pPr>
              <w:ind w:left="120"/>
              <w:spacing w:after="0"/>
              <w:rPr>
                <w:sz w:val="20"/>
                <w:szCs w:val="20"/>
                <w:color w:val="auto"/>
              </w:rPr>
            </w:pPr>
            <w:r>
              <w:rPr>
                <w:rFonts w:ascii="Arial" w:cs="Arial" w:eastAsia="Arial" w:hAnsi="Arial"/>
                <w:sz w:val="18"/>
                <w:szCs w:val="18"/>
                <w:color w:val="auto"/>
              </w:rPr>
              <w:t>Heraeus Germany GmbH Co. KG*</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158.</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Heraeus Metals Hong Kong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159.</w:t>
            </w:r>
          </w:p>
        </w:tc>
        <w:tc>
          <w:tcPr>
            <w:tcW w:w="5700" w:type="dxa"/>
            <w:vAlign w:val="bottom"/>
          </w:tcPr>
          <w:p>
            <w:pPr>
              <w:ind w:left="120"/>
              <w:spacing w:after="0"/>
              <w:rPr>
                <w:sz w:val="20"/>
                <w:szCs w:val="20"/>
                <w:color w:val="auto"/>
              </w:rPr>
            </w:pPr>
            <w:r>
              <w:rPr>
                <w:rFonts w:ascii="Arial" w:cs="Arial" w:eastAsia="Arial" w:hAnsi="Arial"/>
                <w:sz w:val="18"/>
                <w:szCs w:val="18"/>
                <w:color w:val="auto"/>
              </w:rPr>
              <w:t>Inner Mongolia Qiankun Gold and Silver Refinery Share Co., Ltd.*</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160.</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Ishifuku Metal Industry Co.,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161.</w:t>
            </w:r>
          </w:p>
        </w:tc>
        <w:tc>
          <w:tcPr>
            <w:tcW w:w="5700" w:type="dxa"/>
            <w:vAlign w:val="bottom"/>
          </w:tcPr>
          <w:p>
            <w:pPr>
              <w:ind w:left="120"/>
              <w:spacing w:after="0"/>
              <w:rPr>
                <w:sz w:val="20"/>
                <w:szCs w:val="20"/>
                <w:color w:val="auto"/>
              </w:rPr>
            </w:pPr>
            <w:r>
              <w:rPr>
                <w:rFonts w:ascii="Arial" w:cs="Arial" w:eastAsia="Arial" w:hAnsi="Arial"/>
                <w:sz w:val="18"/>
                <w:szCs w:val="18"/>
                <w:color w:val="auto"/>
              </w:rPr>
              <w:t>Istanbul Gold Refinery*</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TURKEY</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162.</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Italpreziosi*</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163.</w:t>
            </w:r>
          </w:p>
        </w:tc>
        <w:tc>
          <w:tcPr>
            <w:tcW w:w="5700" w:type="dxa"/>
            <w:vAlign w:val="bottom"/>
          </w:tcPr>
          <w:p>
            <w:pPr>
              <w:ind w:left="120"/>
              <w:spacing w:after="0"/>
              <w:rPr>
                <w:sz w:val="20"/>
                <w:szCs w:val="20"/>
                <w:color w:val="auto"/>
              </w:rPr>
            </w:pPr>
            <w:r>
              <w:rPr>
                <w:rFonts w:ascii="Arial" w:cs="Arial" w:eastAsia="Arial" w:hAnsi="Arial"/>
                <w:sz w:val="18"/>
                <w:szCs w:val="18"/>
                <w:color w:val="auto"/>
              </w:rPr>
              <w:t>Japan Mint*</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164.</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Jiangxi Copper Co., Ltd.*</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165.</w:t>
            </w:r>
          </w:p>
        </w:tc>
        <w:tc>
          <w:tcPr>
            <w:tcW w:w="5700" w:type="dxa"/>
            <w:vAlign w:val="bottom"/>
          </w:tcPr>
          <w:p>
            <w:pPr>
              <w:ind w:left="120"/>
              <w:spacing w:after="0"/>
              <w:rPr>
                <w:sz w:val="20"/>
                <w:szCs w:val="20"/>
                <w:color w:val="auto"/>
              </w:rPr>
            </w:pPr>
            <w:r>
              <w:rPr>
                <w:rFonts w:ascii="Arial" w:cs="Arial" w:eastAsia="Arial" w:hAnsi="Arial"/>
                <w:sz w:val="18"/>
                <w:szCs w:val="18"/>
                <w:color w:val="auto"/>
              </w:rPr>
              <w:t>JX Nippon Mining &amp; Metals Co., Ltd.*</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166.</w:t>
            </w: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Kazzinc*</w:t>
            </w:r>
          </w:p>
        </w:tc>
        <w:tc>
          <w:tcPr>
            <w:tcW w:w="1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KAZAKHSTAN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167.</w:t>
            </w:r>
          </w:p>
        </w:tc>
        <w:tc>
          <w:tcPr>
            <w:tcW w:w="5700" w:type="dxa"/>
            <w:vAlign w:val="bottom"/>
          </w:tcPr>
          <w:p>
            <w:pPr>
              <w:ind w:left="120"/>
              <w:spacing w:after="0"/>
              <w:rPr>
                <w:sz w:val="20"/>
                <w:szCs w:val="20"/>
                <w:color w:val="auto"/>
              </w:rPr>
            </w:pPr>
            <w:r>
              <w:rPr>
                <w:rFonts w:ascii="Arial" w:cs="Arial" w:eastAsia="Arial" w:hAnsi="Arial"/>
                <w:sz w:val="18"/>
                <w:szCs w:val="18"/>
                <w:color w:val="auto"/>
              </w:rPr>
              <w:t>Kennecott Utah Copper LLC*</w:t>
            </w:r>
          </w:p>
        </w:tc>
        <w:tc>
          <w:tcPr>
            <w:tcW w:w="1820" w:type="dxa"/>
            <w:vAlign w:val="bottom"/>
          </w:tcPr>
          <w:p>
            <w:pPr>
              <w:ind w:left="700"/>
              <w:spacing w:after="0"/>
              <w:rPr>
                <w:sz w:val="20"/>
                <w:szCs w:val="20"/>
                <w:color w:val="auto"/>
              </w:rPr>
            </w:pPr>
            <w:r>
              <w:rPr>
                <w:rFonts w:ascii="Arial" w:cs="Arial" w:eastAsia="Arial" w:hAnsi="Arial"/>
                <w:sz w:val="18"/>
                <w:szCs w:val="18"/>
                <w:color w:val="auto"/>
              </w:rPr>
              <w:t>Gold</w:t>
            </w:r>
          </w:p>
        </w:tc>
        <w:tc>
          <w:tcPr>
            <w:tcW w:w="3080" w:type="dxa"/>
            <w:vAlign w:val="bottom"/>
          </w:tcPr>
          <w:p>
            <w:pPr>
              <w:ind w:left="420"/>
              <w:spacing w:after="0"/>
              <w:rPr>
                <w:sz w:val="20"/>
                <w:szCs w:val="20"/>
                <w:color w:val="auto"/>
              </w:rPr>
            </w:pPr>
            <w:r>
              <w:rPr>
                <w:rFonts w:ascii="Arial" w:cs="Arial" w:eastAsia="Arial" w:hAnsi="Arial"/>
                <w:sz w:val="18"/>
                <w:szCs w:val="18"/>
                <w:color w:val="auto"/>
              </w:rPr>
              <w:t>UNITED STATES</w:t>
            </w:r>
          </w:p>
        </w:tc>
      </w:tr>
    </w:tbl>
    <w:p>
      <w:pPr>
        <w:ind w:left="420"/>
        <w:spacing w:after="0"/>
        <w:rPr>
          <w:sz w:val="20"/>
          <w:szCs w:val="20"/>
          <w:color w:val="auto"/>
        </w:rPr>
        <w:sectPr>
          <w:pgSz w:w="11900" w:h="16838" w:orient="portrait"/>
          <w:cols w:equalWidth="0" w:num="1">
            <w:col w:w="11020"/>
          </w:cols>
          <w:pgMar w:left="440" w:top="612" w:right="439" w:bottom="582"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20"/>
          </w:cols>
          <w:pgMar w:left="440" w:top="612" w:right="439" w:bottom="582"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168.</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KGHM Polska Miedz Spolka Akcyjna*</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POLAND</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169.</w:t>
            </w:r>
          </w:p>
        </w:tc>
        <w:tc>
          <w:tcPr>
            <w:tcW w:w="5600" w:type="dxa"/>
            <w:vAlign w:val="bottom"/>
          </w:tcPr>
          <w:p>
            <w:pPr>
              <w:ind w:left="120"/>
              <w:spacing w:after="0"/>
              <w:rPr>
                <w:sz w:val="20"/>
                <w:szCs w:val="20"/>
                <w:color w:val="auto"/>
              </w:rPr>
            </w:pPr>
            <w:r>
              <w:rPr>
                <w:rFonts w:ascii="Arial" w:cs="Arial" w:eastAsia="Arial" w:hAnsi="Arial"/>
                <w:sz w:val="18"/>
                <w:szCs w:val="18"/>
                <w:color w:val="auto"/>
              </w:rPr>
              <w:t>Kojima Chemicals Co.,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170.</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 Zinc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KOREA (REPUBLIC OF)</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171.</w:t>
            </w:r>
          </w:p>
        </w:tc>
        <w:tc>
          <w:tcPr>
            <w:tcW w:w="5600" w:type="dxa"/>
            <w:vAlign w:val="bottom"/>
          </w:tcPr>
          <w:p>
            <w:pPr>
              <w:ind w:left="120"/>
              <w:spacing w:after="0"/>
              <w:rPr>
                <w:sz w:val="20"/>
                <w:szCs w:val="20"/>
                <w:color w:val="auto"/>
              </w:rPr>
            </w:pPr>
            <w:r>
              <w:rPr>
                <w:rFonts w:ascii="Arial" w:cs="Arial" w:eastAsia="Arial" w:hAnsi="Arial"/>
                <w:sz w:val="18"/>
                <w:szCs w:val="18"/>
                <w:color w:val="auto"/>
              </w:rPr>
              <w:t>L’Orfebre S.A.*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ANDORRA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172.</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LS-NIKKO Copper Inc.*</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KOREA (REPUBLIC OF)</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173.</w:t>
            </w:r>
          </w:p>
        </w:tc>
        <w:tc>
          <w:tcPr>
            <w:tcW w:w="5600" w:type="dxa"/>
            <w:vAlign w:val="bottom"/>
          </w:tcPr>
          <w:p>
            <w:pPr>
              <w:ind w:left="120"/>
              <w:spacing w:after="0"/>
              <w:rPr>
                <w:sz w:val="20"/>
                <w:szCs w:val="20"/>
                <w:color w:val="auto"/>
              </w:rPr>
            </w:pPr>
            <w:r>
              <w:rPr>
                <w:rFonts w:ascii="Arial" w:cs="Arial" w:eastAsia="Arial" w:hAnsi="Arial"/>
                <w:sz w:val="18"/>
                <w:szCs w:val="18"/>
                <w:color w:val="auto"/>
              </w:rPr>
              <w:t>LT Metal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KOREA (REPUBLIC OF)</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174.</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Materion*</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UNITED STATES</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175.</w:t>
            </w:r>
          </w:p>
        </w:tc>
        <w:tc>
          <w:tcPr>
            <w:tcW w:w="5600" w:type="dxa"/>
            <w:vAlign w:val="bottom"/>
          </w:tcPr>
          <w:p>
            <w:pPr>
              <w:ind w:left="120"/>
              <w:spacing w:after="0"/>
              <w:rPr>
                <w:sz w:val="20"/>
                <w:szCs w:val="20"/>
                <w:color w:val="auto"/>
              </w:rPr>
            </w:pPr>
            <w:r>
              <w:rPr>
                <w:rFonts w:ascii="Arial" w:cs="Arial" w:eastAsia="Arial" w:hAnsi="Arial"/>
                <w:sz w:val="18"/>
                <w:szCs w:val="18"/>
                <w:color w:val="auto"/>
              </w:rPr>
              <w:t>Matsuda Sangyo Co.,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176.</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 Concentrators SA (Pty)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SOUTH AFRICA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177.</w:t>
            </w:r>
          </w:p>
        </w:tc>
        <w:tc>
          <w:tcPr>
            <w:tcW w:w="5600" w:type="dxa"/>
            <w:vAlign w:val="bottom"/>
          </w:tcPr>
          <w:p>
            <w:pPr>
              <w:ind w:left="120"/>
              <w:spacing w:after="0"/>
              <w:rPr>
                <w:sz w:val="20"/>
                <w:szCs w:val="20"/>
                <w:color w:val="auto"/>
              </w:rPr>
            </w:pPr>
            <w:r>
              <w:rPr>
                <w:rFonts w:ascii="Arial" w:cs="Arial" w:eastAsia="Arial" w:hAnsi="Arial"/>
                <w:sz w:val="18"/>
                <w:szCs w:val="18"/>
                <w:color w:val="auto"/>
              </w:rPr>
              <w:t>Metalor Technologies (Hong Kong)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178.</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SINGAPORE</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179.</w:t>
            </w:r>
          </w:p>
        </w:tc>
        <w:tc>
          <w:tcPr>
            <w:tcW w:w="5600" w:type="dxa"/>
            <w:vAlign w:val="bottom"/>
          </w:tcPr>
          <w:p>
            <w:pPr>
              <w:ind w:left="120"/>
              <w:spacing w:after="0"/>
              <w:rPr>
                <w:sz w:val="20"/>
                <w:szCs w:val="20"/>
                <w:color w:val="auto"/>
              </w:rPr>
            </w:pPr>
            <w:r>
              <w:rPr>
                <w:rFonts w:ascii="Arial" w:cs="Arial" w:eastAsia="Arial" w:hAnsi="Arial"/>
                <w:sz w:val="18"/>
                <w:szCs w:val="18"/>
                <w:color w:val="auto"/>
              </w:rPr>
              <w:t>Metalor Technologies (Suzhou)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180.</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Metalor Technologies S.A.*</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SWITZERLAND</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181.</w:t>
            </w:r>
          </w:p>
        </w:tc>
        <w:tc>
          <w:tcPr>
            <w:tcW w:w="5600" w:type="dxa"/>
            <w:vAlign w:val="bottom"/>
          </w:tcPr>
          <w:p>
            <w:pPr>
              <w:ind w:left="120"/>
              <w:spacing w:after="0"/>
              <w:rPr>
                <w:sz w:val="20"/>
                <w:szCs w:val="20"/>
                <w:color w:val="auto"/>
              </w:rPr>
            </w:pPr>
            <w:r>
              <w:rPr>
                <w:rFonts w:ascii="Arial" w:cs="Arial" w:eastAsia="Arial" w:hAnsi="Arial"/>
                <w:sz w:val="18"/>
                <w:szCs w:val="18"/>
                <w:color w:val="auto"/>
              </w:rPr>
              <w:t>Metalor USA Refining Corporation*</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182.</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Metalúrgica Met-Mex Peñoles S.A. De C.V.*</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MEXICO</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183.</w:t>
            </w:r>
          </w:p>
        </w:tc>
        <w:tc>
          <w:tcPr>
            <w:tcW w:w="5600" w:type="dxa"/>
            <w:vAlign w:val="bottom"/>
          </w:tcPr>
          <w:p>
            <w:pPr>
              <w:ind w:left="120"/>
              <w:spacing w:after="0"/>
              <w:rPr>
                <w:sz w:val="20"/>
                <w:szCs w:val="20"/>
                <w:color w:val="auto"/>
              </w:rPr>
            </w:pPr>
            <w:r>
              <w:rPr>
                <w:rFonts w:ascii="Arial" w:cs="Arial" w:eastAsia="Arial" w:hAnsi="Arial"/>
                <w:sz w:val="18"/>
                <w:szCs w:val="18"/>
                <w:color w:val="auto"/>
              </w:rPr>
              <w:t>Mitsubishi Materials Corporation*</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184.</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Mitsui Mining and Smelting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185.</w:t>
            </w:r>
          </w:p>
        </w:tc>
        <w:tc>
          <w:tcPr>
            <w:tcW w:w="5600" w:type="dxa"/>
            <w:vAlign w:val="bottom"/>
          </w:tcPr>
          <w:p>
            <w:pPr>
              <w:ind w:left="120"/>
              <w:spacing w:after="0"/>
              <w:rPr>
                <w:sz w:val="20"/>
                <w:szCs w:val="20"/>
                <w:color w:val="auto"/>
              </w:rPr>
            </w:pPr>
            <w:r>
              <w:rPr>
                <w:rFonts w:ascii="Arial" w:cs="Arial" w:eastAsia="Arial" w:hAnsi="Arial"/>
                <w:sz w:val="18"/>
                <w:szCs w:val="18"/>
                <w:color w:val="auto"/>
              </w:rPr>
              <w:t>MKS PAMP SA*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SWITZERLAND</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186.</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MMTC-PAMP India Pvt.,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INDIA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187.</w:t>
            </w:r>
          </w:p>
        </w:tc>
        <w:tc>
          <w:tcPr>
            <w:tcW w:w="5600" w:type="dxa"/>
            <w:vAlign w:val="bottom"/>
          </w:tcPr>
          <w:p>
            <w:pPr>
              <w:ind w:left="120"/>
              <w:spacing w:after="0"/>
              <w:rPr>
                <w:sz w:val="20"/>
                <w:szCs w:val="20"/>
                <w:color w:val="auto"/>
              </w:rPr>
            </w:pPr>
            <w:r>
              <w:rPr>
                <w:rFonts w:ascii="Arial" w:cs="Arial" w:eastAsia="Arial" w:hAnsi="Arial"/>
                <w:sz w:val="18"/>
                <w:szCs w:val="18"/>
                <w:color w:val="auto"/>
              </w:rPr>
              <w:t>Nadir Metal Rafineri San. Ve Tic. 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TURKEY</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188.</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Navoi Mining and Metallurgical Combinat*</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UZBEKISTAN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189.</w:t>
            </w:r>
          </w:p>
        </w:tc>
        <w:tc>
          <w:tcPr>
            <w:tcW w:w="5600" w:type="dxa"/>
            <w:vAlign w:val="bottom"/>
          </w:tcPr>
          <w:p>
            <w:pPr>
              <w:ind w:left="120"/>
              <w:spacing w:after="0"/>
              <w:rPr>
                <w:sz w:val="20"/>
                <w:szCs w:val="20"/>
                <w:color w:val="auto"/>
              </w:rPr>
            </w:pPr>
            <w:r>
              <w:rPr>
                <w:rFonts w:ascii="Arial" w:cs="Arial" w:eastAsia="Arial" w:hAnsi="Arial"/>
                <w:sz w:val="18"/>
                <w:szCs w:val="18"/>
                <w:color w:val="auto"/>
              </w:rPr>
              <w:t>NH Recytech Company*</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KOREA (REPUBLIC OF)</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190.</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Nihon Material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191.</w:t>
            </w:r>
          </w:p>
        </w:tc>
        <w:tc>
          <w:tcPr>
            <w:tcW w:w="5600" w:type="dxa"/>
            <w:vAlign w:val="bottom"/>
          </w:tcPr>
          <w:p>
            <w:pPr>
              <w:ind w:left="120"/>
              <w:spacing w:after="0"/>
              <w:rPr>
                <w:sz w:val="20"/>
                <w:szCs w:val="20"/>
                <w:color w:val="auto"/>
              </w:rPr>
            </w:pPr>
            <w:r>
              <w:rPr>
                <w:rFonts w:ascii="Arial" w:cs="Arial" w:eastAsia="Arial" w:hAnsi="Arial"/>
                <w:sz w:val="18"/>
                <w:szCs w:val="18"/>
                <w:color w:val="auto"/>
              </w:rPr>
              <w:t>Ögussa Österreichische Gold- und Silber-Scheideanstalt GmbH*</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AUSTRIA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192.</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Ohura Precious Metal Industry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193.</w:t>
            </w:r>
          </w:p>
        </w:tc>
        <w:tc>
          <w:tcPr>
            <w:tcW w:w="5600" w:type="dxa"/>
            <w:vAlign w:val="bottom"/>
          </w:tcPr>
          <w:p>
            <w:pPr>
              <w:ind w:left="120"/>
              <w:spacing w:after="0"/>
              <w:rPr>
                <w:sz w:val="20"/>
                <w:szCs w:val="20"/>
                <w:color w:val="auto"/>
              </w:rPr>
            </w:pPr>
            <w:r>
              <w:rPr>
                <w:rFonts w:ascii="Arial" w:cs="Arial" w:eastAsia="Arial" w:hAnsi="Arial"/>
                <w:sz w:val="18"/>
                <w:szCs w:val="18"/>
                <w:color w:val="auto"/>
              </w:rPr>
              <w:t>Planta Recuperadora de Metales SpA*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CHILE</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194.</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PT Aneka Tambang (Persero) Tbk*</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INDONESIA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195.</w:t>
            </w:r>
          </w:p>
        </w:tc>
        <w:tc>
          <w:tcPr>
            <w:tcW w:w="5600" w:type="dxa"/>
            <w:vAlign w:val="bottom"/>
          </w:tcPr>
          <w:p>
            <w:pPr>
              <w:ind w:left="120"/>
              <w:spacing w:after="0"/>
              <w:rPr>
                <w:sz w:val="20"/>
                <w:szCs w:val="20"/>
                <w:color w:val="auto"/>
              </w:rPr>
            </w:pPr>
            <w:r>
              <w:rPr>
                <w:rFonts w:ascii="Arial" w:cs="Arial" w:eastAsia="Arial" w:hAnsi="Arial"/>
                <w:sz w:val="18"/>
                <w:szCs w:val="18"/>
                <w:color w:val="auto"/>
              </w:rPr>
              <w:t>PX Précinox S.A.*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SWITZERLAND</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196.</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Rand Refinery (Pty)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SOUTH AFRICA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197.</w:t>
            </w:r>
          </w:p>
        </w:tc>
        <w:tc>
          <w:tcPr>
            <w:tcW w:w="5600" w:type="dxa"/>
            <w:vAlign w:val="bottom"/>
          </w:tcPr>
          <w:p>
            <w:pPr>
              <w:ind w:left="120"/>
              <w:spacing w:after="0"/>
              <w:rPr>
                <w:sz w:val="20"/>
                <w:szCs w:val="20"/>
                <w:color w:val="auto"/>
              </w:rPr>
            </w:pPr>
            <w:r>
              <w:rPr>
                <w:rFonts w:ascii="Arial" w:cs="Arial" w:eastAsia="Arial" w:hAnsi="Arial"/>
                <w:sz w:val="18"/>
                <w:szCs w:val="18"/>
                <w:color w:val="auto"/>
              </w:rPr>
              <w:t>REMONDIS PMR B.V.*</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NETHERLANDS</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198.</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Royal Canadian Mint*</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CANADA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199.</w:t>
            </w:r>
          </w:p>
        </w:tc>
        <w:tc>
          <w:tcPr>
            <w:tcW w:w="5600" w:type="dxa"/>
            <w:vAlign w:val="bottom"/>
          </w:tcPr>
          <w:p>
            <w:pPr>
              <w:ind w:left="120"/>
              <w:spacing w:after="0"/>
              <w:rPr>
                <w:sz w:val="20"/>
                <w:szCs w:val="20"/>
                <w:color w:val="auto"/>
              </w:rPr>
            </w:pPr>
            <w:r>
              <w:rPr>
                <w:rFonts w:ascii="Arial" w:cs="Arial" w:eastAsia="Arial" w:hAnsi="Arial"/>
                <w:sz w:val="18"/>
                <w:szCs w:val="18"/>
                <w:color w:val="auto"/>
              </w:rPr>
              <w:t>SAAMP*</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FRANCE</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200.</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Safimet S.p.A.*</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ITALY</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201.</w:t>
            </w:r>
          </w:p>
        </w:tc>
        <w:tc>
          <w:tcPr>
            <w:tcW w:w="5600" w:type="dxa"/>
            <w:vAlign w:val="bottom"/>
          </w:tcPr>
          <w:p>
            <w:pPr>
              <w:ind w:left="120"/>
              <w:spacing w:after="0"/>
              <w:rPr>
                <w:sz w:val="20"/>
                <w:szCs w:val="20"/>
                <w:color w:val="auto"/>
              </w:rPr>
            </w:pPr>
            <w:r>
              <w:rPr>
                <w:rFonts w:ascii="Arial" w:cs="Arial" w:eastAsia="Arial" w:hAnsi="Arial"/>
                <w:sz w:val="18"/>
                <w:szCs w:val="18"/>
                <w:color w:val="auto"/>
              </w:rPr>
              <w:t>SAFINA A.S.*</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CZECHIA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202.</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Samduck Precious Metals*</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KOREA (REPUBLIC OF)</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203.</w:t>
            </w:r>
          </w:p>
        </w:tc>
        <w:tc>
          <w:tcPr>
            <w:tcW w:w="5600" w:type="dxa"/>
            <w:vAlign w:val="bottom"/>
          </w:tcPr>
          <w:p>
            <w:pPr>
              <w:ind w:left="120"/>
              <w:spacing w:after="0"/>
              <w:rPr>
                <w:sz w:val="20"/>
                <w:szCs w:val="20"/>
                <w:color w:val="auto"/>
              </w:rPr>
            </w:pPr>
            <w:r>
              <w:rPr>
                <w:rFonts w:ascii="Arial" w:cs="Arial" w:eastAsia="Arial" w:hAnsi="Arial"/>
                <w:sz w:val="18"/>
                <w:szCs w:val="18"/>
                <w:color w:val="auto"/>
              </w:rPr>
              <w:t>SEMPSA Joyería Platería S.A.*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SPAIN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204.</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Shandong Gold Smelting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205.</w:t>
            </w:r>
          </w:p>
        </w:tc>
        <w:tc>
          <w:tcPr>
            <w:tcW w:w="5600" w:type="dxa"/>
            <w:vAlign w:val="bottom"/>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CHINA</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206.</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Sichuan Tianze Precious Metals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CHINA</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207.</w:t>
            </w:r>
          </w:p>
        </w:tc>
        <w:tc>
          <w:tcPr>
            <w:tcW w:w="5600" w:type="dxa"/>
            <w:vAlign w:val="bottom"/>
          </w:tcPr>
          <w:p>
            <w:pPr>
              <w:ind w:left="120"/>
              <w:spacing w:after="0"/>
              <w:rPr>
                <w:sz w:val="20"/>
                <w:szCs w:val="20"/>
                <w:color w:val="auto"/>
              </w:rPr>
            </w:pPr>
            <w:r>
              <w:rPr>
                <w:rFonts w:ascii="Arial" w:cs="Arial" w:eastAsia="Arial" w:hAnsi="Arial"/>
                <w:sz w:val="18"/>
                <w:szCs w:val="18"/>
                <w:color w:val="auto"/>
              </w:rPr>
              <w:t>Singway Technology Co.,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TAIWAN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208.</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TAIWAN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209.</w:t>
            </w:r>
          </w:p>
        </w:tc>
        <w:tc>
          <w:tcPr>
            <w:tcW w:w="5600" w:type="dxa"/>
            <w:vAlign w:val="bottom"/>
          </w:tcPr>
          <w:p>
            <w:pPr>
              <w:ind w:left="120"/>
              <w:spacing w:after="0"/>
              <w:rPr>
                <w:sz w:val="20"/>
                <w:szCs w:val="20"/>
                <w:color w:val="auto"/>
              </w:rPr>
            </w:pPr>
            <w:r>
              <w:rPr>
                <w:rFonts w:ascii="Arial" w:cs="Arial" w:eastAsia="Arial" w:hAnsi="Arial"/>
                <w:sz w:val="18"/>
                <w:szCs w:val="18"/>
                <w:color w:val="auto"/>
              </w:rPr>
              <w:t>Sumitomo Metal Mining Co., Ltd.*</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210.</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SungEel HiMetal Co., Ltd.*</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KOREA, REPUBLIC OF</w:t>
            </w:r>
          </w:p>
        </w:tc>
      </w:tr>
      <w:tr>
        <w:trPr>
          <w:trHeight w:val="324"/>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211.</w:t>
            </w:r>
          </w:p>
        </w:tc>
        <w:tc>
          <w:tcPr>
            <w:tcW w:w="5600" w:type="dxa"/>
            <w:vAlign w:val="bottom"/>
          </w:tcPr>
          <w:p>
            <w:pPr>
              <w:ind w:left="120"/>
              <w:spacing w:after="0"/>
              <w:rPr>
                <w:sz w:val="20"/>
                <w:szCs w:val="20"/>
                <w:color w:val="auto"/>
              </w:rPr>
            </w:pPr>
            <w:r>
              <w:rPr>
                <w:rFonts w:ascii="Arial" w:cs="Arial" w:eastAsia="Arial" w:hAnsi="Arial"/>
                <w:sz w:val="18"/>
                <w:szCs w:val="18"/>
                <w:color w:val="auto"/>
              </w:rPr>
              <w:t>T.C.A S.p.A*</w:t>
            </w:r>
          </w:p>
        </w:tc>
        <w:tc>
          <w:tcPr>
            <w:tcW w:w="1760" w:type="dxa"/>
            <w:vAlign w:val="bottom"/>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ITALY</w:t>
            </w:r>
          </w:p>
        </w:tc>
      </w:tr>
      <w:tr>
        <w:trPr>
          <w:trHeight w:val="108"/>
        </w:trPr>
        <w:tc>
          <w:tcPr>
            <w:tcW w:w="4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212.</w:t>
            </w: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Tanaka Kikinzoku Kogyo K.K.*</w:t>
            </w:r>
          </w:p>
        </w:tc>
        <w:tc>
          <w:tcPr>
            <w:tcW w:w="1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bl>
    <w:p>
      <w:pPr>
        <w:ind w:left="580"/>
        <w:spacing w:after="0"/>
        <w:rPr>
          <w:sz w:val="20"/>
          <w:szCs w:val="20"/>
          <w:color w:val="auto"/>
        </w:rPr>
        <w:sectPr>
          <w:pgSz w:w="11900" w:h="16838" w:orient="portrait"/>
          <w:cols w:equalWidth="0" w:num="1">
            <w:col w:w="11020"/>
          </w:cols>
          <w:pgMar w:left="440" w:top="612" w:right="439" w:bottom="906"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20"/>
          </w:cols>
          <w:pgMar w:left="440" w:top="612" w:right="439" w:bottom="906" w:gutter="0" w:footer="0" w:header="0"/>
          <w:type w:val="continuous"/>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Tokuriki Honten Co., Ltd.*</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214.</w:t>
            </w:r>
          </w:p>
        </w:tc>
        <w:tc>
          <w:tcPr>
            <w:tcW w:w="5340" w:type="dxa"/>
            <w:vAlign w:val="bottom"/>
          </w:tcPr>
          <w:p>
            <w:pPr>
              <w:ind w:left="120"/>
              <w:spacing w:after="0"/>
              <w:rPr>
                <w:sz w:val="20"/>
                <w:szCs w:val="20"/>
                <w:color w:val="auto"/>
              </w:rPr>
            </w:pPr>
            <w:r>
              <w:rPr>
                <w:rFonts w:ascii="Arial" w:cs="Arial" w:eastAsia="Arial" w:hAnsi="Arial"/>
                <w:sz w:val="18"/>
                <w:szCs w:val="18"/>
                <w:color w:val="auto"/>
              </w:rPr>
              <w:t>TOO Tau-Ken-Altyn*</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KAZAKHSTAN</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215.</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Torecom*</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KOREA (REPUBLIC OF)</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216.</w:t>
            </w:r>
          </w:p>
        </w:tc>
        <w:tc>
          <w:tcPr>
            <w:tcW w:w="5340" w:type="dxa"/>
            <w:vAlign w:val="bottom"/>
          </w:tcPr>
          <w:p>
            <w:pPr>
              <w:ind w:left="120"/>
              <w:spacing w:after="0"/>
              <w:rPr>
                <w:sz w:val="20"/>
                <w:szCs w:val="20"/>
                <w:color w:val="auto"/>
              </w:rPr>
            </w:pPr>
            <w:r>
              <w:rPr>
                <w:rFonts w:ascii="Arial" w:cs="Arial" w:eastAsia="Arial" w:hAnsi="Arial"/>
                <w:sz w:val="18"/>
                <w:szCs w:val="18"/>
                <w:color w:val="auto"/>
              </w:rPr>
              <w:t>Umicore Precious Metals Thailand*</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THAILAND</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217.</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BELGIUM</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218.</w:t>
            </w:r>
          </w:p>
        </w:tc>
        <w:tc>
          <w:tcPr>
            <w:tcW w:w="5340" w:type="dxa"/>
            <w:vAlign w:val="bottom"/>
          </w:tcPr>
          <w:p>
            <w:pPr>
              <w:ind w:left="120"/>
              <w:spacing w:after="0"/>
              <w:rPr>
                <w:sz w:val="20"/>
                <w:szCs w:val="20"/>
                <w:color w:val="auto"/>
              </w:rPr>
            </w:pPr>
            <w:r>
              <w:rPr>
                <w:rFonts w:ascii="Arial" w:cs="Arial" w:eastAsia="Arial" w:hAnsi="Arial"/>
                <w:sz w:val="18"/>
                <w:szCs w:val="18"/>
                <w:color w:val="auto"/>
              </w:rPr>
              <w:t>United Precious Metal Refining, Inc.*</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219.</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Valcambi S.A.*</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SWITZERLAND</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220.</w:t>
            </w:r>
          </w:p>
        </w:tc>
        <w:tc>
          <w:tcPr>
            <w:tcW w:w="5340" w:type="dxa"/>
            <w:vAlign w:val="bottom"/>
          </w:tcPr>
          <w:p>
            <w:pPr>
              <w:ind w:left="120"/>
              <w:spacing w:after="0"/>
              <w:rPr>
                <w:sz w:val="20"/>
                <w:szCs w:val="20"/>
                <w:color w:val="auto"/>
              </w:rPr>
            </w:pPr>
            <w:r>
              <w:rPr>
                <w:rFonts w:ascii="Arial" w:cs="Arial" w:eastAsia="Arial" w:hAnsi="Arial"/>
                <w:sz w:val="18"/>
                <w:szCs w:val="18"/>
                <w:color w:val="auto"/>
              </w:rPr>
              <w:t>Western Australian Mint trading as The Perth Mint*</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AUSTRALIA</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221.</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WIELAND Edelmetalle GmbH*</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GERMANY</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222.</w:t>
            </w:r>
          </w:p>
        </w:tc>
        <w:tc>
          <w:tcPr>
            <w:tcW w:w="5340" w:type="dxa"/>
            <w:vAlign w:val="bottom"/>
          </w:tcPr>
          <w:p>
            <w:pPr>
              <w:ind w:left="120"/>
              <w:spacing w:after="0"/>
              <w:rPr>
                <w:sz w:val="20"/>
                <w:szCs w:val="20"/>
                <w:color w:val="auto"/>
              </w:rPr>
            </w:pPr>
            <w:r>
              <w:rPr>
                <w:rFonts w:ascii="Arial" w:cs="Arial" w:eastAsia="Arial" w:hAnsi="Arial"/>
                <w:sz w:val="18"/>
                <w:szCs w:val="18"/>
                <w:color w:val="auto"/>
              </w:rPr>
              <w:t>Yamakin Co., Ltd.*</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JAPAN</w:t>
            </w:r>
          </w:p>
        </w:tc>
      </w:tr>
      <w:tr>
        <w:trPr>
          <w:trHeight w:val="108"/>
        </w:trPr>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240" w:type="dxa"/>
            <w:vAlign w:val="bottom"/>
          </w:tcPr>
          <w:p>
            <w:pPr>
              <w:spacing w:after="0"/>
              <w:rPr>
                <w:sz w:val="9"/>
                <w:szCs w:val="9"/>
                <w:color w:val="auto"/>
              </w:rPr>
            </w:pPr>
          </w:p>
        </w:tc>
      </w:tr>
      <w:tr>
        <w:trPr>
          <w:trHeight w:val="216"/>
        </w:trPr>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223.</w:t>
            </w: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Yokohama Metal Co., Ltd.*</w:t>
            </w:r>
          </w:p>
        </w:tc>
        <w:tc>
          <w:tcPr>
            <w:tcW w:w="2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JAPAN</w:t>
            </w:r>
          </w:p>
        </w:tc>
      </w:tr>
      <w:tr>
        <w:trPr>
          <w:trHeight w:val="324"/>
        </w:trPr>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224.</w:t>
            </w:r>
          </w:p>
        </w:tc>
        <w:tc>
          <w:tcPr>
            <w:tcW w:w="5340" w:type="dxa"/>
            <w:vAlign w:val="bottom"/>
          </w:tcPr>
          <w:p>
            <w:pPr>
              <w:ind w:left="120"/>
              <w:spacing w:after="0"/>
              <w:rPr>
                <w:sz w:val="20"/>
                <w:szCs w:val="20"/>
                <w:color w:val="auto"/>
              </w:rPr>
            </w:pPr>
            <w:r>
              <w:rPr>
                <w:rFonts w:ascii="Arial" w:cs="Arial" w:eastAsia="Arial" w:hAnsi="Arial"/>
                <w:sz w:val="18"/>
                <w:szCs w:val="18"/>
                <w:color w:val="auto"/>
              </w:rPr>
              <w:t>Zhongyuan Gold Smelter of Zhongjin Gold Corporation*</w:t>
            </w:r>
          </w:p>
        </w:tc>
        <w:tc>
          <w:tcPr>
            <w:tcW w:w="2020" w:type="dxa"/>
            <w:vAlign w:val="bottom"/>
          </w:tcPr>
          <w:p>
            <w:pPr>
              <w:ind w:left="1060"/>
              <w:spacing w:after="0"/>
              <w:rPr>
                <w:sz w:val="20"/>
                <w:szCs w:val="20"/>
                <w:color w:val="auto"/>
              </w:rPr>
            </w:pPr>
            <w:r>
              <w:rPr>
                <w:rFonts w:ascii="Arial" w:cs="Arial" w:eastAsia="Arial" w:hAnsi="Arial"/>
                <w:sz w:val="18"/>
                <w:szCs w:val="18"/>
                <w:color w:val="auto"/>
              </w:rPr>
              <w:t>Gold</w:t>
            </w:r>
          </w:p>
        </w:tc>
        <w:tc>
          <w:tcPr>
            <w:tcW w:w="3240" w:type="dxa"/>
            <w:vAlign w:val="bottom"/>
          </w:tcPr>
          <w:p>
            <w:pPr>
              <w:ind w:left="580"/>
              <w:spacing w:after="0"/>
              <w:rPr>
                <w:sz w:val="20"/>
                <w:szCs w:val="20"/>
                <w:color w:val="auto"/>
              </w:rPr>
            </w:pPr>
            <w:r>
              <w:rPr>
                <w:rFonts w:ascii="Arial" w:cs="Arial" w:eastAsia="Arial" w:hAnsi="Arial"/>
                <w:sz w:val="18"/>
                <w:szCs w:val="18"/>
                <w:color w:val="auto"/>
              </w:rPr>
              <w:t>CHINA</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44" w:hanging="444"/>
        <w:spacing w:after="0"/>
        <w:tabs>
          <w:tab w:leader="none" w:pos="4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Table 2 – Other Smelters</w:t>
      </w:r>
      <w:r>
        <w:rPr>
          <w:rFonts w:ascii="Arial" w:cs="Arial" w:eastAsia="Arial" w:hAnsi="Arial"/>
          <w:sz w:val="18"/>
          <w:szCs w:val="18"/>
          <w:color w:val="auto"/>
        </w:rPr>
        <w:t>:</w:t>
      </w:r>
    </w:p>
    <w:p>
      <w:pPr>
        <w:spacing w:after="0" w:line="117" w:lineRule="exact"/>
        <w:rPr>
          <w:sz w:val="20"/>
          <w:szCs w:val="20"/>
          <w:color w:val="auto"/>
        </w:rPr>
      </w:pPr>
    </w:p>
    <w:p>
      <w:pPr>
        <w:ind w:left="4" w:right="80"/>
        <w:spacing w:after="0" w:line="273" w:lineRule="auto"/>
        <w:rPr>
          <w:sz w:val="20"/>
          <w:szCs w:val="20"/>
          <w:color w:val="auto"/>
        </w:rPr>
      </w:pPr>
      <w:r>
        <w:rPr>
          <w:rFonts w:ascii="Arial" w:cs="Arial" w:eastAsia="Arial" w:hAnsi="Arial"/>
          <w:sz w:val="18"/>
          <w:szCs w:val="18"/>
          <w:color w:val="auto"/>
        </w:rPr>
        <w:t>Listed below are the 8 Smelters identified to us by our Suppliers as potentially in our supply chain for 2022 that have been designated as Active, Non-Conformant, or RMI Due Diligence Review – Unable to Proceed. None of these Smelters are in our supply chain for ICs. The location information and status are as reported by the RMAP as of January 31, 2023.</w:t>
      </w:r>
      <w:r>
        <w:rPr>
          <w:rFonts w:ascii="Arial" w:cs="Arial" w:eastAsia="Arial" w:hAnsi="Arial"/>
          <w:sz w:val="23"/>
          <w:szCs w:val="23"/>
          <w:color w:val="auto"/>
          <w:vertAlign w:val="superscript"/>
        </w:rPr>
        <w:t>‡‡§§</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43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Smelter</w:t>
            </w:r>
          </w:p>
        </w:tc>
        <w:tc>
          <w:tcPr>
            <w:tcW w:w="100" w:type="dxa"/>
            <w:vAlign w:val="bottom"/>
          </w:tcPr>
          <w:p>
            <w:pPr>
              <w:spacing w:after="0"/>
              <w:rPr>
                <w:sz w:val="16"/>
                <w:szCs w:val="16"/>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6"/>
                <w:szCs w:val="16"/>
                <w:color w:val="auto"/>
              </w:rPr>
            </w:pPr>
          </w:p>
        </w:tc>
        <w:tc>
          <w:tcPr>
            <w:tcW w:w="42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Status</w:t>
            </w:r>
          </w:p>
        </w:tc>
      </w:tr>
      <w:tr>
        <w:trPr>
          <w:trHeight w:val="101"/>
        </w:trPr>
        <w:tc>
          <w:tcPr>
            <w:tcW w:w="2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80" w:type="dxa"/>
            <w:vAlign w:val="bottom"/>
          </w:tcPr>
          <w:p>
            <w:pPr>
              <w:spacing w:after="0"/>
              <w:rPr>
                <w:sz w:val="8"/>
                <w:szCs w:val="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w:t>
            </w:r>
          </w:p>
        </w:tc>
        <w:tc>
          <w:tcPr>
            <w:tcW w:w="4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CV Venus Inti Perkasa</w:t>
            </w:r>
            <w:r>
              <w:rPr>
                <w:rFonts w:ascii="Arial" w:cs="Arial" w:eastAsia="Arial" w:hAnsi="Arial"/>
                <w:sz w:val="23"/>
                <w:szCs w:val="23"/>
                <w:color w:val="auto"/>
                <w:vertAlign w:val="superscript"/>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Tin</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INDONESIA</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Active</w:t>
            </w: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4300" w:type="dxa"/>
            <w:vAlign w:val="bottom"/>
          </w:tcPr>
          <w:p>
            <w:pPr>
              <w:spacing w:after="0"/>
              <w:rPr>
                <w:sz w:val="20"/>
                <w:szCs w:val="20"/>
                <w:color w:val="auto"/>
              </w:rPr>
            </w:pPr>
            <w:r>
              <w:rPr>
                <w:rFonts w:ascii="Arial" w:cs="Arial" w:eastAsia="Arial" w:hAnsi="Arial"/>
                <w:sz w:val="18"/>
                <w:szCs w:val="18"/>
                <w:color w:val="auto"/>
              </w:rPr>
              <w:t>PT Timah Nusantara</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Tin</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INDONESIA</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Active</w:t>
            </w:r>
          </w:p>
        </w:tc>
      </w:tr>
      <w:tr>
        <w:trPr>
          <w:trHeight w:val="108"/>
        </w:trPr>
        <w:tc>
          <w:tcPr>
            <w:tcW w:w="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3.</w:t>
            </w: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Gejiu Yunxin Nonferrous Electrolysis Co., Ltd.</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Tin</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Non-Conformant</w:t>
            </w: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4300" w:type="dxa"/>
            <w:vAlign w:val="bottom"/>
          </w:tcPr>
          <w:p>
            <w:pPr>
              <w:spacing w:after="0"/>
              <w:rPr>
                <w:sz w:val="20"/>
                <w:szCs w:val="20"/>
                <w:color w:val="auto"/>
              </w:rPr>
            </w:pPr>
            <w:r>
              <w:rPr>
                <w:rFonts w:ascii="Arial" w:cs="Arial" w:eastAsia="Arial" w:hAnsi="Arial"/>
                <w:sz w:val="18"/>
                <w:szCs w:val="18"/>
                <w:color w:val="auto"/>
              </w:rPr>
              <w:t>Marsam Metals</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Gold</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BRAZIL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Non-Conformant</w:t>
            </w:r>
          </w:p>
        </w:tc>
      </w:tr>
      <w:tr>
        <w:trPr>
          <w:trHeight w:val="108"/>
        </w:trPr>
        <w:tc>
          <w:tcPr>
            <w:tcW w:w="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80" w:type="dxa"/>
            <w:vAlign w:val="bottom"/>
          </w:tcPr>
          <w:p>
            <w:pPr>
              <w:spacing w:after="0"/>
              <w:rPr>
                <w:sz w:val="9"/>
                <w:szCs w:val="9"/>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5.</w:t>
            </w:r>
          </w:p>
        </w:tc>
        <w:tc>
          <w:tcPr>
            <w:tcW w:w="4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Unecha Refractory metals plant</w:t>
            </w:r>
            <w:r>
              <w:rPr>
                <w:rFonts w:ascii="Arial" w:cs="Arial" w:eastAsia="Arial" w:hAnsi="Arial"/>
                <w:sz w:val="23"/>
                <w:szCs w:val="23"/>
                <w:color w:val="auto"/>
                <w:vertAlign w:val="superscript"/>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Tungsten</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RUSSIA</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Non-Conformant</w:t>
            </w:r>
          </w:p>
        </w:tc>
      </w:tr>
      <w:tr>
        <w:trPr>
          <w:trHeight w:val="40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6.</w:t>
            </w:r>
          </w:p>
        </w:tc>
        <w:tc>
          <w:tcPr>
            <w:tcW w:w="4300" w:type="dxa"/>
            <w:vAlign w:val="bottom"/>
          </w:tcPr>
          <w:p>
            <w:pPr>
              <w:spacing w:after="0"/>
              <w:rPr>
                <w:sz w:val="20"/>
                <w:szCs w:val="20"/>
                <w:color w:val="auto"/>
              </w:rPr>
            </w:pPr>
            <w:r>
              <w:rPr>
                <w:rFonts w:ascii="Arial" w:cs="Arial" w:eastAsia="Arial" w:hAnsi="Arial"/>
                <w:sz w:val="18"/>
                <w:szCs w:val="18"/>
                <w:color w:val="auto"/>
              </w:rPr>
              <w:t>Hydrometallurg, JSC</w:t>
            </w:r>
            <w:r>
              <w:rPr>
                <w:rFonts w:ascii="Arial" w:cs="Arial" w:eastAsia="Arial" w:hAnsi="Arial"/>
                <w:sz w:val="23"/>
                <w:szCs w:val="23"/>
                <w:color w:val="auto"/>
                <w:vertAlign w:val="superscript"/>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98"/>
              </w:rPr>
              <w:t>Tungsten</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RUSSIA</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RMI Due Diligence Review–Unable to Proceed</w:t>
            </w:r>
          </w:p>
        </w:tc>
      </w:tr>
      <w:tr>
        <w:trPr>
          <w:trHeight w:val="26"/>
        </w:trPr>
        <w:tc>
          <w:tcPr>
            <w:tcW w:w="2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7.</w:t>
            </w:r>
          </w:p>
        </w:tc>
        <w:tc>
          <w:tcPr>
            <w:tcW w:w="4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Novosibirsk Tin Combine</w:t>
            </w:r>
            <w:r>
              <w:rPr>
                <w:rFonts w:ascii="Arial" w:cs="Arial" w:eastAsia="Arial" w:hAnsi="Arial"/>
                <w:sz w:val="23"/>
                <w:szCs w:val="23"/>
                <w:color w:val="auto"/>
                <w:vertAlign w:val="superscript"/>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Tin</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RUSSIA</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RMI Due Diligence Review–Unable to Proceed</w:t>
            </w:r>
          </w:p>
        </w:tc>
      </w:tr>
      <w:tr>
        <w:trPr>
          <w:trHeight w:val="40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8.</w:t>
            </w:r>
          </w:p>
        </w:tc>
        <w:tc>
          <w:tcPr>
            <w:tcW w:w="4300" w:type="dxa"/>
            <w:vAlign w:val="bottom"/>
          </w:tcPr>
          <w:p>
            <w:pPr>
              <w:spacing w:after="0"/>
              <w:rPr>
                <w:sz w:val="20"/>
                <w:szCs w:val="20"/>
                <w:color w:val="auto"/>
              </w:rPr>
            </w:pPr>
            <w:r>
              <w:rPr>
                <w:rFonts w:ascii="Arial" w:cs="Arial" w:eastAsia="Arial" w:hAnsi="Arial"/>
                <w:sz w:val="18"/>
                <w:szCs w:val="18"/>
                <w:color w:val="auto"/>
              </w:rPr>
              <w:t>Solikamsk Magnesium Works OAO</w:t>
            </w:r>
            <w:r>
              <w:rPr>
                <w:rFonts w:ascii="Arial" w:cs="Arial" w:eastAsia="Arial" w:hAnsi="Arial"/>
                <w:sz w:val="23"/>
                <w:szCs w:val="23"/>
                <w:color w:val="auto"/>
                <w:vertAlign w:val="superscript"/>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98"/>
              </w:rPr>
              <w:t>Tantalum</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RUSSIA</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RMI Due Diligence Review–Unable to Proceed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44" w:hanging="444"/>
        <w:spacing w:after="0"/>
        <w:tabs>
          <w:tab w:leader="none" w:pos="44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On February 13, 2023, the RMI moved CV Venus Inti Perkasa from Active status to Conformant status.</w:t>
      </w:r>
    </w:p>
    <w:p>
      <w:pPr>
        <w:spacing w:after="0" w:line="2" w:lineRule="exact"/>
        <w:rPr>
          <w:sz w:val="20"/>
          <w:szCs w:val="20"/>
          <w:color w:val="auto"/>
        </w:rPr>
      </w:pPr>
    </w:p>
    <w:p>
      <w:pPr>
        <w:ind w:left="444" w:right="220" w:hanging="444"/>
        <w:spacing w:after="0" w:line="219" w:lineRule="auto"/>
        <w:tabs>
          <w:tab w:leader="none" w:pos="44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Subsequent to the date this data was reported, Unecha Refractory metals plant; Hydrometallurg, JSC; Novosibirsk Tin Combine; and Solikamsk Magnesium Works OAO were all removed from our supply chain.</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612"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09728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Crowe LLP</w:t>
      </w:r>
    </w:p>
    <w:p>
      <w:pPr>
        <w:spacing w:after="0" w:line="27"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Independent Member Crowe Global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ACCOUNTANT’S REPORT ON CONFLICT MINERALS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131" w:lineRule="exact"/>
        <w:rPr>
          <w:sz w:val="20"/>
          <w:szCs w:val="20"/>
          <w:color w:val="auto"/>
        </w:rPr>
      </w:pPr>
    </w:p>
    <w:p>
      <w:pPr>
        <w:ind w:left="980" w:right="20" w:hanging="544"/>
        <w:spacing w:after="0" w:line="25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2022 through December 31, 2022, is in conformity, in all material respects, with the criteria set forth in the Organization for Economic Co-Operation and Development Due Diligence Guidance for Responsible Supply Chains of Minerals from Conflict-Affected and High-Risk Areas, Third Edition 2016 (“OECD Due Diligence Guidance”), and</w:t>
      </w:r>
    </w:p>
    <w:p>
      <w:pPr>
        <w:spacing w:after="0" w:line="93" w:lineRule="exact"/>
        <w:rPr>
          <w:rFonts w:ascii="Arial" w:cs="Arial" w:eastAsia="Arial" w:hAnsi="Arial"/>
          <w:sz w:val="18"/>
          <w:szCs w:val="18"/>
          <w:color w:val="auto"/>
        </w:rPr>
      </w:pPr>
    </w:p>
    <w:p>
      <w:pPr>
        <w:ind w:left="980" w:right="160" w:hanging="54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2022 through December 31, 2022, is consistent, in all material respects, with the due diligence process that the Company undertook.</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8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131" w:lineRule="exact"/>
        <w:rPr>
          <w:sz w:val="20"/>
          <w:szCs w:val="20"/>
          <w:color w:val="auto"/>
        </w:rPr>
      </w:pPr>
    </w:p>
    <w:p>
      <w:pPr>
        <w:ind w:left="980" w:right="640" w:hanging="54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490" w:right="439" w:bottom="1440" w:gutter="0" w:footer="0" w:header="0"/>
        </w:sectPr>
      </w:pPr>
    </w:p>
    <w:bookmarkStart w:id="13" w:name="page14"/>
    <w:bookmarkEnd w:id="13"/>
    <w:p>
      <w:pPr>
        <w:ind w:left="980" w:right="680" w:hanging="54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Whether a third party can determine from the Conflict Minerals Report if the due diligence measures the Company performed are consistent with the OECD Due Diligence Guidance;</w:t>
      </w:r>
    </w:p>
    <w:p>
      <w:pPr>
        <w:spacing w:after="0" w:line="75" w:lineRule="exact"/>
        <w:rPr>
          <w:rFonts w:ascii="Arial" w:cs="Arial" w:eastAsia="Arial" w:hAnsi="Arial"/>
          <w:sz w:val="18"/>
          <w:szCs w:val="18"/>
          <w:color w:val="auto"/>
        </w:rPr>
      </w:pPr>
    </w:p>
    <w:p>
      <w:pPr>
        <w:ind w:left="980" w:right="940" w:hanging="54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spacing w:after="0" w:line="75" w:lineRule="exact"/>
        <w:rPr>
          <w:rFonts w:ascii="Arial" w:cs="Arial" w:eastAsia="Arial" w:hAnsi="Arial"/>
          <w:sz w:val="18"/>
          <w:szCs w:val="18"/>
          <w:color w:val="auto"/>
        </w:rPr>
      </w:pPr>
    </w:p>
    <w:p>
      <w:pPr>
        <w:ind w:left="980" w:right="260" w:hanging="54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31" w:lineRule="exact"/>
        <w:rPr>
          <w:sz w:val="20"/>
          <w:szCs w:val="20"/>
          <w:color w:val="auto"/>
        </w:rPr>
      </w:pPr>
    </w:p>
    <w:p>
      <w:pPr>
        <w:ind w:left="980" w:right="240" w:hanging="54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2022 through December 31, 2022, as set forth in the section titled “Design of Due Diligence” of the Conflict Minerals Report is in conformity with the OECD Due Diligence Guidance, in all material respects; and</w:t>
      </w:r>
    </w:p>
    <w:p>
      <w:pPr>
        <w:spacing w:after="0" w:line="89" w:lineRule="exact"/>
        <w:rPr>
          <w:rFonts w:ascii="Arial" w:cs="Arial" w:eastAsia="Arial" w:hAnsi="Arial"/>
          <w:sz w:val="18"/>
          <w:szCs w:val="18"/>
          <w:color w:val="auto"/>
        </w:rPr>
      </w:pPr>
    </w:p>
    <w:p>
      <w:pPr>
        <w:ind w:left="980" w:hanging="54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2022 through December 31, 2022, is consistent with the due diligence process that the Company undertook, in all material respects.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9"/>
    </w:lvl>
  </w:abstractNum>
  <w:abstractNum w:abstractNumId="3">
    <w:nsid w:val="41A7C4C9"/>
    <w:multiLevelType w:val="hybridMultilevel"/>
    <w:lvl w:ilvl="0">
      <w:lvlJc w:val="left"/>
      <w:lvlText w:val="%1."/>
      <w:numFmt w:val="upperLetter"/>
      <w:start w:val="35"/>
    </w:lvl>
  </w:abstractNum>
  <w:abstractNum w:abstractNumId="4">
    <w:nsid w:val="6B68079A"/>
    <w:multiLevelType w:val="hybridMultilevel"/>
    <w:lvl w:ilvl="0">
      <w:lvlJc w:val="left"/>
      <w:lvlText w:val="%1."/>
      <w:numFmt w:val="upperLetter"/>
      <w:start w:val="61"/>
    </w:lvl>
  </w:abstractNum>
  <w:abstractNum w:abstractNumId="5">
    <w:nsid w:val="4E6AFB66"/>
    <w:multiLevelType w:val="hybridMultilevel"/>
    <w:lvl w:ilvl="0">
      <w:lvlJc w:val="left"/>
      <w:lvlText w:val="%1"/>
      <w:numFmt w:val="decimal"/>
      <w:start w:val="1"/>
    </w:lvl>
    <w:lvl w:ilvl="1">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2"/>
      <w:numFmt w:val="bullet"/>
      <w:start w:val="1"/>
    </w:lvl>
  </w:abstractNum>
  <w:abstractNum w:abstractNumId="12">
    <w:nsid w:val="62BBD95A"/>
    <w:multiLevelType w:val="hybridMultilevel"/>
    <w:lvl w:ilvl="0">
      <w:lvlJc w:val="left"/>
      <w:lvlText w:val="3"/>
      <w:numFmt w:val="bullet"/>
      <w:start w:val="1"/>
    </w:lvl>
  </w:abstractNum>
  <w:abstractNum w:abstractNumId="13">
    <w:nsid w:val="436C6125"/>
    <w:multiLevelType w:val="hybridMultilevel"/>
    <w:lvl w:ilvl="0">
      <w:lvlJc w:val="left"/>
      <w:lvlText w:val="4"/>
      <w:numFmt w:val="bullet"/>
      <w:start w:val="1"/>
    </w:lvl>
  </w:abstractNum>
  <w:abstractNum w:abstractNumId="14">
    <w:nsid w:val="628C895D"/>
    <w:multiLevelType w:val="hybridMultilevel"/>
    <w:lvl w:ilvl="0">
      <w:lvlJc w:val="left"/>
      <w:lvlText w:val="5"/>
      <w:numFmt w:val="bullet"/>
      <w:start w:val="1"/>
    </w:lvl>
  </w:abstractNum>
  <w:abstractNum w:abstractNumId="15">
    <w:nsid w:val="333AB105"/>
    <w:multiLevelType w:val="hybridMultilevel"/>
    <w:lvl w:ilvl="0">
      <w:lvlJc w:val="left"/>
      <w:lvlText w:val="%1."/>
      <w:numFmt w:val="upperLetter"/>
      <w:start w:val="22"/>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2023-05-31T12:16:13Z</dcterms:created>
  <dcterms:modified xsi:type="dcterms:W3CDTF">2023-05-31T12:16:13Z</dcterms:modified>
</cp:coreProperties>
</file>