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Texas Instruments, Incorporated</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882508104</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2012</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97,165,962</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116,618,462</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116,618,462</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10.4%</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882508104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12500 TI Boulevard</w:t>
      </w:r>
    </w:p>
    <w:p>
      <w:pPr>
        <w:ind w:left="740"/>
        <w:spacing w:after="0"/>
        <w:rPr>
          <w:sz w:val="20"/>
          <w:szCs w:val="20"/>
          <w:color w:val="auto"/>
        </w:rPr>
      </w:pPr>
      <w:r>
        <w:rPr>
          <w:rFonts w:ascii="Courier New" w:cs="Courier New" w:eastAsia="Courier New" w:hAnsi="Courier New"/>
          <w:sz w:val="18"/>
          <w:szCs w:val="18"/>
          <w:color w:val="auto"/>
        </w:rPr>
        <w:t>P.O. Box 660199</w:t>
      </w:r>
    </w:p>
    <w:p>
      <w:pPr>
        <w:ind w:left="740"/>
        <w:spacing w:after="0" w:line="237" w:lineRule="auto"/>
        <w:rPr>
          <w:sz w:val="20"/>
          <w:szCs w:val="20"/>
          <w:color w:val="auto"/>
        </w:rPr>
      </w:pPr>
      <w:r>
        <w:rPr>
          <w:rFonts w:ascii="Courier New" w:cs="Courier New" w:eastAsia="Courier New" w:hAnsi="Courier New"/>
          <w:sz w:val="18"/>
          <w:szCs w:val="18"/>
          <w:color w:val="auto"/>
        </w:rPr>
        <w:t>Dallas, TX 75266-0199</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right="3479" w:hanging="535"/>
        <w:spacing w:after="0" w:line="235" w:lineRule="auto"/>
        <w:tabs>
          <w:tab w:leader="none" w:pos="170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is deemed to be the beneficial owner of 116,618,462 shares or 10.4% of the 1,120,802,980 shares believed to be outstanding as a result of CRMC acting as investment adviser to various investment companies registered under Section 8 of the Investment Company Act of 1940.</w:t>
      </w:r>
    </w:p>
    <w:p>
      <w:pPr>
        <w:spacing w:after="0" w:line="203"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8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6, 2013</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Alan</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Berro***</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Alan</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Berro - Senior Vice President</w:t>
            </w:r>
          </w:p>
        </w:tc>
      </w:tr>
      <w:tr>
        <w:trPr>
          <w:trHeight w:val="203"/>
        </w:trPr>
        <w:tc>
          <w:tcPr>
            <w:tcW w:w="1360" w:type="dxa"/>
            <w:vAlign w:val="bottom"/>
          </w:tcPr>
          <w:p>
            <w:pPr>
              <w:spacing w:after="0"/>
              <w:rPr>
                <w:sz w:val="17"/>
                <w:szCs w:val="17"/>
                <w:color w:val="auto"/>
              </w:rPr>
            </w:pPr>
          </w:p>
        </w:tc>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Capital World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Michael J. Triessl</w:t>
      </w:r>
    </w:p>
    <w:p>
      <w:pPr>
        <w:ind w:left="1580"/>
        <w:spacing w:after="0" w:line="238" w:lineRule="auto"/>
        <w:rPr>
          <w:sz w:val="20"/>
          <w:szCs w:val="20"/>
          <w:color w:val="auto"/>
        </w:rPr>
      </w:pPr>
      <w:r>
        <w:rPr>
          <w:rFonts w:ascii="Courier New" w:cs="Courier New" w:eastAsia="Courier New" w:hAnsi="Courier New"/>
          <w:sz w:val="18"/>
          <w:szCs w:val="18"/>
          <w:color w:val="auto"/>
        </w:rPr>
        <w:t>Michael J. Triessl</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October 12, 2012 included as an Exhibit to Schedule 13G filed with the Securities and Exchange Commission by Capital World Investors on November 9, 2012 with respect to Fidelity National Information Services.</w:t>
      </w:r>
    </w:p>
    <w:p>
      <w:pPr>
        <w:sectPr>
          <w:pgSz w:w="11900" w:h="16838" w:orient="portrait"/>
          <w:cols w:equalWidth="0" w:num="1">
            <w:col w:w="10219"/>
          </w:cols>
          <w:pgMar w:left="240" w:top="142"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8"/>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
      <w:numFmt w:val="bullet"/>
      <w:start w:val="1"/>
    </w:lvl>
    <w:lvl w:ilvl="1">
      <w:lvlJc w:val="left"/>
      <w:lvlText w:val="%2"/>
      <w:numFmt w:val="decimal"/>
      <w:start w:val="10"/>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2019-12-05T16:10:39Z</dcterms:created>
  <dcterms:modified xsi:type="dcterms:W3CDTF">2019-12-05T16:10:39Z</dcterms:modified>
</cp:coreProperties>
</file>