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6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661"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66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jc w:val="center"/>
              <w:ind w:left="6"/>
              <w:spacing w:after="0"/>
              <w:rPr>
                <w:sz w:val="20"/>
                <w:szCs w:val="20"/>
                <w:color w:val="auto"/>
              </w:rPr>
            </w:pPr>
            <w:r>
              <w:rPr>
                <w:rFonts w:ascii="Arial" w:cs="Arial" w:eastAsia="Arial" w:hAnsi="Arial"/>
                <w:sz w:val="18"/>
                <w:szCs w:val="18"/>
                <w:color w:val="0000FF"/>
                <w:w w:val="88"/>
              </w:rPr>
              <w:t>179,396.17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0000FF"/>
                <w:w w:val="82"/>
              </w:rPr>
              <w:t>4,800</w:t>
            </w:r>
            <w:r>
              <w:rPr>
                <w:rFonts w:ascii="Arial" w:cs="Arial" w:eastAsia="Arial" w:hAnsi="Arial"/>
                <w:sz w:val="22"/>
                <w:szCs w:val="22"/>
                <w:color w:val="008000"/>
                <w:w w:val="82"/>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Son</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2,961.44</w:t>
            </w:r>
            <w:r>
              <w:rPr>
                <w:rFonts w:ascii="Arial" w:cs="Arial" w:eastAsia="Arial" w:hAnsi="Arial"/>
                <w:sz w:val="22"/>
                <w:szCs w:val="22"/>
                <w:color w:val="008000"/>
                <w:w w:val="84"/>
                <w:vertAlign w:val="superscript"/>
              </w:rPr>
              <w:t>(3)</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453.23</w:t>
            </w:r>
            <w:r>
              <w:rPr>
                <w:rFonts w:ascii="Arial" w:cs="Arial" w:eastAsia="Arial" w:hAnsi="Arial"/>
                <w:sz w:val="22"/>
                <w:szCs w:val="22"/>
                <w:color w:val="008000"/>
                <w:w w:val="84"/>
                <w:vertAlign w:val="superscript"/>
              </w:rPr>
              <w:t>(4)</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1</w:t>
            </w:r>
            <w:r>
              <w:rPr>
                <w:rFonts w:ascii="Arial" w:cs="Arial" w:eastAsia="Arial" w:hAnsi="Arial"/>
                <w:sz w:val="11"/>
                <w:szCs w:val="11"/>
                <w:color w:val="008000"/>
              </w:rPr>
              <w:t>(5)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11/19/2004</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182.3</w:t>
            </w: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(6)</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182.3</w:t>
            </w:r>
          </w:p>
        </w:tc>
        <w:tc>
          <w:tcPr>
            <w:tcW w:w="60" w:type="dxa"/>
            <w:vAlign w:val="bottom"/>
          </w:tcPr>
          <w:p>
            <w:pPr>
              <w:spacing w:after="0"/>
              <w:rPr>
                <w:sz w:val="16"/>
                <w:szCs w:val="16"/>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25.14</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0000FF"/>
              </w:rPr>
              <w:t>15,748.18</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Security converts to common stock on a one-for-one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units credited under the Texas Instruments 2003 Director Compensation Plan, to be settled in common stock of the Issuer following the reporting person's termination of service as a director of the Issuer.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11/22/2004</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2019-12-16T02:49:39Z</dcterms:created>
  <dcterms:modified xsi:type="dcterms:W3CDTF">2019-12-16T02:49:39Z</dcterms:modified>
</cp:coreProperties>
</file>