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17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4"/>
          <w:szCs w:val="24"/>
          <w:color w:val="auto"/>
        </w:rPr>
      </w:pPr>
    </w:p>
    <w:p>
      <w:pPr>
        <w:ind w:left="4080" w:right="2280" w:hanging="4072"/>
        <w:spacing w:after="0" w:line="426" w:lineRule="auto"/>
        <w:tabs>
          <w:tab w:leader="none" w:pos="44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2004</w:t>
      </w: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80"/>
        <w:spacing w:after="0"/>
        <w:tabs>
          <w:tab w:leader="none" w:pos="6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1-3761</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1240" w:type="dxa"/>
            <w:vAlign w:val="bottom"/>
          </w:tcPr>
          <w:p>
            <w:pPr>
              <w:spacing w:after="0"/>
              <w:rPr>
                <w:sz w:val="18"/>
                <w:szCs w:val="18"/>
                <w:color w:val="auto"/>
              </w:rPr>
            </w:pPr>
          </w:p>
        </w:tc>
        <w:tc>
          <w:tcPr>
            <w:tcW w:w="4840" w:type="dxa"/>
            <w:vAlign w:val="bottom"/>
            <w:gridSpan w:val="2"/>
          </w:tcPr>
          <w:p>
            <w:pPr>
              <w:jc w:val="center"/>
              <w:ind w:right="3420"/>
              <w:spacing w:after="0"/>
              <w:rPr>
                <w:sz w:val="20"/>
                <w:szCs w:val="20"/>
                <w:color w:val="auto"/>
              </w:rPr>
            </w:pPr>
            <w:r>
              <w:rPr>
                <w:rFonts w:ascii="Arial" w:cs="Arial" w:eastAsia="Arial" w:hAnsi="Arial"/>
                <w:sz w:val="18"/>
                <w:szCs w:val="18"/>
                <w:b w:val="1"/>
                <w:bCs w:val="1"/>
                <w:color w:val="auto"/>
                <w:w w:val="88"/>
              </w:rPr>
              <w:t>Delaware</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1240" w:type="dxa"/>
            <w:vAlign w:val="bottom"/>
          </w:tcPr>
          <w:p>
            <w:pPr>
              <w:spacing w:after="0"/>
              <w:rPr>
                <w:sz w:val="15"/>
                <w:szCs w:val="15"/>
                <w:color w:val="auto"/>
              </w:rPr>
            </w:pPr>
          </w:p>
        </w:tc>
        <w:tc>
          <w:tcPr>
            <w:tcW w:w="4840" w:type="dxa"/>
            <w:vAlign w:val="bottom"/>
            <w:gridSpan w:val="2"/>
          </w:tcPr>
          <w:p>
            <w:pPr>
              <w:jc w:val="center"/>
              <w:ind w:right="3420"/>
              <w:spacing w:after="0"/>
              <w:rPr>
                <w:sz w:val="20"/>
                <w:szCs w:val="20"/>
                <w:color w:val="auto"/>
              </w:rPr>
            </w:pPr>
            <w:r>
              <w:rPr>
                <w:rFonts w:ascii="Arial" w:cs="Arial" w:eastAsia="Arial" w:hAnsi="Arial"/>
                <w:sz w:val="14"/>
                <w:szCs w:val="14"/>
                <w:b w:val="1"/>
                <w:bCs w:val="1"/>
                <w:color w:val="auto"/>
                <w:w w:val="89"/>
              </w:rPr>
              <w:t>(State of Incorporation)</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608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608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1240" w:type="dxa"/>
            <w:vAlign w:val="bottom"/>
          </w:tcPr>
          <w:p>
            <w:pPr>
              <w:spacing w:after="0"/>
              <w:rPr>
                <w:sz w:val="24"/>
                <w:szCs w:val="24"/>
                <w:color w:val="auto"/>
              </w:rPr>
            </w:pPr>
          </w:p>
        </w:tc>
        <w:tc>
          <w:tcPr>
            <w:tcW w:w="82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Registrant’s Telephone Number, Including Area Code: 972-995-3773</w:t>
            </w:r>
          </w:p>
        </w:tc>
      </w:tr>
      <w:tr>
        <w:trPr>
          <w:trHeight w:val="365"/>
        </w:trPr>
        <w:tc>
          <w:tcPr>
            <w:tcW w:w="1240" w:type="dxa"/>
            <w:vAlign w:val="bottom"/>
          </w:tcPr>
          <w:p>
            <w:pPr>
              <w:spacing w:after="0"/>
              <w:rPr>
                <w:sz w:val="24"/>
                <w:szCs w:val="24"/>
                <w:color w:val="auto"/>
              </w:rPr>
            </w:pPr>
          </w:p>
        </w:tc>
        <w:tc>
          <w:tcPr>
            <w:tcW w:w="82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12"/>
        </w:trPr>
        <w:tc>
          <w:tcPr>
            <w:tcW w:w="1240" w:type="dxa"/>
            <w:vAlign w:val="bottom"/>
          </w:tcPr>
          <w:p>
            <w:pPr>
              <w:spacing w:after="0"/>
              <w:rPr>
                <w:sz w:val="24"/>
                <w:szCs w:val="24"/>
                <w:color w:val="auto"/>
              </w:rPr>
            </w:pPr>
          </w:p>
        </w:tc>
        <w:tc>
          <w:tcPr>
            <w:tcW w:w="4840" w:type="dxa"/>
            <w:vAlign w:val="bottom"/>
            <w:gridSpan w:val="2"/>
          </w:tcPr>
          <w:p>
            <w:pPr>
              <w:jc w:val="center"/>
              <w:ind w:right="3420"/>
              <w:spacing w:after="0"/>
              <w:rPr>
                <w:sz w:val="20"/>
                <w:szCs w:val="20"/>
                <w:color w:val="auto"/>
              </w:rPr>
            </w:pPr>
            <w:r>
              <w:rPr>
                <w:rFonts w:ascii="Arial" w:cs="Arial" w:eastAsia="Arial" w:hAnsi="Arial"/>
                <w:sz w:val="14"/>
                <w:szCs w:val="14"/>
                <w:b w:val="1"/>
                <w:bCs w:val="1"/>
                <w:color w:val="auto"/>
                <w:w w:val="84"/>
              </w:rPr>
              <w:t>Title of each class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95"/>
        </w:trPr>
        <w:tc>
          <w:tcPr>
            <w:tcW w:w="12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r>
      <w:tr>
        <w:trPr>
          <w:trHeight w:val="309"/>
        </w:trPr>
        <w:tc>
          <w:tcPr>
            <w:tcW w:w="6080" w:type="dxa"/>
            <w:vAlign w:val="bottom"/>
            <w:gridSpan w:val="3"/>
          </w:tcPr>
          <w:p>
            <w:pPr>
              <w:jc w:val="center"/>
              <w:ind w:right="2200"/>
              <w:spacing w:after="0"/>
              <w:rPr>
                <w:sz w:val="20"/>
                <w:szCs w:val="20"/>
                <w:color w:val="auto"/>
              </w:rPr>
            </w:pPr>
            <w:r>
              <w:rPr>
                <w:rFonts w:ascii="Arial" w:cs="Arial" w:eastAsia="Arial" w:hAnsi="Arial"/>
                <w:sz w:val="18"/>
                <w:szCs w:val="18"/>
                <w:color w:val="auto"/>
                <w:w w:val="88"/>
              </w:rPr>
              <w:t>Common Stock, par value $1.00</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6"/>
              </w:rPr>
              <w:t>The Swiss Exchange</w:t>
            </w:r>
          </w:p>
        </w:tc>
      </w:tr>
      <w:tr>
        <w:trPr>
          <w:trHeight w:val="338"/>
        </w:trPr>
        <w:tc>
          <w:tcPr>
            <w:tcW w:w="6080" w:type="dxa"/>
            <w:vAlign w:val="bottom"/>
            <w:gridSpan w:val="3"/>
          </w:tcPr>
          <w:p>
            <w:pPr>
              <w:jc w:val="center"/>
              <w:ind w:right="2200"/>
              <w:spacing w:after="0"/>
              <w:rPr>
                <w:sz w:val="20"/>
                <w:szCs w:val="20"/>
                <w:color w:val="auto"/>
              </w:rPr>
            </w:pPr>
            <w:r>
              <w:rPr>
                <w:rFonts w:ascii="Arial" w:cs="Arial" w:eastAsia="Arial" w:hAnsi="Arial"/>
                <w:sz w:val="18"/>
                <w:szCs w:val="18"/>
                <w:color w:val="auto"/>
                <w:w w:val="86"/>
              </w:rPr>
              <w:t>Preferred Stock Purchase Rights</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64"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$41,835,815,921 as of June 30, 2004.</w:t>
      </w:r>
    </w:p>
    <w:p>
      <w:pPr>
        <w:spacing w:after="0" w:line="158"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1,721,312,253 (Number of shares of common stock outstanding as of January 31, 2005)</w:t>
      </w:r>
    </w:p>
    <w:p>
      <w:pPr>
        <w:spacing w:after="0" w:line="15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Parts I, II and IV hereof incorporate information by reference to the Registrant’s 2004 annual report to stockholders. Part III hereof incorporates information by reference to the Registrant’s proxy statement for the 2005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503"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Texas Instruments Incorporated is headquartered in Dallas, Texas, and has manufacturing, design or sales operations in more than 25 countries. We have three separate business segments: 1) Semiconductor, which accounted for about 85 percent of our revenue in 2004; 2) Sensors &amp; Controls, which accounted for about 10 percent of our revenue; and 3) Educational &amp; Productivity Solutions, which accounted for about 5 percent of our revenue.</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information with respect to TI’s business segments and operations outside the United States, which is contained in the note to the financial statements captioned “Business Segment and Geographic Area Data” on pages 33 through 34 of TI’s 2004 annual report to stockholders, is incorporated herein by reference to such annual report.</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largest geographic sources of revenue, in order, are: Asia (excluding Japan), Europe, the United States and Japan. The company began operations in 1930 and is incorporated in Delaware.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Segment</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Semiconductors are the electronic building blocks used to create modern electronic systems and equipment. Semiconductors come in two basic forms: individual transistors, and integrated circuits (generally known as “chips”) that combine different transistors on a single piece of material to form a complete electronic circuit. Our Semiconductor segment designs, manufactures and sells integrated circuits.</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Typically, new chips are produced in limited quantities at first and then ramp to high-volume production over time. Chip prices and manufacturing costs tend to decline over time as manufacturing methods and product life cycles mature.</w:t>
      </w:r>
    </w:p>
    <w:p>
      <w:pPr>
        <w:spacing w:after="0" w:line="127"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The “semiconductor cycle” is an important concept that refers to the ebb and flow of supply and demand. The semiconductor market is characterized by periods of tight supply caused by strong demand and/or insufficient manufacturing capacity, followed by periods of surplus products caused by declining demand and/or excess manufacturing capacity. This cycle is affected by the significant time and capital required to build and maintain semiconductor manufacturing facilities.</w:t>
      </w:r>
    </w:p>
    <w:p>
      <w:pPr>
        <w:spacing w:after="0" w:line="7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We were the world’s third-largest semiconductor company in 2004 in terms of revenue, according to Gartner, Inc., an industry analyst. Historically, our Semiconductor segment averages a significantly higher growth rate than our other two business segments.</w:t>
      </w:r>
    </w:p>
    <w:p>
      <w:pPr>
        <w:spacing w:after="0" w:line="11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About 75 percent of Semiconductor revenue comes from our core products, which are analog semiconductors and digital signal processors, or DSPs. These products enhance, and often make possible, a variety of applications that serve the communications, computer, consumer, automotive and industrial markets. We believe that virtually all of today’s digital electronic equipment requires some form of analog or digital signal processing.</w:t>
      </w:r>
    </w:p>
    <w:p>
      <w:pPr>
        <w:spacing w:after="0" w:line="93" w:lineRule="exact"/>
        <w:rPr>
          <w:sz w:val="20"/>
          <w:szCs w:val="20"/>
          <w:color w:val="auto"/>
        </w:rPr>
      </w:pPr>
    </w:p>
    <w:p>
      <w:pPr>
        <w:ind w:right="960"/>
        <w:spacing w:after="0" w:line="228" w:lineRule="auto"/>
        <w:rPr>
          <w:sz w:val="20"/>
          <w:szCs w:val="20"/>
          <w:color w:val="auto"/>
        </w:rPr>
      </w:pPr>
      <w:r>
        <w:rPr>
          <w:rFonts w:ascii="Arial" w:cs="Arial" w:eastAsia="Arial" w:hAnsi="Arial"/>
          <w:sz w:val="18"/>
          <w:szCs w:val="18"/>
          <w:color w:val="auto"/>
        </w:rPr>
        <w:t>We also design and manufacture other types of semiconductors, such as Digital Light Processing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devices that enable exceptionally clear video, and microprocessors that serve as the brains of high-end computer servers.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2" w:right="25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Knowledge about the systems our products go into is becoming increasingly important, because it enables us to differentiate our product offerings for our customers. Where a customer may previously have required multiple chips for a system to operate, we are using our system-level knowledge to allow us to integrate the functionality of those multiple chips onto a few or even a single chip. A recent example is our single-chip cell phone, which combines the functionality of many separate chips onto a single chip. The digitization of electronics also requires more high-performance analog functionality. With expertise in both digital signal processing and analog at the system level, we believe we are one of a very few semiconductor companies capable of integrating both technologies onto a single chip.</w:t>
      </w:r>
    </w:p>
    <w:p>
      <w:pPr>
        <w:spacing w:after="0" w:line="1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we enable our customers, particularly original design manufacturers (ODMs), to take advantage of our system-level knowledge and thereby speed their time to market by making available to them standard chipsets and reference designs. (An ODM designs and manufactures products for other companies to sell under their brands. A chipset is a group of integrated circuits based principally on our technology that are designed to work together for a specific application and are therefore packaged and sold as a unit.) Reference designs are technical blueprints that contain all the essential elements in a system. Customers using our reference designs, such as cell-phone ODMs, may enhance or modify the design as required. Our ability to deliver integrated solutions and system-level knowledge allows our customers to create more advanced systems and products.</w:t>
      </w:r>
    </w:p>
    <w:p>
      <w:pPr>
        <w:spacing w:after="0" w:line="10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each of our product categories, we face significant competition. We believe that competitive performance in the semiconductor market depends upon several factors, including the breadth of a company’s product line as well as technological innovation, quality, reliability, price, customer service, technical support and scale.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detailed information on each product category: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Analog</w:t>
      </w:r>
    </w:p>
    <w:p>
      <w:pPr>
        <w:spacing w:after="0" w:line="7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w:t>
      </w:r>
    </w:p>
    <w:p>
      <w:pPr>
        <w:spacing w:after="0" w:line="4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analog semiconductor market is diverse and complex, and it is the largest sector of the semiconductor industry. We are one of the world’s largest suppliers of analog semiconductors. Analog chips generated about 40 percent of our Semiconductor revenue in 2004.</w:t>
      </w:r>
    </w:p>
    <w:p>
      <w:pPr>
        <w:spacing w:after="0" w:line="118"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Our analog product portfolio includes custom mixed-signal products that are designed to a particular customer’s or application’s specifications. These products account for about 60 percent of our analog revenue. The remainder of our analog revenue comes from standard products that are sold across a range of customers and applications. About 35 percent of our analog revenue is from high-performance standard products and about 5 percent is from commodity standard products.</w:t>
      </w:r>
    </w:p>
    <w:p>
      <w:pPr>
        <w:spacing w:after="0" w:line="75" w:lineRule="exact"/>
        <w:rPr>
          <w:sz w:val="20"/>
          <w:szCs w:val="20"/>
          <w:color w:val="auto"/>
        </w:rPr>
      </w:pPr>
    </w:p>
    <w:p>
      <w:pPr>
        <w:jc w:val="center"/>
        <w:ind w:right="560"/>
        <w:spacing w:after="0" w:line="440" w:lineRule="auto"/>
        <w:rPr>
          <w:sz w:val="20"/>
          <w:szCs w:val="20"/>
          <w:color w:val="auto"/>
        </w:rPr>
      </w:pPr>
      <w:r>
        <w:rPr>
          <w:rFonts w:ascii="Arial" w:cs="Arial" w:eastAsia="Arial" w:hAnsi="Arial"/>
          <w:sz w:val="18"/>
          <w:szCs w:val="18"/>
          <w:color w:val="auto"/>
        </w:rPr>
        <w:t>Most of our custom and standard products are proprietary and difficult for competitors to imitate. Many standard analog chips tend to have long life spans. 3</w:t>
      </w:r>
    </w:p>
    <w:p>
      <w:pPr>
        <w:sectPr>
          <w:pgSz w:w="11900" w:h="16838" w:orient="portrait"/>
          <w:cols w:equalWidth="0" w:num="1">
            <w:col w:w="11420"/>
          </w:cols>
          <w:pgMar w:left="240" w:top="280" w:right="239" w:bottom="1440" w:gutter="0" w:footer="0" w:header="0"/>
        </w:sectPr>
      </w:pPr>
    </w:p>
    <w:bookmarkStart w:id="3" w:name="page4"/>
    <w:bookmarkEnd w:id="3"/>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Approximately 15 percent of our analog revenue comes from products sold into wireless applications. Custom analog chips sold to cell-phone OEMs account for most of this revenue. (An OEM (original equipment manufacturer) designs and sells products under its own brand that it manufactures in-house or has contracted to other manufacturers.) A smaller portion comes from analog products included in chipsets that are sold to ODMs</w:t>
      </w:r>
      <w:r>
        <w:rPr>
          <w:rFonts w:ascii="Arial" w:cs="Arial" w:eastAsia="Arial" w:hAnsi="Arial"/>
          <w:sz w:val="16"/>
          <w:szCs w:val="16"/>
          <w:b w:val="1"/>
          <w:bCs w:val="1"/>
          <w:i w:val="1"/>
          <w:iCs w:val="1"/>
          <w:color w:val="auto"/>
        </w:rPr>
        <w:t>.</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mixed-signal products combine multiple types of analog functionality or analog and digital functions on a single chip. Purchasers of our custom mixed-signal products tend to be very large companies that require high-volume designs for specific applications such as communications, displays, printers and automotive. Entry into this market requires significant up-front investment as well as expertise in both analog and digital functionality. A primary competitive factor in this market is manufacturing expertise and scale.</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standard analog chip sub-category known as high-performance analog, we have a portfolio of more than 15,000 products, including data converters, amplifiers, power management devices and interface chips. Our high-performance analog products are used by more than 30,000 customers. These products are sold primarily through distributors. Prices in this market tend to be stable, with relatively high gross profit margins. The primary competitive factors are a diverse product portfolio to meet wide-ranging customer needs, and manufacturing process technologies that allow us to provide differentiated levels of performance. Products with higher levels of performance tend to command a premium price.</w:t>
      </w:r>
    </w:p>
    <w:p>
      <w:pPr>
        <w:spacing w:after="0" w:line="1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standard analog chips are commodity in nature. We design and manufacture thousands of low-cost, high-volume standard products that are sold primarily through distributors. End applications are very diverse and include portable electronic devices and communications. The primary competitive factors in this market are price and availability. Pricing is strongly influenced by supply and demand.</w:t>
      </w:r>
    </w:p>
    <w:p>
      <w:pPr>
        <w:spacing w:after="0" w:line="12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Overall in the analog market, we compete globally with numerous large and small companies, both broad-based suppliers and niche suppliers. Our primary competitors are Analog Devices, Inc.; Fairchild Semiconductor International, Inc.; Linear Technology Corporation; Maxim Integrated Products, Inc.; National Semiconductor Corporation; ON Semiconductor Corporation; Philips Semiconductors Incorporated; and STMicroelectronics NV.</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Digital Signal Processors, or DSPs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DSP is one of the fastest-growing sectors of the semiconductor industry. We are the world’s largest DSP supplier, and DSP represents about 35 percent of our Semiconductor revenue.</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DSPs use complex algorithms and compression techniques to alter and improve a data stream. DSPs perform these functions instantaneously and power efficiently. These products are ideal for applications that require precise, real-time processing of real-world analog signals that have been converted into digital form. Their power efficiency is important for battery-powered devices.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combination of DSP with analog functionality enables a broad range of significant applications. In a cell phone, the process works as follows: 1) the sender’s voice is picked up by an analog sensor in the cell phone’s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microphone; 2) an analog-to-digital converter chip changes the analog sound waves of the sender’s voice into a digital code; 3) the DSP compresses these digital signals and removes background noise; and 4) in the listener’s cell phone, the digital code is converted back into the analog sound of the sender’s voice. All this happens in real time.</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offer programmable DSPs, which, among other benefits, reduce risk for manufacturers because they can differentiate their product designs via software rather than having to design new hardware.</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DSP portfolio includes custom and standard products. Custom products are designed for specific customers and specific applications that include cell phones, broadband modems and certain consumer electronics devices such as digital still cameras.</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standard DSP products are sold into a broad range of applications such as industrial control, medical instrumentation, communications infrastructure and consumer electronics.</w:t>
      </w:r>
    </w:p>
    <w:p>
      <w:pPr>
        <w:spacing w:after="0" w:line="1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About 75 percent of our DSP revenue comes from the cell-phone market. Most of this revenue is derived from custom chips that we develop with large cell-phone manufacturer customers. These products are typically highly integrated semiconductor devices that allow our customers to differentiate their cell phone products from their competitors’ products through performance, features or cost, and are sold only to a single, high-volume customer. Additional DSP revenue from this market comes from our sales of chipsets. Also included in our DSP-based wireless portfolio are the widely used OMAP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processors, which are high-performance processors that enable multimedia applications in cell phones and other electronic devices.</w:t>
      </w:r>
    </w:p>
    <w:p>
      <w:pPr>
        <w:spacing w:after="0" w:line="129"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In the DSP market, we compete globally with numerous large and small companies, both broad-based and niche suppliers of DSPs as well as suppliers of other technologies that deliver functionality that competes with DSPs. Primary competitive factors are the ability to design and cost-effectively manufacture products, system-level knowledge about targeted end markets, software expertise and applications support. Our primary competitors in the DSP market are Agere Systems, Inc.; Analog Devices, Inc.; and Freescale Semiconductor, Inc. Others who offer competing technology include Broadcom Corp. and Qualcomm Incorporated.</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Semiconductor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other Semiconductor products, which combined account for about 25 percent of our Semiconductor revenue, include the following: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Light Processing or DLP</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Products</w:t>
      </w:r>
    </w:p>
    <w:p>
      <w:pPr>
        <w:spacing w:after="0" w:line="4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DLP technology is an all-digital display technology used in projectors and high-definition televisions. DLP products are micro-electromechanical systems that use optical semiconductors to digitally manipulate light. At the center of every DLP projection system is a digital micromirror device that projects clear, bright and sharp images. We supply DLP-based chipsets to more than 65 customers who then design, manufacture and market end equipment such as business and home front projectors, high-definition digital televisions and digital cinema projectors.</w:t>
      </w:r>
    </w:p>
    <w:p>
      <w:pPr>
        <w:spacing w:after="0" w:line="133" w:lineRule="exact"/>
        <w:rPr>
          <w:sz w:val="20"/>
          <w:szCs w:val="20"/>
          <w:color w:val="auto"/>
        </w:rPr>
      </w:pPr>
    </w:p>
    <w:p>
      <w:pPr>
        <w:jc w:val="center"/>
        <w:ind w:right="480"/>
        <w:spacing w:after="0" w:line="440" w:lineRule="auto"/>
        <w:rPr>
          <w:sz w:val="20"/>
          <w:szCs w:val="20"/>
          <w:color w:val="auto"/>
        </w:rPr>
      </w:pPr>
      <w:r>
        <w:rPr>
          <w:rFonts w:ascii="Arial" w:cs="Arial" w:eastAsia="Arial" w:hAnsi="Arial"/>
          <w:sz w:val="18"/>
          <w:szCs w:val="18"/>
          <w:color w:val="auto"/>
        </w:rPr>
        <w:t>Our DLP technology competes against technologies such as LCD (liquid crystal display), CRT (cathode-ray tube) and plasma displays made by a variety of 5</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manufacturers. Primary competitive factors in this market include picture quality, product form factors, versatility and price.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Instruction-Set Computing, or RISC, Microprocessors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microprocessor is the central processing unit of a computer system. RISC microprocessors are designed to provide very fast computing, typically for a specialized application such as servers. Our RISC operation is primarily the manufacture of 64-bit microprocessors designed by Sun Microsystems, Inc. for use in Sun servers.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Microcontrollers</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 microcontroller is a microprocessor designed to control a very specific task for electronic equipment. Key applications for our microcontrollers include automotive, industrial motors and controls, meters and consumer products. Primary competitive factors in this market include integration of control peripherals for reduced board space and number of components, an integrated development environment for fast system development and a broad range of microcontroller solutions for upgradeability and flexibility in system design.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Logic</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Logic devices are chips generally used to manage the interchange and manipulation of signals within a system. Our logic products are considered commodities, and as a result the primary competitive factor in this area is price. We sell thousands of logic products, primarily to distributors and OEMs. End applications include consumer products and communications.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 additional source of revenue for TI is royalties received for our patented technology that we license to other electronics companies.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Applications for Our Semiconductor Products</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table below lists the major end markets that use our Semiconductor products and the approximate percentage of our Semiconductor revenue that the market represents. The chart also lists the most frequent applications and our products used within these key markets.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End Market</w:t>
            </w: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Applications</w:t>
            </w:r>
          </w:p>
        </w:tc>
        <w:tc>
          <w:tcPr>
            <w:tcW w:w="1360" w:type="dxa"/>
            <w:vAlign w:val="bottom"/>
          </w:tcPr>
          <w:p>
            <w:pPr>
              <w:ind w:left="340"/>
              <w:spacing w:after="0"/>
              <w:rPr>
                <w:sz w:val="20"/>
                <w:szCs w:val="20"/>
                <w:color w:val="auto"/>
              </w:rPr>
            </w:pPr>
            <w:r>
              <w:rPr>
                <w:rFonts w:ascii="Arial" w:cs="Arial" w:eastAsia="Arial" w:hAnsi="Arial"/>
                <w:sz w:val="14"/>
                <w:szCs w:val="14"/>
                <w:b w:val="1"/>
                <w:bCs w:val="1"/>
                <w:color w:val="auto"/>
              </w:rPr>
              <w:t>TI Products</w:t>
            </w:r>
          </w:p>
        </w:tc>
      </w:tr>
      <w:tr>
        <w:trPr>
          <w:trHeight w:val="95"/>
        </w:trPr>
        <w:tc>
          <w:tcPr>
            <w:tcW w:w="8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309"/>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Communications</w:t>
            </w:r>
          </w:p>
        </w:tc>
        <w:tc>
          <w:tcPr>
            <w:tcW w:w="8220" w:type="dxa"/>
            <w:vAlign w:val="bottom"/>
            <w:gridSpan w:val="2"/>
          </w:tcPr>
          <w:p>
            <w:pPr>
              <w:spacing w:after="0"/>
              <w:rPr>
                <w:sz w:val="20"/>
                <w:szCs w:val="20"/>
                <w:color w:val="auto"/>
              </w:rPr>
            </w:pPr>
            <w:r>
              <w:rPr>
                <w:rFonts w:ascii="Arial" w:cs="Arial" w:eastAsia="Arial" w:hAnsi="Arial"/>
                <w:sz w:val="18"/>
                <w:szCs w:val="18"/>
                <w:color w:val="auto"/>
              </w:rPr>
              <w:t>Cell phones and infrastructure equipment (wireless)</w:t>
            </w:r>
          </w:p>
        </w:tc>
        <w:tc>
          <w:tcPr>
            <w:tcW w:w="1360" w:type="dxa"/>
            <w:vAlign w:val="bottom"/>
          </w:tcPr>
          <w:p>
            <w:pPr>
              <w:spacing w:after="0"/>
              <w:rPr>
                <w:sz w:val="20"/>
                <w:szCs w:val="20"/>
                <w:color w:val="auto"/>
              </w:rPr>
            </w:pPr>
            <w:r>
              <w:rPr>
                <w:rFonts w:ascii="Arial" w:cs="Arial" w:eastAsia="Arial" w:hAnsi="Arial"/>
                <w:sz w:val="18"/>
                <w:szCs w:val="18"/>
                <w:color w:val="auto"/>
              </w:rPr>
              <w:t>DSP, Analog,</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(50% of</w:t>
            </w:r>
          </w:p>
        </w:tc>
        <w:tc>
          <w:tcPr>
            <w:tcW w:w="8220" w:type="dxa"/>
            <w:vAlign w:val="bottom"/>
            <w:gridSpan w:val="2"/>
          </w:tcPr>
          <w:p>
            <w:pPr>
              <w:spacing w:after="0"/>
              <w:rPr>
                <w:sz w:val="20"/>
                <w:szCs w:val="20"/>
                <w:color w:val="auto"/>
              </w:rPr>
            </w:pPr>
            <w:r>
              <w:rPr>
                <w:rFonts w:ascii="Arial" w:cs="Arial" w:eastAsia="Arial" w:hAnsi="Arial"/>
                <w:sz w:val="18"/>
                <w:szCs w:val="18"/>
                <w:color w:val="auto"/>
                <w:w w:val="98"/>
              </w:rPr>
              <w:t>Broadband (including high-speed wireless home networking, cable modem, digital subscriber line (DSL))</w:t>
            </w:r>
          </w:p>
        </w:tc>
        <w:tc>
          <w:tcPr>
            <w:tcW w:w="1360" w:type="dxa"/>
            <w:vAlign w:val="bottom"/>
          </w:tcPr>
          <w:p>
            <w:pPr>
              <w:spacing w:after="0"/>
              <w:rPr>
                <w:sz w:val="20"/>
                <w:szCs w:val="20"/>
                <w:color w:val="auto"/>
              </w:rPr>
            </w:pPr>
            <w:r>
              <w:rPr>
                <w:rFonts w:ascii="Arial" w:cs="Arial" w:eastAsia="Arial" w:hAnsi="Arial"/>
                <w:sz w:val="18"/>
                <w:szCs w:val="18"/>
                <w:color w:val="auto"/>
              </w:rPr>
              <w:t>Logic</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Semiconductor</w:t>
            </w:r>
          </w:p>
        </w:tc>
        <w:tc>
          <w:tcPr>
            <w:tcW w:w="8220" w:type="dxa"/>
            <w:vAlign w:val="bottom"/>
            <w:gridSpan w:val="2"/>
          </w:tcPr>
          <w:p>
            <w:pPr>
              <w:spacing w:after="0"/>
              <w:rPr>
                <w:sz w:val="20"/>
                <w:szCs w:val="20"/>
                <w:color w:val="auto"/>
              </w:rPr>
            </w:pPr>
            <w:r>
              <w:rPr>
                <w:rFonts w:ascii="Arial" w:cs="Arial" w:eastAsia="Arial" w:hAnsi="Arial"/>
                <w:sz w:val="18"/>
                <w:szCs w:val="18"/>
                <w:color w:val="auto"/>
                <w:w w:val="93"/>
              </w:rPr>
              <w:t>High-frequency radio, telecom accessories (hands-free and voice-enhancement solutions), navigation systems</w:t>
            </w:r>
          </w:p>
        </w:tc>
        <w:tc>
          <w:tcPr>
            <w:tcW w:w="1360" w:type="dxa"/>
            <w:vAlign w:val="bottom"/>
          </w:tcPr>
          <w:p>
            <w:pPr>
              <w:spacing w:after="0"/>
              <w:rPr>
                <w:sz w:val="18"/>
                <w:szCs w:val="18"/>
                <w:color w:val="auto"/>
              </w:rPr>
            </w:pP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4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Computer Systems</w:t>
            </w:r>
          </w:p>
        </w:tc>
        <w:tc>
          <w:tcPr>
            <w:tcW w:w="8220" w:type="dxa"/>
            <w:vAlign w:val="bottom"/>
            <w:gridSpan w:val="2"/>
          </w:tcPr>
          <w:p>
            <w:pPr>
              <w:spacing w:after="0"/>
              <w:rPr>
                <w:sz w:val="20"/>
                <w:szCs w:val="20"/>
                <w:color w:val="auto"/>
              </w:rPr>
            </w:pPr>
            <w:r>
              <w:rPr>
                <w:rFonts w:ascii="Arial" w:cs="Arial" w:eastAsia="Arial" w:hAnsi="Arial"/>
                <w:sz w:val="18"/>
                <w:szCs w:val="18"/>
                <w:color w:val="auto"/>
              </w:rPr>
              <w:t>Printers</w:t>
            </w:r>
          </w:p>
        </w:tc>
        <w:tc>
          <w:tcPr>
            <w:tcW w:w="1360" w:type="dxa"/>
            <w:vAlign w:val="bottom"/>
          </w:tcPr>
          <w:p>
            <w:pPr>
              <w:spacing w:after="0"/>
              <w:rPr>
                <w:sz w:val="20"/>
                <w:szCs w:val="20"/>
                <w:color w:val="auto"/>
              </w:rPr>
            </w:pPr>
            <w:r>
              <w:rPr>
                <w:rFonts w:ascii="Arial" w:cs="Arial" w:eastAsia="Arial" w:hAnsi="Arial"/>
                <w:sz w:val="18"/>
                <w:szCs w:val="18"/>
                <w:color w:val="auto"/>
              </w:rPr>
              <w:t>Analog, DLP</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(30% of</w:t>
            </w:r>
          </w:p>
        </w:tc>
        <w:tc>
          <w:tcPr>
            <w:tcW w:w="8220" w:type="dxa"/>
            <w:vAlign w:val="bottom"/>
            <w:gridSpan w:val="2"/>
          </w:tcPr>
          <w:p>
            <w:pPr>
              <w:spacing w:after="0"/>
              <w:rPr>
                <w:sz w:val="20"/>
                <w:szCs w:val="20"/>
                <w:color w:val="auto"/>
              </w:rPr>
            </w:pPr>
            <w:r>
              <w:rPr>
                <w:rFonts w:ascii="Arial" w:cs="Arial" w:eastAsia="Arial" w:hAnsi="Arial"/>
                <w:sz w:val="18"/>
                <w:szCs w:val="18"/>
                <w:color w:val="auto"/>
              </w:rPr>
              <w:t>Hard disk drives</w:t>
            </w:r>
          </w:p>
        </w:tc>
        <w:tc>
          <w:tcPr>
            <w:tcW w:w="1360" w:type="dxa"/>
            <w:vAlign w:val="bottom"/>
          </w:tcPr>
          <w:p>
            <w:pPr>
              <w:spacing w:after="0"/>
              <w:rPr>
                <w:sz w:val="20"/>
                <w:szCs w:val="20"/>
                <w:color w:val="auto"/>
              </w:rPr>
            </w:pPr>
            <w:r>
              <w:rPr>
                <w:rFonts w:ascii="Arial" w:cs="Arial" w:eastAsia="Arial" w:hAnsi="Arial"/>
                <w:sz w:val="18"/>
                <w:szCs w:val="18"/>
                <w:color w:val="auto"/>
              </w:rPr>
              <w:t>Products,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Semiconductor</w:t>
            </w:r>
          </w:p>
        </w:tc>
        <w:tc>
          <w:tcPr>
            <w:tcW w:w="8220" w:type="dxa"/>
            <w:vAlign w:val="bottom"/>
            <w:gridSpan w:val="2"/>
          </w:tcPr>
          <w:p>
            <w:pPr>
              <w:spacing w:after="0"/>
              <w:rPr>
                <w:sz w:val="20"/>
                <w:szCs w:val="20"/>
                <w:color w:val="auto"/>
              </w:rPr>
            </w:pPr>
            <w:r>
              <w:rPr>
                <w:rFonts w:ascii="Arial" w:cs="Arial" w:eastAsia="Arial" w:hAnsi="Arial"/>
                <w:sz w:val="18"/>
                <w:szCs w:val="18"/>
                <w:color w:val="auto"/>
              </w:rPr>
              <w:t>Monitors and projectors</w:t>
            </w:r>
          </w:p>
        </w:tc>
        <w:tc>
          <w:tcPr>
            <w:tcW w:w="1360" w:type="dxa"/>
            <w:vAlign w:val="bottom"/>
          </w:tcPr>
          <w:p>
            <w:pPr>
              <w:spacing w:after="0"/>
              <w:rPr>
                <w:sz w:val="20"/>
                <w:szCs w:val="20"/>
                <w:color w:val="auto"/>
              </w:rPr>
            </w:pPr>
            <w:r>
              <w:rPr>
                <w:rFonts w:ascii="Arial" w:cs="Arial" w:eastAsia="Arial" w:hAnsi="Arial"/>
                <w:sz w:val="18"/>
                <w:szCs w:val="18"/>
                <w:color w:val="auto"/>
                <w:w w:val="97"/>
              </w:rPr>
              <w:t>Microprocessors,</w:t>
            </w: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220" w:type="dxa"/>
            <w:vAlign w:val="bottom"/>
            <w:gridSpan w:val="2"/>
          </w:tcPr>
          <w:p>
            <w:pPr>
              <w:spacing w:after="0"/>
              <w:rPr>
                <w:sz w:val="20"/>
                <w:szCs w:val="20"/>
                <w:color w:val="auto"/>
              </w:rPr>
            </w:pPr>
            <w:r>
              <w:rPr>
                <w:rFonts w:ascii="Arial" w:cs="Arial" w:eastAsia="Arial" w:hAnsi="Arial"/>
                <w:sz w:val="18"/>
                <w:szCs w:val="18"/>
                <w:color w:val="auto"/>
              </w:rPr>
              <w:t>Notebook and desktop personal computers</w:t>
            </w:r>
          </w:p>
        </w:tc>
        <w:tc>
          <w:tcPr>
            <w:tcW w:w="1360" w:type="dxa"/>
            <w:vAlign w:val="bottom"/>
          </w:tcPr>
          <w:p>
            <w:pPr>
              <w:spacing w:after="0"/>
              <w:rPr>
                <w:sz w:val="20"/>
                <w:szCs w:val="20"/>
                <w:color w:val="auto"/>
              </w:rPr>
            </w:pPr>
            <w:r>
              <w:rPr>
                <w:rFonts w:ascii="Arial" w:cs="Arial" w:eastAsia="Arial" w:hAnsi="Arial"/>
                <w:sz w:val="18"/>
                <w:szCs w:val="18"/>
                <w:color w:val="auto"/>
              </w:rPr>
              <w:t>Logic, DSP</w:t>
            </w:r>
          </w:p>
        </w:tc>
      </w:tr>
      <w:tr>
        <w:trPr>
          <w:trHeight w:val="378"/>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gridSpan w:val="2"/>
          </w:tcPr>
          <w:p>
            <w:pPr>
              <w:ind w:left="3840"/>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760" w:type="dxa"/>
            <w:vAlign w:val="bottom"/>
          </w:tcPr>
          <w:p>
            <w:pPr>
              <w:spacing w:after="0"/>
              <w:rPr>
                <w:sz w:val="20"/>
                <w:szCs w:val="20"/>
                <w:color w:val="auto"/>
              </w:rPr>
            </w:pPr>
            <w:r>
              <w:rPr>
                <w:rFonts w:ascii="Arial" w:cs="Arial" w:eastAsia="Arial" w:hAnsi="Arial"/>
                <w:sz w:val="18"/>
                <w:szCs w:val="18"/>
                <w:b w:val="1"/>
                <w:bCs w:val="1"/>
                <w:color w:val="auto"/>
              </w:rPr>
              <w:t>Consumer Products</w:t>
            </w:r>
          </w:p>
        </w:tc>
        <w:tc>
          <w:tcPr>
            <w:tcW w:w="8140" w:type="dxa"/>
            <w:vAlign w:val="bottom"/>
          </w:tcPr>
          <w:p>
            <w:pPr>
              <w:ind w:left="200"/>
              <w:spacing w:after="0"/>
              <w:rPr>
                <w:sz w:val="20"/>
                <w:szCs w:val="20"/>
                <w:color w:val="auto"/>
              </w:rPr>
            </w:pPr>
            <w:r>
              <w:rPr>
                <w:rFonts w:ascii="Arial" w:cs="Arial" w:eastAsia="Arial" w:hAnsi="Arial"/>
                <w:sz w:val="18"/>
                <w:szCs w:val="18"/>
                <w:color w:val="auto"/>
              </w:rPr>
              <w:t>High-definition televisions</w:t>
            </w:r>
          </w:p>
        </w:tc>
        <w:tc>
          <w:tcPr>
            <w:tcW w:w="1380" w:type="dxa"/>
            <w:vAlign w:val="bottom"/>
          </w:tcPr>
          <w:p>
            <w:pPr>
              <w:ind w:left="160"/>
              <w:spacing w:after="0"/>
              <w:rPr>
                <w:sz w:val="20"/>
                <w:szCs w:val="20"/>
                <w:color w:val="auto"/>
              </w:rPr>
            </w:pPr>
            <w:r>
              <w:rPr>
                <w:rFonts w:ascii="Arial" w:cs="Arial" w:eastAsia="Arial" w:hAnsi="Arial"/>
                <w:sz w:val="18"/>
                <w:szCs w:val="18"/>
                <w:color w:val="auto"/>
              </w:rPr>
              <w:t>DSP, Analog,</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(10% of</w:t>
            </w:r>
          </w:p>
        </w:tc>
        <w:tc>
          <w:tcPr>
            <w:tcW w:w="8140" w:type="dxa"/>
            <w:vAlign w:val="bottom"/>
          </w:tcPr>
          <w:p>
            <w:pPr>
              <w:ind w:left="200"/>
              <w:spacing w:after="0"/>
              <w:rPr>
                <w:sz w:val="20"/>
                <w:szCs w:val="20"/>
                <w:color w:val="auto"/>
              </w:rPr>
            </w:pPr>
            <w:r>
              <w:rPr>
                <w:rFonts w:ascii="Arial" w:cs="Arial" w:eastAsia="Arial" w:hAnsi="Arial"/>
                <w:sz w:val="18"/>
                <w:szCs w:val="18"/>
                <w:color w:val="auto"/>
              </w:rPr>
              <w:t>Digital still cameras</w:t>
            </w:r>
          </w:p>
        </w:tc>
        <w:tc>
          <w:tcPr>
            <w:tcW w:w="1380" w:type="dxa"/>
            <w:vAlign w:val="bottom"/>
          </w:tcPr>
          <w:p>
            <w:pPr>
              <w:ind w:left="160"/>
              <w:spacing w:after="0"/>
              <w:rPr>
                <w:sz w:val="20"/>
                <w:szCs w:val="20"/>
                <w:color w:val="auto"/>
              </w:rPr>
            </w:pPr>
            <w:r>
              <w:rPr>
                <w:rFonts w:ascii="Arial" w:cs="Arial" w:eastAsia="Arial" w:hAnsi="Arial"/>
                <w:sz w:val="18"/>
                <w:szCs w:val="18"/>
                <w:color w:val="auto"/>
              </w:rPr>
              <w:t>Logic, DLP</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Semiconductor</w:t>
            </w:r>
          </w:p>
        </w:tc>
        <w:tc>
          <w:tcPr>
            <w:tcW w:w="8140" w:type="dxa"/>
            <w:vAlign w:val="bottom"/>
          </w:tcPr>
          <w:p>
            <w:pPr>
              <w:ind w:left="200"/>
              <w:spacing w:after="0"/>
              <w:rPr>
                <w:sz w:val="20"/>
                <w:szCs w:val="20"/>
                <w:color w:val="auto"/>
              </w:rPr>
            </w:pPr>
            <w:r>
              <w:rPr>
                <w:rFonts w:ascii="Arial" w:cs="Arial" w:eastAsia="Arial" w:hAnsi="Arial"/>
                <w:sz w:val="18"/>
                <w:szCs w:val="18"/>
                <w:color w:val="auto"/>
              </w:rPr>
              <w:t>Digital audio players</w:t>
            </w:r>
          </w:p>
        </w:tc>
        <w:tc>
          <w:tcPr>
            <w:tcW w:w="1380" w:type="dxa"/>
            <w:vAlign w:val="bottom"/>
          </w:tcPr>
          <w:p>
            <w:pPr>
              <w:ind w:left="160"/>
              <w:spacing w:after="0"/>
              <w:rPr>
                <w:sz w:val="20"/>
                <w:szCs w:val="20"/>
                <w:color w:val="auto"/>
              </w:rPr>
            </w:pPr>
            <w:r>
              <w:rPr>
                <w:rFonts w:ascii="Arial" w:cs="Arial" w:eastAsia="Arial" w:hAnsi="Arial"/>
                <w:sz w:val="18"/>
                <w:szCs w:val="18"/>
                <w:color w:val="auto"/>
              </w:rPr>
              <w:t>Products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revenue)</w:t>
            </w:r>
          </w:p>
        </w:tc>
        <w:tc>
          <w:tcPr>
            <w:tcW w:w="8140" w:type="dxa"/>
            <w:vAlign w:val="bottom"/>
          </w:tcPr>
          <w:p>
            <w:pPr>
              <w:ind w:left="200"/>
              <w:spacing w:after="0"/>
              <w:rPr>
                <w:sz w:val="20"/>
                <w:szCs w:val="20"/>
                <w:color w:val="auto"/>
              </w:rPr>
            </w:pPr>
            <w:r>
              <w:rPr>
                <w:rFonts w:ascii="Arial" w:cs="Arial" w:eastAsia="Arial" w:hAnsi="Arial"/>
                <w:sz w:val="18"/>
                <w:szCs w:val="18"/>
                <w:color w:val="auto"/>
              </w:rPr>
              <w:t>Personal video players</w:t>
            </w:r>
          </w:p>
        </w:tc>
        <w:tc>
          <w:tcPr>
            <w:tcW w:w="13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After-market car audio (radios and CD players)</w:t>
            </w:r>
          </w:p>
        </w:tc>
        <w:tc>
          <w:tcPr>
            <w:tcW w:w="13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DVD players and recorders</w:t>
            </w:r>
          </w:p>
        </w:tc>
        <w:tc>
          <w:tcPr>
            <w:tcW w:w="1380" w:type="dxa"/>
            <w:vAlign w:val="bottom"/>
          </w:tcPr>
          <w:p>
            <w:pPr>
              <w:spacing w:after="0"/>
              <w:rPr>
                <w:sz w:val="18"/>
                <w:szCs w:val="18"/>
                <w:color w:val="auto"/>
              </w:rPr>
            </w:pPr>
          </w:p>
        </w:tc>
      </w:tr>
      <w:tr>
        <w:trPr>
          <w:trHeight w:val="222"/>
        </w:trPr>
        <w:tc>
          <w:tcPr>
            <w:tcW w:w="176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Home theater systems</w:t>
            </w:r>
          </w:p>
        </w:tc>
        <w:tc>
          <w:tcPr>
            <w:tcW w:w="1380" w:type="dxa"/>
            <w:vAlign w:val="bottom"/>
          </w:tcPr>
          <w:p>
            <w:pPr>
              <w:spacing w:after="0"/>
              <w:rPr>
                <w:sz w:val="19"/>
                <w:szCs w:val="19"/>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b w:val="1"/>
                <w:bCs w:val="1"/>
                <w:color w:val="auto"/>
              </w:rPr>
              <w:t>Automotive</w:t>
            </w:r>
          </w:p>
        </w:tc>
        <w:tc>
          <w:tcPr>
            <w:tcW w:w="8140" w:type="dxa"/>
            <w:vAlign w:val="bottom"/>
          </w:tcPr>
          <w:p>
            <w:pPr>
              <w:ind w:left="200"/>
              <w:spacing w:after="0"/>
              <w:rPr>
                <w:sz w:val="20"/>
                <w:szCs w:val="20"/>
                <w:color w:val="auto"/>
              </w:rPr>
            </w:pPr>
            <w:r>
              <w:rPr>
                <w:rFonts w:ascii="Arial" w:cs="Arial" w:eastAsia="Arial" w:hAnsi="Arial"/>
                <w:sz w:val="18"/>
                <w:szCs w:val="18"/>
                <w:color w:val="auto"/>
              </w:rPr>
              <w:t>Body systems</w:t>
            </w:r>
          </w:p>
        </w:tc>
        <w:tc>
          <w:tcPr>
            <w:tcW w:w="1380" w:type="dxa"/>
            <w:vAlign w:val="bottom"/>
          </w:tcPr>
          <w:p>
            <w:pPr>
              <w:ind w:left="160"/>
              <w:spacing w:after="0"/>
              <w:rPr>
                <w:sz w:val="20"/>
                <w:szCs w:val="20"/>
                <w:color w:val="auto"/>
              </w:rPr>
            </w:pPr>
            <w:r>
              <w:rPr>
                <w:rFonts w:ascii="Arial" w:cs="Arial" w:eastAsia="Arial" w:hAnsi="Arial"/>
                <w:sz w:val="18"/>
                <w:szCs w:val="18"/>
                <w:color w:val="auto"/>
                <w:w w:val="90"/>
              </w:rPr>
              <w:t>Microcontrollers,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(5% of</w:t>
            </w:r>
          </w:p>
        </w:tc>
        <w:tc>
          <w:tcPr>
            <w:tcW w:w="8140" w:type="dxa"/>
            <w:vAlign w:val="bottom"/>
          </w:tcPr>
          <w:p>
            <w:pPr>
              <w:ind w:left="200"/>
              <w:spacing w:after="0"/>
              <w:rPr>
                <w:sz w:val="20"/>
                <w:szCs w:val="20"/>
                <w:color w:val="auto"/>
              </w:rPr>
            </w:pPr>
            <w:r>
              <w:rPr>
                <w:rFonts w:ascii="Arial" w:cs="Arial" w:eastAsia="Arial" w:hAnsi="Arial"/>
                <w:sz w:val="18"/>
                <w:szCs w:val="18"/>
                <w:color w:val="auto"/>
              </w:rPr>
              <w:t>Chassis systems</w:t>
            </w:r>
          </w:p>
        </w:tc>
        <w:tc>
          <w:tcPr>
            <w:tcW w:w="1380" w:type="dxa"/>
            <w:vAlign w:val="bottom"/>
          </w:tcPr>
          <w:p>
            <w:pPr>
              <w:ind w:left="160"/>
              <w:spacing w:after="0"/>
              <w:rPr>
                <w:sz w:val="20"/>
                <w:szCs w:val="20"/>
                <w:color w:val="auto"/>
              </w:rPr>
            </w:pPr>
            <w:r>
              <w:rPr>
                <w:rFonts w:ascii="Arial" w:cs="Arial" w:eastAsia="Arial" w:hAnsi="Arial"/>
                <w:sz w:val="18"/>
                <w:szCs w:val="18"/>
                <w:color w:val="auto"/>
              </w:rPr>
              <w:t>Analog, DSP,</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Semiconductor</w:t>
            </w:r>
          </w:p>
        </w:tc>
        <w:tc>
          <w:tcPr>
            <w:tcW w:w="8140" w:type="dxa"/>
            <w:vAlign w:val="bottom"/>
          </w:tcPr>
          <w:p>
            <w:pPr>
              <w:ind w:left="200"/>
              <w:spacing w:after="0"/>
              <w:rPr>
                <w:sz w:val="20"/>
                <w:szCs w:val="20"/>
                <w:color w:val="auto"/>
              </w:rPr>
            </w:pPr>
            <w:r>
              <w:rPr>
                <w:rFonts w:ascii="Arial" w:cs="Arial" w:eastAsia="Arial" w:hAnsi="Arial"/>
                <w:sz w:val="18"/>
                <w:szCs w:val="18"/>
                <w:color w:val="auto"/>
              </w:rPr>
              <w:t>Driver information/telemetrics</w:t>
            </w:r>
          </w:p>
        </w:tc>
        <w:tc>
          <w:tcPr>
            <w:tcW w:w="1380" w:type="dxa"/>
            <w:vAlign w:val="bottom"/>
          </w:tcPr>
          <w:p>
            <w:pPr>
              <w:ind w:left="160"/>
              <w:spacing w:after="0"/>
              <w:rPr>
                <w:sz w:val="20"/>
                <w:szCs w:val="20"/>
                <w:color w:val="auto"/>
              </w:rPr>
            </w:pPr>
            <w:r>
              <w:rPr>
                <w:rFonts w:ascii="Arial" w:cs="Arial" w:eastAsia="Arial" w:hAnsi="Arial"/>
                <w:sz w:val="18"/>
                <w:szCs w:val="18"/>
                <w:color w:val="auto"/>
              </w:rPr>
              <w:t>Logic</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revenue)</w:t>
            </w:r>
          </w:p>
        </w:tc>
        <w:tc>
          <w:tcPr>
            <w:tcW w:w="8140" w:type="dxa"/>
            <w:vAlign w:val="bottom"/>
          </w:tcPr>
          <w:p>
            <w:pPr>
              <w:ind w:left="200"/>
              <w:spacing w:after="0"/>
              <w:rPr>
                <w:sz w:val="20"/>
                <w:szCs w:val="20"/>
                <w:color w:val="auto"/>
              </w:rPr>
            </w:pPr>
            <w:r>
              <w:rPr>
                <w:rFonts w:ascii="Arial" w:cs="Arial" w:eastAsia="Arial" w:hAnsi="Arial"/>
                <w:sz w:val="18"/>
                <w:szCs w:val="18"/>
                <w:color w:val="auto"/>
              </w:rPr>
              <w:t>Powertrain</w:t>
            </w:r>
          </w:p>
        </w:tc>
        <w:tc>
          <w:tcPr>
            <w:tcW w:w="13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Safety systems</w:t>
            </w:r>
          </w:p>
        </w:tc>
        <w:tc>
          <w:tcPr>
            <w:tcW w:w="1380" w:type="dxa"/>
            <w:vAlign w:val="bottom"/>
          </w:tcPr>
          <w:p>
            <w:pPr>
              <w:spacing w:after="0"/>
              <w:rPr>
                <w:sz w:val="18"/>
                <w:szCs w:val="18"/>
                <w:color w:val="auto"/>
              </w:rPr>
            </w:pPr>
          </w:p>
        </w:tc>
      </w:tr>
      <w:tr>
        <w:trPr>
          <w:trHeight w:val="222"/>
        </w:trPr>
        <w:tc>
          <w:tcPr>
            <w:tcW w:w="176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Security systems</w:t>
            </w:r>
          </w:p>
        </w:tc>
        <w:tc>
          <w:tcPr>
            <w:tcW w:w="1380" w:type="dxa"/>
            <w:vAlign w:val="bottom"/>
          </w:tcPr>
          <w:p>
            <w:pPr>
              <w:spacing w:after="0"/>
              <w:rPr>
                <w:sz w:val="19"/>
                <w:szCs w:val="19"/>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b w:val="1"/>
                <w:bCs w:val="1"/>
                <w:color w:val="auto"/>
              </w:rPr>
              <w:t>Industrial and Other</w:t>
            </w:r>
          </w:p>
        </w:tc>
        <w:tc>
          <w:tcPr>
            <w:tcW w:w="8140" w:type="dxa"/>
            <w:vAlign w:val="bottom"/>
          </w:tcPr>
          <w:p>
            <w:pPr>
              <w:ind w:left="200"/>
              <w:spacing w:after="0"/>
              <w:rPr>
                <w:sz w:val="20"/>
                <w:szCs w:val="20"/>
                <w:color w:val="auto"/>
              </w:rPr>
            </w:pPr>
            <w:r>
              <w:rPr>
                <w:rFonts w:ascii="Arial" w:cs="Arial" w:eastAsia="Arial" w:hAnsi="Arial"/>
                <w:sz w:val="18"/>
                <w:szCs w:val="18"/>
                <w:color w:val="auto"/>
                <w:w w:val="92"/>
              </w:rPr>
              <w:t>Controls - digital power controls (switch mode power supplies, uninterruptible power supply), motor controls</w:t>
            </w:r>
          </w:p>
        </w:tc>
        <w:tc>
          <w:tcPr>
            <w:tcW w:w="1380" w:type="dxa"/>
            <w:vAlign w:val="bottom"/>
          </w:tcPr>
          <w:p>
            <w:pPr>
              <w:ind w:left="160"/>
              <w:spacing w:after="0"/>
              <w:rPr>
                <w:sz w:val="20"/>
                <w:szCs w:val="20"/>
                <w:color w:val="auto"/>
              </w:rPr>
            </w:pPr>
            <w:r>
              <w:rPr>
                <w:rFonts w:ascii="Arial" w:cs="Arial" w:eastAsia="Arial" w:hAnsi="Arial"/>
                <w:sz w:val="18"/>
                <w:szCs w:val="18"/>
                <w:color w:val="auto"/>
              </w:rPr>
              <w:t>Analog, Logic,</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(5% of</w:t>
            </w:r>
          </w:p>
        </w:tc>
        <w:tc>
          <w:tcPr>
            <w:tcW w:w="8140" w:type="dxa"/>
            <w:vAlign w:val="bottom"/>
          </w:tcPr>
          <w:p>
            <w:pPr>
              <w:ind w:left="200"/>
              <w:spacing w:after="0"/>
              <w:rPr>
                <w:sz w:val="20"/>
                <w:szCs w:val="20"/>
                <w:color w:val="auto"/>
              </w:rPr>
            </w:pPr>
            <w:r>
              <w:rPr>
                <w:rFonts w:ascii="Arial" w:cs="Arial" w:eastAsia="Arial" w:hAnsi="Arial"/>
                <w:sz w:val="18"/>
                <w:szCs w:val="18"/>
                <w:color w:val="auto"/>
              </w:rPr>
              <w:t>(heating/ventilation/air conditioning, industrial control motor drives, power tools, printers/copiers)</w:t>
            </w:r>
          </w:p>
        </w:tc>
        <w:tc>
          <w:tcPr>
            <w:tcW w:w="1380" w:type="dxa"/>
            <w:vAlign w:val="bottom"/>
          </w:tcPr>
          <w:p>
            <w:pPr>
              <w:ind w:left="160"/>
              <w:spacing w:after="0"/>
              <w:rPr>
                <w:sz w:val="20"/>
                <w:szCs w:val="20"/>
                <w:color w:val="auto"/>
              </w:rPr>
            </w:pPr>
            <w:r>
              <w:rPr>
                <w:rFonts w:ascii="Arial" w:cs="Arial" w:eastAsia="Arial" w:hAnsi="Arial"/>
                <w:sz w:val="18"/>
                <w:szCs w:val="18"/>
                <w:color w:val="auto"/>
              </w:rPr>
              <w:t>DSP,</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Semiconductor</w:t>
            </w:r>
          </w:p>
        </w:tc>
        <w:tc>
          <w:tcPr>
            <w:tcW w:w="8140" w:type="dxa"/>
            <w:vAlign w:val="bottom"/>
          </w:tcPr>
          <w:p>
            <w:pPr>
              <w:ind w:left="200"/>
              <w:spacing w:after="0"/>
              <w:rPr>
                <w:sz w:val="20"/>
                <w:szCs w:val="20"/>
                <w:color w:val="auto"/>
              </w:rPr>
            </w:pPr>
            <w:r>
              <w:rPr>
                <w:rFonts w:ascii="Arial" w:cs="Arial" w:eastAsia="Arial" w:hAnsi="Arial"/>
                <w:sz w:val="18"/>
                <w:szCs w:val="18"/>
                <w:color w:val="auto"/>
                <w:w w:val="90"/>
              </w:rPr>
              <w:t>Military - data communications, electronic countermeasures, avionics, imagery systems, munitions, navigation</w:t>
            </w:r>
          </w:p>
        </w:tc>
        <w:tc>
          <w:tcPr>
            <w:tcW w:w="1380" w:type="dxa"/>
            <w:vAlign w:val="bottom"/>
          </w:tcPr>
          <w:p>
            <w:pPr>
              <w:ind w:left="160"/>
              <w:spacing w:after="0"/>
              <w:rPr>
                <w:sz w:val="20"/>
                <w:szCs w:val="20"/>
                <w:color w:val="auto"/>
              </w:rPr>
            </w:pPr>
            <w:r>
              <w:rPr>
                <w:rFonts w:ascii="Arial" w:cs="Arial" w:eastAsia="Arial" w:hAnsi="Arial"/>
                <w:sz w:val="18"/>
                <w:szCs w:val="18"/>
                <w:color w:val="auto"/>
                <w:w w:val="94"/>
              </w:rPr>
              <w:t>Microcontrollers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revenue)</w:t>
            </w:r>
          </w:p>
        </w:tc>
        <w:tc>
          <w:tcPr>
            <w:tcW w:w="8140" w:type="dxa"/>
            <w:vAlign w:val="bottom"/>
          </w:tcPr>
          <w:p>
            <w:pPr>
              <w:ind w:left="200"/>
              <w:spacing w:after="0"/>
              <w:rPr>
                <w:sz w:val="20"/>
                <w:szCs w:val="20"/>
                <w:color w:val="auto"/>
              </w:rPr>
            </w:pPr>
            <w:r>
              <w:rPr>
                <w:rFonts w:ascii="Arial" w:cs="Arial" w:eastAsia="Arial" w:hAnsi="Arial"/>
                <w:sz w:val="18"/>
                <w:szCs w:val="18"/>
                <w:color w:val="auto"/>
              </w:rPr>
              <w:t>radar, sonar</w:t>
            </w:r>
          </w:p>
        </w:tc>
        <w:tc>
          <w:tcPr>
            <w:tcW w:w="13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Medical - biophysical monitoring, digital hearing aids, medical imagery, personal medical devices</w:t>
            </w:r>
          </w:p>
        </w:tc>
        <w:tc>
          <w:tcPr>
            <w:tcW w:w="13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w w:val="96"/>
              </w:rPr>
              <w:t>Security - biometrics (fingerprint identification and authentication), intelligent sensing (smoke and glass-</w:t>
            </w:r>
          </w:p>
        </w:tc>
        <w:tc>
          <w:tcPr>
            <w:tcW w:w="1380" w:type="dxa"/>
            <w:vAlign w:val="bottom"/>
          </w:tcPr>
          <w:p>
            <w:pPr>
              <w:spacing w:after="0"/>
              <w:rPr>
                <w:sz w:val="18"/>
                <w:szCs w:val="18"/>
                <w:color w:val="auto"/>
              </w:rPr>
            </w:pPr>
          </w:p>
        </w:tc>
      </w:tr>
      <w:tr>
        <w:trPr>
          <w:trHeight w:val="222"/>
        </w:trPr>
        <w:tc>
          <w:tcPr>
            <w:tcW w:w="176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breakage detection)</w:t>
            </w:r>
          </w:p>
        </w:tc>
        <w:tc>
          <w:tcPr>
            <w:tcW w:w="1380" w:type="dxa"/>
            <w:vAlign w:val="bottom"/>
          </w:tcPr>
          <w:p>
            <w:pPr>
              <w:spacing w:after="0"/>
              <w:rPr>
                <w:sz w:val="19"/>
                <w:szCs w:val="19"/>
                <w:color w:val="auto"/>
              </w:rPr>
            </w:pP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Manufacturing</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manufacturing sites in the Americas, Japan, Asia and Europe. These facilities include high-volume wafer fabs and assembly/test sites. Our semiconductor manufacturing facilities require substantial investment to construct and are largely fixed-cost assets once they are in operation. Because we own most of our manufacturing capacity, a significant portion of our operating costs are fixed. In general, these costs do not decline when customer demand or our capacity utilization rates drop, and this can hurt our profit margins. Conversely, as product demand rises and factory utilization increases, the fixed costs are spread over increased output, which should benefit profit margins.</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semiconductor manufacturing process includes wafer fabrication, testing the wafer, cutting the wafer into individual chips, assembling individual chips into packages and then testing the packaged chip.</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advanced digital products require the most advanced and most capital-intensive manufacturing processes. DSPs and other digital products tend to move to more advanced logic production techniques every couple of years. Consequently, maintaining an industry leadership position requires significant capital expenditures for new manufacturing capabilities.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strategy for advanced digital processes is to build internal capacity to the level of what we believe is sustainable market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74" w:right="379" w:bottom="1440" w:gutter="0" w:footer="0" w:header="0"/>
        </w:sectPr>
      </w:pPr>
    </w:p>
    <w:bookmarkStart w:id="7" w:name="page8"/>
    <w:bookmarkEnd w:id="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demand. We then outsource extra capacity as needed from outside suppliers, including semiconductor foundries and assembly/test subcontractors. We also outsource the manufacturing of some products when it would be less cost-efficient to make those products in-house, for instance, relatively low-volume products that are unlikely to keep internal equipment fully utilized. This internal/external strategy is designed to reduce the level of our required capital expenditures, and thereby reduce our subsequent levels of depreciation. The expected end result is less fluctuation in our profit margins due to changing product demand. Currently, outside foundries provide about 20 percent of our total capacity needs.</w:t>
      </w:r>
    </w:p>
    <w:p>
      <w:pPr>
        <w:spacing w:after="0" w:line="10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As we move to each succeeding generation of manufacturing process technology, we utilize less space per transistor, which enables us to either: 1) fit more transistors on an equivalent-size chip, 2) decrease the chip’s size or 3) integrate new features onto the chip. By shrinking the size of transistors, we also can provide faster chips that consume less power and cost less per unit to manufacture.</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manufacturing capabilities are on par with the best in the semiconductor industry. In 2003, we were one of a few semiconductor companies in the world to adopt 300-millimeter (mm) wafers. This greatly expands the number of equivalent chips we can put on a single wafer, compared with the previous 200-mm wafers.</w:t>
      </w:r>
    </w:p>
    <w:p>
      <w:pPr>
        <w:spacing w:after="0" w:line="12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2004, a majority of our advanced digital products were built using 130-nanometer manufacturing process technology. We also began selling processors manufactured using 90-nanometer process technology. One nanometer is one billionth of a meter.</w:t>
      </w:r>
    </w:p>
    <w:p>
      <w:pPr>
        <w:spacing w:after="0" w:line="11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Since analog manufacturing technology evolves more slowly than digital manufacturing technology, analog products typically do not require us to build new manufacturing facilities. This tends to improve the profit margin on analog products, since the plants in which they are manufactured are frequently fully depreciated.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Design Centers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design. The design centers are strategically located around the world to take advantage of key technical and engineering talent and proximity to key customers.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Semiconductor products are sold to original equipment manufacturers (OEMs), original design manufacturers (ODMs), contract manufacturers and distributors. As we noted earlier, an ODM designs and manufactures products for other companies to sell under their brands; an OEM designs and sells products under its own brand that it manufactures in-house or has contracted to other manufacturers. Our largest single customer in 2004 was an OEM, the Nokia group of companies. In 2003, Nokia accounted for 14 percent of our revenue. Direct sales to Nokia were slightly less than 10 percent of our revenue in 2004, although if indirect sales such as to contract manufacturers are included, Nokia accounted for more than 10 percent of our 2004 revenue.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and Distribution</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market and sell our products through a direct sales force, distributors and authorized third-party sales representatives. We have sales offices in over 25 countries worldwide. Distributors, located around the world, account for about 25 percent of our Semiconductor revenue, and they sell our products directly to a wide range of customers. These distributors typically maintain an inventory of our products. They also sell products from our competitors.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 Segment</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Sensors &amp; Controls segment designs and manufactures sensors, electrical and electronic controls, and radio frequency identification (RFID) systems. We have Sensors &amp; Controls manufacturing operations in the Americas, Europe and Asia, and we also source some products from third-party manufacturers. Sensors &amp; Controls represented about 10 percent of our revenue in 2004.</w:t>
      </w:r>
    </w:p>
    <w:p>
      <w:pPr>
        <w:spacing w:after="0" w:line="127" w:lineRule="exact"/>
        <w:rPr>
          <w:sz w:val="20"/>
          <w:szCs w:val="20"/>
          <w:color w:val="auto"/>
        </w:rPr>
      </w:pPr>
    </w:p>
    <w:p>
      <w:pPr>
        <w:jc w:val="both"/>
        <w:ind w:right="560"/>
        <w:spacing w:after="0" w:line="335" w:lineRule="auto"/>
        <w:rPr>
          <w:sz w:val="20"/>
          <w:szCs w:val="20"/>
          <w:color w:val="auto"/>
        </w:rPr>
      </w:pPr>
      <w:r>
        <w:rPr>
          <w:rFonts w:ascii="Arial" w:cs="Arial" w:eastAsia="Arial" w:hAnsi="Arial"/>
          <w:sz w:val="15"/>
          <w:szCs w:val="15"/>
          <w:color w:val="auto"/>
        </w:rPr>
        <w:t>Our sensors business is the market leader in pressure sensing for the heating/ventilation/air conditioning, automotive and industrial markets. Our products improve operating performance, for example, by making a car’s heating and air-conditioning systems work more efficiently. Our pressure sensors for fuel injection and vehicle stability improve safety and performance and help the environment by reducing vehicle emissions and improving gas mileage.</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controls business includes controls, motor protectors, circuit breakers, arc-fault circuit protectors and thermostats. These products help prevent damage from overheating and fires in a wide variety of applications, including aircraft, commercial heating and air-conditioning systems, refrigerators, cars, lighting and industrial applications.</w:t>
      </w:r>
    </w:p>
    <w:p>
      <w:pPr>
        <w:spacing w:after="0" w:line="12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RFID technology uses wireless radio communications to uniquely identify objects or people. RFID technology creates an automatic way to collect information about a product, place, time or transaction quickly, easily and without human error. It provides a wireless data link that functions even when there is no line of sight. In addition, RFID can be used as a data carrier, with information being written and updated to the RFID tag in real time.</w:t>
      </w:r>
    </w:p>
    <w:p>
      <w:pPr>
        <w:spacing w:after="0" w:line="9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RFID technology is used in a broad range of applications including access control to buildings, pay-at-the-pump gasoline sales, vehicle security, document tracking, livestock tracking and identification, product authentication, retail, sports timing, supply chain, ticketing and wireless payment. Our RFID systems consist of a transponder, receiver and other components such as antennas.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Competition</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Sensors &amp; Controls is typically the top supplier in its targeted product areas, though we do have strong multinational and regional competitors. The primary competitive factors in this business are product reliability, manufacturing costs and engineering expertise.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Sensors &amp; Controls products are sold to OEMs and distributors.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Educational &amp; Productivity Solutions (E&amp;PS) Segment</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Educational &amp; Productivity Solutions is a leading supplier of graphing handheld calculators. This business segment also provides its customers with business and scientific calculators and a wide range of advanced classroom tools and professional development resources to help students and teachers interactively explore math and science. E&amp;PS relies on third-party manufacturers to build its products. This segment contributed about 5 percent of our 2004 revenue.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Competition</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principal competitors in this business are U.S.- and Japan-based companies. The principal competitive factors are an understanding of the education market, technology expertise and price.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E&amp;PS sells its products primarily through retailers and instructional dealers.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Divestitures and Investments</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we consider acquisitions and divestitures that may strengthen our business portfolio. We had no large acquisitions or divestitures in 2004. We also make investments directly or indirectly in private companies. Investments are focused primarily on next-generation applications of digital signal processors and other technologies and markets strategic to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Backlog</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dollar amount of backlog of orders was $1576 million at December 31, 2004, and $1708 million at December 31, 2003. A substantial number of orders are shipped during the quarter in which they are received. We define backlog as of a particular date as firm purchase orders with a customer requested delivery date within a maximum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we believe that our backlog at any particular date may not be indicative of revenue for any future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that portfolio. We also have several agreements with other companies involving license rights and anticipate that other license agreements may be negotiated in the future. Our Semiconductor patent portfolio is an ongoing contributor to Semiconductor revenue. We do not consider our business materially dependent upon any one patent or patent license, although taken as a whole, our rights and the products made and sold under patents and patent licenses are important to our business.</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18"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DLP</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and OMAP</w:t>
      </w:r>
      <w:r>
        <w:rPr>
          <w:rFonts w:ascii="Arial" w:cs="Arial" w:eastAsia="Arial" w:hAnsi="Arial"/>
          <w:sz w:val="22"/>
          <w:szCs w:val="22"/>
          <w:color w:val="auto"/>
          <w:vertAlign w:val="superscript"/>
        </w:rPr>
        <w:t>TM</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(R&amp;D)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primary area of R&amp;D investment is semiconductor products and semiconductor manufacturing technology. We conduct most of our R&amp;D internally.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also closely engage with a wide range of external industry consortia and universities.</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to revenue until at least a few years following completion.</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R&amp;D expense was $1978 million in 2004, compared with $1748 million in 2003 and $1619 million in 2002. Included is a charge for the value of acquisition-related in-process R&amp;D of zero in 2004, $23 million in 2003, and $1 million in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Our revenue and operating results are subject to some seasonal variation. E&amp;PS experiences its strongest results in the second and third quarters due to the back-to-school season. The Semiconductor segment generally has a seasonally weak first quarter due to product areas such as wireless and digital consumer.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2004, we had 35,472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Statements Regarding Future Results of Operations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read the following cautionary statements in conjunction with the factors discussed elsewhere in this and other of our filings with the Securities and Exchange Commission (SEC) and in materials incorporated by reference in these filings. These cautionary statements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performance of our customers. Similarly, the price of our securities is subject to volatility due to fluctuations in general market conditions, differences in our results of operations from estimates and projections generated by the investment community, and other factors beyond our control.</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semiconductor business is our largest business segment and the principal source of our revenue. The semiconductor market has historically been cyclical and subject to significant and often rapid increases and decreases in demand. These changes could adversely affect our results of operations and have an adverse effect on the market price of our securities. In particular, our strategic focus in this business is on the development and marketing of analog integrated circuits and digital signal processors. The results of our operations may be adversely affected in the future if demand for analog integrated circuits or digital signal processors decreases or if these markets or key end-equipment markets such as telecommunications and computers grow at a significantly slower pace than management expects.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most of our manufacturing capacity, a significant portion of our operating costs are fixed. In general, these costs do not decline with reductions in customer demand or our utilization of our manufacturing capacity, and can adversely affect profit margins as a result.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The Technology Industry Is Characterized by Rapid Technological Change That Requires Us to Develop New Technologies and Products.</w:t>
      </w:r>
    </w:p>
    <w:p>
      <w:pPr>
        <w:spacing w:after="0" w:line="10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that the products we do develop and market will be well received by customers or that we will realize a return on the capital expended to develop such products.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that the level of this competition will increase in the future from large, established semiconductor and related product companies, as well as from emerging companies serving niche markets that we also serve. Certain of our competitors possess sufficient financial, technical and management resources to develop and market products that may compete favorably against those of our products that currently offer technological and/or price advantages over competitive products. Competition results in price and product development pressures, which may result in reduced profit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margins and lost business opportunities in the event that we are unable to match price declines or technological, product, applications support, software or manufacturing advances of our competitors.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Performance Depends in Part upon Our Ability to Enforce Our Intellectual Property Rights and to Develop or License New Intellectual Property.</w:t>
      </w:r>
    </w:p>
    <w:p>
      <w:pPr>
        <w:spacing w:after="0" w:line="10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benefit from royalties generated from various license agreements. Some agreements will come up for renegotiation in 2005. Others will come up for renegotiation in future years. Access to worldwide markets depends in part on the continued strength of our intellectual property portfolio. Future royalty revenue depends on the strength of our portfolio and enforcement efforts, and on the sales and financial stability of our licensees. Additionally, the consolidation of our licensees may negatively affect our royalty revenue. We actively enforce and protect our intellectual property rights, but there can be no assurance that our efforts will be adequate to prevent the misappropriation or improper use of the protected technology. Moreover, there can be no assurance that, as our business expands into new areas, we will be able to independently develop the technology, software or know-how necessary to conduct our business or that we can do so without infringing the intellectual property rights of others. We may have to rely increasingly on licensed technology from others. To the extent that we rely on licenses from others, there can be no assurance that we will be able to obtain all of the licenses we desire in the future on terms we consider reasonable or at all. The lack of a necessary license could expose us to claims for damages and/or injunction from third parties, as well as claims for indemnification by our customers in instances where we have contractually agreed to indemnify our customers against damages resulting from infringement claims.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 Decline in Demand in Certain End-User Markets Could Have a Material Adverse Effect on the Demand for Our Products and Results of Operations.</w:t>
      </w:r>
    </w:p>
    <w:p>
      <w:pPr>
        <w:spacing w:after="0" w:line="10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customer base includes companies in a wide range of industries, but we generate a significant amount of revenue from sales to customers in the telecommunications and computer-related industries. Within these industries, a large portion of our revenue is generated by the sale of analog integrated circuits and digital signal processors to customers in the cellular phone, personal computer and communications infrastructure markets. Decline in one or several of these end-user markets could have a material adverse effect on the demand for our products and our results of operations.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Global Manufacturing, Design and Sales Activities Subject Us to Risks Associated with Legal, Political, Economic or Other Changes.</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facilities in more than 25 countries worldwide, and in 2004 more than 80 percent of our revenue came from sales to locations outside the United States. Operating internationally exposes us to changes in export controls and other laws or policies, as well as the general political and economic conditions, security risks, health conditions and possible disruptions in transportation networks, of the various countries in which we operate, which could result in an adverse effect on our business operations in such countries and our results of operations. Also, as discussed in more detail on pages 11, 19-20 and 56-57 of our 2004 annual report to stockholders, we use forward currency exchange contracts to minimize the adverse earnings impact from the effect of exchange rate fluctuations on our non-U.S. dollar net balance sheet exposures. Nevertheless, in periods when the U.S. dollar significantly fluctuates in relation to the non-U.S. currencies in which we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 business, the remeasurement of non-U.S. dollar transactions can have an adverse effect on our non-U.S. business.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Our Customers or Suppliers Operate.</w:t>
      </w:r>
    </w:p>
    <w:p>
      <w:pPr>
        <w:spacing w:after="0" w:line="7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We have manufacturing and other operations in locations subject to natural events such as severe weather and earthquakes that could disrupt operations. In addition, our suppliers and customers also have operations in such locations. A natural disaster that results in a prolonged disruption to our operations, or our customers’ or suppliers’, may adversely affect our results of operations and financial condition.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Loss of or Significant Curtailment of Purchases by Any of Our Largest Customers Could Adversely Affect Our Results of Operations.</w:t>
      </w:r>
    </w:p>
    <w:p>
      <w:pPr>
        <w:spacing w:after="0" w:line="77"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inventory adjustments may adversely affect our results of operations.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ability to match inventory and production mix with the product mix needed to fill current orders and orders to be delivered in the given quarter may affect our ability to meet that quarter’s revenue forecast. In addition, when responding to customers’ requests for shorter shipment lead times, we manufacture product based on forecasts of customers’ demands. These forecasts are based on multiple assumptions. If we inaccurately forecast customer demand, we may hold excess or obsolete inventory that would reduce our profit margins and adversely affect our results of operation.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Performance Depends on the Availability of Raw Materials, Critical Manufacturing Equipment and Third-Party Manufacturing Services.</w:t>
      </w:r>
    </w:p>
    <w:p>
      <w:pPr>
        <w:spacing w:after="0" w:line="10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Limited or delayed access to key raw materials used in the manufacturing process or critical manufacturing equipment could adversely impact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depend on a limited number of third parties to perform these functions. We do not have long-term contracts with all of these third parties. Reliance on these third parties involves risks, including possible shortages of capacity in periods of high demand.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Changes in Taxation.</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facilities in more than 25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 In addition, we are subject to laws and regulations in various locations that govern the determination of which is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appropriate jurisdiction to decide when and how much profit has been earned and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could affect our ability to realize those deferred tax assets, which could also affect our results of operations. Each quarter we forecast our tax liability based on our forecast of our performance for the year. If that performance forecast changes, our forecasted tax liability may change.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Changes in the Accounting Treatment of Stock Options and Other Share-Based Compensation Could Adversely Affect Our Results of Operations.</w:t>
      </w:r>
    </w:p>
    <w:p>
      <w:pPr>
        <w:spacing w:after="0" w:line="1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currently account for share-based payments to employees (which include stock options) using the intrinsic value method of APB No. 25, “Accounting for Stock Issued to Employees” and, as such, generally recognize no compensation cost for employee stock options. In December 2004, the Financial Accounting Standards Board issued Statement of Financial Accounting Standards No. 123(revised 2004), “Share-Based Payments”, (SFAS 123(R)). SFAS 123(R) requires companies to adopt the fair-value methodology of valuing stock options and other share-based compensation and recognize that valuation in the financial statements from the date of grant. This change in accounting treatment of employee stock options could materially and adversely affect our results of operations, as the share-based compensation expense would be charged directly against our earnings. Furthermore, adoption of SFAS 123(R) will require us to make certain assumptions and judgments in the valuation of stock options that we may grant in the future. A change in any of those assumptions or judgments could change the compensation expense that is charged against our earnings and, consequently, adversely affect our results of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could be subject to warranty or product liability claims that could lead to significant expenses as we defend such claims or pay damage awards. In the event of a warranty claim, we may also incur costs if we decide to compensate the affected customer. We do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claims or product recalls may adversely affect our results of operations.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Continued Success Depends in Part on Our Ability to Retain and Recruit a Sufficient Number of Qualified Employees in a Competitive Environment.</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continued success depends in part on the retention and recruitment of skilled personnel, including technical, marketing, management and staff personnel. Experienced personnel in the electronics industry are in high demand and competition for their skills is intense. There can be no assurance that we will be able to successfully retain and recruit the key personnel that we require.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Information</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file annual, quarterly and special reports, proxy statements and other information with the SEC. You may read and copy any reports, statements and other information we have filed at the SEC’s Public Reference Room at 450 Fifth Street, N.W., Washington, D.C. 20549. Please call (800)SEC-0330 for further information on the Public Reference Room. The SEC maintains an Internet web site that contains reports, proxy and information statements and other information regarding issuers that file electronically with the SEC. Our filings are also available to the public at the web site maintained by the SEC, http://www.sec.gov.</w:t>
      </w:r>
    </w:p>
    <w:p>
      <w:pPr>
        <w:spacing w:after="0" w:line="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 The URL for our investor relations web site is www.ti.com/ir.</w:t>
      </w:r>
    </w:p>
    <w:p>
      <w:pPr>
        <w:spacing w:after="0" w:line="9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Available on our web site at www.ti.com/corporategovernance are: (i) the company’s Corporate Governance Guidelines; (ii) charters (Statements of Responsibilities)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P.O. Box 660199, MS 8657, Dallas, Texas, 75266-0199, Attention: Investor Relations.</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We own and lease facilities in the United States and 16 other countries for manufacturing and design purposes. The following table indicates the general location of our principal manufacturing and design operations and the business segments that make major use of them. Except as otherwise indicated, we own these facilities.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79"/>
              </w:rPr>
              <w:t>Sensors</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9"/>
        </w:trPr>
        <w:tc>
          <w:tcPr>
            <w:tcW w:w="89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Semi-</w:t>
            </w:r>
          </w:p>
        </w:tc>
        <w:tc>
          <w:tcPr>
            <w:tcW w:w="102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rPr>
              <w:t>&amp;</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74"/>
        </w:trPr>
        <w:tc>
          <w:tcPr>
            <w:tcW w:w="89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conductor</w:t>
            </w:r>
          </w:p>
        </w:tc>
        <w:tc>
          <w:tcPr>
            <w:tcW w:w="5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6"/>
              </w:rPr>
              <w:t>Controls</w:t>
            </w:r>
          </w:p>
        </w:tc>
        <w:tc>
          <w:tcPr>
            <w:tcW w:w="52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E&amp;PS</w:t>
            </w:r>
          </w:p>
        </w:tc>
      </w:tr>
      <w:tr>
        <w:trPr>
          <w:trHeight w:val="95"/>
        </w:trPr>
        <w:tc>
          <w:tcPr>
            <w:tcW w:w="89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309"/>
        </w:trPr>
        <w:tc>
          <w:tcPr>
            <w:tcW w:w="8920" w:type="dxa"/>
            <w:vAlign w:val="bottom"/>
          </w:tcPr>
          <w:p>
            <w:pPr>
              <w:spacing w:after="0"/>
              <w:rPr>
                <w:sz w:val="20"/>
                <w:szCs w:val="20"/>
                <w:color w:val="auto"/>
              </w:rPr>
            </w:pPr>
            <w:r>
              <w:rPr>
                <w:rFonts w:ascii="Arial" w:cs="Arial" w:eastAsia="Arial" w:hAnsi="Arial"/>
                <w:sz w:val="18"/>
                <w:szCs w:val="18"/>
                <w:color w:val="auto"/>
              </w:rPr>
              <w:t>Dallas, Texas</w:t>
            </w:r>
            <w:r>
              <w:rPr>
                <w:rFonts w:ascii="Arial" w:cs="Arial" w:eastAsia="Arial" w:hAnsi="Arial"/>
                <w:sz w:val="22"/>
                <w:szCs w:val="22"/>
                <w:color w:val="auto"/>
                <w:vertAlign w:val="superscript"/>
              </w:rPr>
              <w:t>(1)</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8920" w:type="dxa"/>
            <w:vAlign w:val="bottom"/>
          </w:tcPr>
          <w:p>
            <w:pPr>
              <w:spacing w:after="0" w:line="217" w:lineRule="exact"/>
              <w:rPr>
                <w:sz w:val="20"/>
                <w:szCs w:val="20"/>
                <w:color w:val="auto"/>
              </w:rPr>
            </w:pPr>
            <w:r>
              <w:rPr>
                <w:rFonts w:ascii="Arial" w:cs="Arial" w:eastAsia="Arial" w:hAnsi="Arial"/>
                <w:sz w:val="18"/>
                <w:szCs w:val="18"/>
                <w:color w:val="auto"/>
              </w:rPr>
              <w:t>Attleboro, Massachusetts</w:t>
            </w:r>
            <w:r>
              <w:rPr>
                <w:rFonts w:ascii="Arial" w:cs="Arial" w:eastAsia="Arial" w:hAnsi="Arial"/>
                <w:sz w:val="22"/>
                <w:szCs w:val="22"/>
                <w:color w:val="auto"/>
                <w:vertAlign w:val="superscript"/>
              </w:rPr>
              <w:t>(2)</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line="217" w:lineRule="exact"/>
              <w:rPr>
                <w:sz w:val="20"/>
                <w:szCs w:val="20"/>
                <w:color w:val="auto"/>
              </w:rPr>
            </w:pPr>
            <w:r>
              <w:rPr>
                <w:rFonts w:ascii="Arial" w:cs="Arial" w:eastAsia="Arial" w:hAnsi="Arial"/>
                <w:sz w:val="18"/>
                <w:szCs w:val="18"/>
                <w:color w:val="auto"/>
              </w:rPr>
              <w:t>Sherman, Texas</w:t>
            </w:r>
            <w:r>
              <w:rPr>
                <w:rFonts w:ascii="Arial" w:cs="Arial" w:eastAsia="Arial" w:hAnsi="Arial"/>
                <w:sz w:val="22"/>
                <w:szCs w:val="22"/>
                <w:color w:val="auto"/>
                <w:vertAlign w:val="superscript"/>
              </w:rPr>
              <w:t>(1)(2)</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Houston, Texas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Miho, Japan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line="217"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2"/>
                <w:szCs w:val="22"/>
                <w:color w:val="auto"/>
                <w:vertAlign w:val="superscript"/>
              </w:rPr>
              <w:t>(3)</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Freising, Germany</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Taipei, Taiwan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line="217"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2"/>
                <w:szCs w:val="22"/>
                <w:color w:val="auto"/>
                <w:vertAlign w:val="superscript"/>
              </w:rPr>
              <w:t>(4)</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line="217" w:lineRule="exact"/>
              <w:rPr>
                <w:sz w:val="20"/>
                <w:szCs w:val="20"/>
                <w:color w:val="auto"/>
              </w:rPr>
            </w:pPr>
            <w:r>
              <w:rPr>
                <w:rFonts w:ascii="Arial" w:cs="Arial" w:eastAsia="Arial" w:hAnsi="Arial"/>
                <w:sz w:val="18"/>
                <w:szCs w:val="18"/>
                <w:color w:val="auto"/>
              </w:rPr>
              <w:t>Baguio, Philippines</w:t>
            </w:r>
            <w:r>
              <w:rPr>
                <w:rFonts w:ascii="Arial" w:cs="Arial" w:eastAsia="Arial" w:hAnsi="Arial"/>
                <w:sz w:val="22"/>
                <w:szCs w:val="22"/>
                <w:color w:val="auto"/>
                <w:vertAlign w:val="superscript"/>
              </w:rPr>
              <w:t>(5)</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Tucson, Arizona</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Hiji, Japan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Nice, France</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Bangalore, India</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line="217" w:lineRule="exact"/>
              <w:rPr>
                <w:sz w:val="20"/>
                <w:szCs w:val="20"/>
                <w:color w:val="auto"/>
              </w:rPr>
            </w:pPr>
            <w:r>
              <w:rPr>
                <w:rFonts w:ascii="Arial" w:cs="Arial" w:eastAsia="Arial" w:hAnsi="Arial"/>
                <w:sz w:val="18"/>
                <w:szCs w:val="18"/>
                <w:color w:val="auto"/>
              </w:rPr>
              <w:t>Changzhou, China</w:t>
            </w:r>
            <w:r>
              <w:rPr>
                <w:rFonts w:ascii="Arial" w:cs="Arial" w:eastAsia="Arial" w:hAnsi="Arial"/>
                <w:sz w:val="22"/>
                <w:szCs w:val="22"/>
                <w:color w:val="auto"/>
                <w:vertAlign w:val="superscript"/>
              </w:rPr>
              <w:t>(2)</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line="217" w:lineRule="exact"/>
              <w:rPr>
                <w:sz w:val="20"/>
                <w:szCs w:val="20"/>
                <w:color w:val="auto"/>
              </w:rPr>
            </w:pPr>
            <w:r>
              <w:rPr>
                <w:rFonts w:ascii="Arial" w:cs="Arial" w:eastAsia="Arial" w:hAnsi="Arial"/>
                <w:sz w:val="18"/>
                <w:szCs w:val="18"/>
                <w:color w:val="auto"/>
              </w:rPr>
              <w:t>Tokyo, Japan</w:t>
            </w:r>
            <w:r>
              <w:rPr>
                <w:rFonts w:ascii="Arial" w:cs="Arial" w:eastAsia="Arial" w:hAnsi="Arial"/>
                <w:sz w:val="22"/>
                <w:szCs w:val="22"/>
                <w:color w:val="auto"/>
                <w:vertAlign w:val="superscript"/>
              </w:rPr>
              <w:t>(2)</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Baoying, China</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Jincheon, South Korea</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99"/>
        </w:trPr>
        <w:tc>
          <w:tcPr>
            <w:tcW w:w="8920" w:type="dxa"/>
            <w:vAlign w:val="bottom"/>
          </w:tcPr>
          <w:p>
            <w:pPr>
              <w:spacing w:after="0"/>
              <w:rPr>
                <w:sz w:val="20"/>
                <w:szCs w:val="20"/>
                <w:color w:val="auto"/>
              </w:rPr>
            </w:pPr>
            <w:r>
              <w:rPr>
                <w:rFonts w:ascii="Arial" w:cs="Arial" w:eastAsia="Arial" w:hAnsi="Arial"/>
                <w:sz w:val="18"/>
                <w:szCs w:val="18"/>
                <w:color w:val="auto"/>
              </w:rPr>
              <w:t>San Diego, California</w:t>
            </w:r>
            <w:r>
              <w:rPr>
                <w:rFonts w:ascii="Arial" w:cs="Arial" w:eastAsia="Arial" w:hAnsi="Arial"/>
                <w:sz w:val="22"/>
                <w:szCs w:val="22"/>
                <w:color w:val="auto"/>
                <w:vertAlign w:val="superscript"/>
              </w:rPr>
              <w:t>(2)</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7" w:lineRule="exact"/>
        <w:rPr>
          <w:sz w:val="20"/>
          <w:szCs w:val="20"/>
          <w:color w:val="auto"/>
        </w:rPr>
      </w:pPr>
    </w:p>
    <w:p>
      <w:pPr>
        <w:ind w:left="460" w:right="34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Certain facilities or portions thereof in Dallas and Sherman are leased to Raytheon Company or Raytheon-related entities in connection with the sale in 1997 of our defense systems and electronics business.</w:t>
      </w:r>
    </w:p>
    <w:p>
      <w:pPr>
        <w:sectPr>
          <w:pgSz w:w="11900" w:h="16838" w:orient="portrait"/>
          <w:cols w:equalWidth="0" w:num="1">
            <w:col w:w="11420"/>
          </w:cols>
          <w:pgMar w:left="240" w:top="263"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Leased.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of the land and a portion of the facilities are leased; a portion of the facilities is owned.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Portions of both the land and facilities are leased and owned.</w:t>
      </w:r>
    </w:p>
    <w:p>
      <w:pPr>
        <w:spacing w:after="0" w:line="46" w:lineRule="exact"/>
        <w:rPr>
          <w:sz w:val="20"/>
          <w:szCs w:val="20"/>
          <w:color w:val="auto"/>
        </w:rPr>
      </w:pPr>
    </w:p>
    <w:p>
      <w:pPr>
        <w:sectPr>
          <w:pgSz w:w="11900" w:h="16838" w:orient="portrait"/>
          <w:cols w:equalWidth="0" w:num="2">
            <w:col w:w="140" w:space="320"/>
            <w:col w:w="10960"/>
          </w:cols>
          <w:pgMar w:left="240" w:top="263" w:right="239" w:bottom="1440" w:gutter="0" w:footer="0" w:header="0"/>
          <w:type w:val="continuous"/>
        </w:sectPr>
      </w:pPr>
    </w:p>
    <w:p>
      <w:pPr>
        <w:ind w:left="460" w:hanging="452"/>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Owned facilities located on leased land.</w:t>
      </w:r>
    </w:p>
    <w:p>
      <w:pPr>
        <w:spacing w:after="0" w:line="14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facilities in the United States contained approximately 14,800,000 square feet at December 31, 2004, of which approximately 3,000,000 square feet were leased. Our facilities outside the United States contained approximately 6,800,000 square feet at December 31, 2004, of which approximately 1,600,000 square feet were leased.</w:t>
      </w:r>
    </w:p>
    <w:p>
      <w:pPr>
        <w:spacing w:after="0" w:line="12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believe that our existing properties are in good condition and suitable for their intended purpose. As discussed in Item 1, we outsource a portion of our product manufacturing. At the end of 2004, we occupied substantially all of the space in our facilities.</w:t>
      </w:r>
    </w:p>
    <w:p>
      <w:pPr>
        <w:spacing w:after="0" w:line="11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Leases covering our currently occupied leased facilities expire at varying dates generally within the next 11 years. We anticipate no difficulty in either retaining occupancy through lease renewals, month-to-month occupancy or purchases of leased facilities, or replacing the leased facilities with equivalent facilities.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3" w:right="239" w:bottom="1440" w:gutter="0" w:footer="0" w:header="0"/>
          <w:type w:val="continuous"/>
        </w:sectPr>
      </w:pPr>
    </w:p>
    <w:bookmarkStart w:id="17" w:name="page18"/>
    <w:bookmarkEnd w:id="1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Italian government auditors have substantially completed a review, conducted in the ordinary course, of approximately $250 million of grants from the Italian government to TI’s former memory operations in Italy. The auditors have raised a number of issues relating to compliance with grant requirements and the eligibility of specific expenses for the grants. As of December 31, 2004, the auditors have issued audit reports on twelve of thirteen projects. The Ministry of Industry is responsible for reviewing the auditor’s findings. Depending on the Ministry’s decision, the review may result in a demand from the Italian government that we repay a portion of the grants. We believe that the grants were obtained and used in compliance with applicable law and contractual obligations. As of December 31, 2004, the Ministry has published final decrees on ten of the projects representing approximately $135 million of the grants. We do not expect the outcome to have a material adverse impact on our financial condition, results of operations or liquidity.</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2004, the Delaware Chancery Court ruled on claims and counterclaims filed by TI and by Qualcomm Incorporated. The litigation was initiated by Qualcomm, a developer and marketer of digital wireless communications products based on Code Division Multiple Access (CDMA) technology. Qualcomm sought a declaration (a) that TI breached the Patent Portfolio Agreement dated December 2, 2000, between TI and Qualcomm by disclosing information concerning the business relationship between the parties in violation of the confidentiality provisions in the Agreement and (b) that as a result Qualcomm is entitled to terminate TI’s rights under the Agreement. The complaint also requested damages, attorneys’ fees and costs of suit. TI then filed a motion to dismiss and itself filed an action against Qualcomm for breach of contract. On June 3, 2004, TI filed a motion for summary judgment on Qualcomm’s claim that TI had materially breached the Agreement. On July 14, 2004, the Court granted TI’s motion for summary judgment. The Court agreed with TI’s argument that its disclosure of information regarding terms of the Agreement was not a material breach of the Agreement, and that Qualcomm was not entitled to terminate TI’s rights under the Agreement. Also, on July 14, 2004, the Court granted Qualcomm’s motion for summary judgment on TI’s claim that Qualcomm had breached the Agreement. Qualcomm subsequently dismissed its damages claim for non-material breach of the Agreement but amended its counterclaim to allege that TI’s filing of its case in Chancery Court was a material breach entitling Qualcomm to terminate the Agreement. On September 24, 2004, the Court ruled in TI’s favor that TI’s filing of its case did not breach the Agreement. Qualcomm has appealed the Chancery Court’s ruling. TI believes the appeal is without merit.</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involved in various proceedings conducted by the federal Environmental Protection Agency and certain other governmental environmental agencies regarding clean-up of contaminated sites. These proceedings are being coordinated with the agencies and, in certain cases, with other potentially responsible parties (PRPs). Although the factual situations and the progress of each of these matters differ, we believe that the amount of our liability will not have a material adverse effect upon our financial condition, results of operations or liquidity.</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contained under the caption “Common Stock Prices and Dividends” on page 59 of TI’s 2004 annual report to stockholders, and the information concerning the number of stockholders of record at December 31, 2004, on page 42 of such annual report are incorporated herein by reference to such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2004: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Total Number</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Part of</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Publicly</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Average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or</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4"/>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Purchased (1)</w:t>
            </w:r>
          </w:p>
        </w:tc>
        <w:tc>
          <w:tcPr>
            <w:tcW w:w="1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Programs</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through October 31, 2004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6,400,000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24.23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6,400,000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49,873,856(2)</w:t>
            </w:r>
          </w:p>
        </w:tc>
        <w:tc>
          <w:tcPr>
            <w:tcW w:w="0" w:type="dxa"/>
            <w:vAlign w:val="bottom"/>
          </w:tcPr>
          <w:p>
            <w:pPr>
              <w:spacing w:after="0"/>
              <w:rPr>
                <w:sz w:val="1"/>
                <w:szCs w:val="1"/>
                <w:color w:val="auto"/>
              </w:rPr>
            </w:pPr>
          </w:p>
        </w:tc>
      </w:tr>
      <w:tr>
        <w:trPr>
          <w:trHeight w:val="322"/>
        </w:trPr>
        <w:tc>
          <w:tcPr>
            <w:tcW w:w="7540" w:type="dxa"/>
            <w:vAlign w:val="bottom"/>
            <w:gridSpan w:val="3"/>
          </w:tcPr>
          <w:p>
            <w:pPr>
              <w:spacing w:after="0"/>
              <w:rPr>
                <w:sz w:val="20"/>
                <w:szCs w:val="20"/>
                <w:color w:val="auto"/>
              </w:rPr>
            </w:pPr>
            <w:r>
              <w:rPr>
                <w:rFonts w:ascii="Arial" w:cs="Arial" w:eastAsia="Arial" w:hAnsi="Arial"/>
                <w:sz w:val="18"/>
                <w:szCs w:val="18"/>
                <w:color w:val="auto"/>
              </w:rPr>
              <w:t>November 1 through November 30, 2004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2,415,900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24.48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2,415,900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47,884,777(3)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through December 31, 2004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6,180,000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23.83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6,180,000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41,208,200(4)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14,995,900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24.10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14,995,900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41,208,200(4)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0" w:right="20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purchases during the quarter were made under one of the following authorizations from our Board of Directors: (a) authorization to purchase up to 21 million shares of TI common stock (announced by the company on February 19, 2004); and (b) authorization to purchase up to $1 billion of additional shares of TI common stock (announced by the company on September 16, 2004, the “September 2004 Authorization”). No expiration date has been specified for either of these authorizations.</w:t>
      </w:r>
    </w:p>
    <w:p>
      <w:pPr>
        <w:spacing w:after="0" w:line="48" w:lineRule="exact"/>
        <w:rPr>
          <w:rFonts w:ascii="Arial" w:cs="Arial" w:eastAsia="Arial" w:hAnsi="Arial"/>
          <w:sz w:val="18"/>
          <w:szCs w:val="18"/>
          <w:color w:val="auto"/>
        </w:rPr>
      </w:pPr>
    </w:p>
    <w:p>
      <w:pPr>
        <w:ind w:left="460" w:right="40"/>
        <w:spacing w:after="0" w:line="306" w:lineRule="auto"/>
        <w:rPr>
          <w:rFonts w:ascii="Arial" w:cs="Arial" w:eastAsia="Arial" w:hAnsi="Arial"/>
          <w:sz w:val="18"/>
          <w:szCs w:val="18"/>
          <w:color w:val="auto"/>
        </w:rPr>
      </w:pPr>
      <w:r>
        <w:rPr>
          <w:rFonts w:ascii="Arial" w:cs="Arial" w:eastAsia="Arial" w:hAnsi="Arial"/>
          <w:sz w:val="16"/>
          <w:szCs w:val="16"/>
          <w:color w:val="auto"/>
        </w:rPr>
        <w:t>All purchases were made through open-market purchases except for 1,150,000 shares that were acquired in October through a privately-negotiated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12"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the table, the number of shares that may yet be purchased under the September 2004 Authorization has been calculated by dividing the remaining dollar authorization as of the end of the period ($1 billion) by the New York Stock Exchange (NYSE) closing stock price of October 29, 2004 ($24.45) and rounding to the nearest whole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2" w:right="239" w:bottom="1440" w:gutter="0" w:footer="0" w:header="0"/>
        </w:sectPr>
      </w:pPr>
    </w:p>
    <w:bookmarkStart w:id="19" w:name="page20"/>
    <w:bookmarkEnd w:id="19"/>
    <w:p>
      <w:pPr>
        <w:ind w:left="460" w:right="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the table, the number of shares that may yet be purchased under the September 2004 Authorization has been calculated by dividing the remaining dollar authorization as of the end of the period ($940,861,128) by the NYSE closing stock price of November 30, 2004 ($24.18) and rounding to the nearest whole share.</w:t>
      </w:r>
    </w:p>
    <w:p>
      <w:pPr>
        <w:spacing w:after="0" w:line="45"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purposes of the table, the number of shares that may yet be purchased under the September 2004 Authorization has been calculated by dividing the remaining dollar authorization as of the end of the period ($793,605,029) by the NYSE closing stock price of December 31, 2004 ($24.62) and rounding to the nearest whole share.</w:t>
      </w:r>
    </w:p>
    <w:p>
      <w:pPr>
        <w:spacing w:after="0" w:line="45"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In the first quarter of 2005, our Board of Directors approved the repurchase of $2 billion of additional shares of TI stock (announced on January 25, 2005). No expiration date has been specified for this authorization.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“Summary of Selected Financial Data” for the years 2000 through 2004, which appears on page 42 of TI’s 2004 annual report to stockholders,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43 through 57 of TI’s 2004 annual report to stockholders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information concerning market risk is contained on pages 56 and 57 of TI’s 2004 annual report to stockholders and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8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consolidated financial statements of the company at December 31, 2004 and 2003, and for each of the three years in the period ended December 31, 2004, and the report thereon of the independent registered public accounting firm, on pages 6 through 39 of TI’s 2004 annual report to stockholders, are incorporated herein by reference to such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“Quarterly Financial Data” on page 58 of TI’s 2004 annual report to stockholders is also incorporated herein by reference to such annual report.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adequate to ensure that information required to be disclosed by TI in the reports that we file or submit under the Exchange Act is recorded, processed, summarized and reported, within the time periods specified in the Commission’s rules and forms.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Management’s assessment on our internal control over financial reporting is contained in the Report of Management on Internal Control over Financial Reporting on page 40 of our 2004 annual report to stockholders and is incorporated herein by reference to such annual report.</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Report of Independent Registered Public Accounting Firm on Internal Control over Financial Reporting opining on management’s assessment, included in the Report of Management on Internal Control over Financial Reporting, and opining on the effectiveness of TI’s internal control over financial reporting is contained on page 41 of our 2004 annual report to stockholders and is incorporated herein by reference to such annual report.</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2005 annual meeting of stockholders, is incorporated herein by reference to such proxy statement.</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with respect to the company’s audit committee financial expert contained under the caption “Board Organization” in our proxy statement for the 2005 annual meeting of stockholders is incorporated herein by reference to such proxy statement.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1" w:name="page22"/>
    <w:bookmarkEnd w:id="2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an alphabetical list of the names and ages of the executive officers of the company and the positions or offices with the company presently held by each person named: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83"/>
              </w:rPr>
              <w:t>Age</w:t>
            </w:r>
          </w:p>
        </w:tc>
        <w:tc>
          <w:tcPr>
            <w:tcW w:w="400" w:type="dxa"/>
            <w:vAlign w:val="bottom"/>
          </w:tcPr>
          <w:p>
            <w:pPr>
              <w:spacing w:after="0"/>
              <w:rPr>
                <w:sz w:val="15"/>
                <w:szCs w:val="15"/>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3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16"/>
        </w:trPr>
        <w:tc>
          <w:tcPr>
            <w:tcW w:w="2440" w:type="dxa"/>
            <w:vAlign w:val="bottom"/>
            <w:gridSpan w:val="2"/>
          </w:tcPr>
          <w:p>
            <w:pPr>
              <w:spacing w:after="0"/>
              <w:rPr>
                <w:sz w:val="20"/>
                <w:szCs w:val="20"/>
                <w:color w:val="auto"/>
              </w:rPr>
            </w:pPr>
            <w:r>
              <w:rPr>
                <w:rFonts w:ascii="Arial" w:cs="Arial" w:eastAsia="Arial" w:hAnsi="Arial"/>
                <w:sz w:val="18"/>
                <w:szCs w:val="18"/>
                <w:color w:val="auto"/>
              </w:rPr>
              <w:t>Gilles Delfassy</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49</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Thomas J. Engibous</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52</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 Chairman of the Board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Michael J. Hames</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46</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Joseph F. Hubach</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47</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 Secretary and General Counsel</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Chung-Shing (C.S.) Lee</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50</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Stephen H. Leven</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53</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Melendy E. Lovett</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46</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89"/>
              </w:rPr>
              <w:t>Senior Vice President (President, Educational &amp; Productivity Solutions)</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Gregg A. Lowe</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42</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Kevin P. March</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47</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Kevin J. Ritchie</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48</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Richard K. Templeton</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46</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 President and Chief Executive Officer</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John C. Van Scoter</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43</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Teresa L. West</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44</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Thomas Wroe, Jr.</w:t>
            </w:r>
          </w:p>
        </w:tc>
        <w:tc>
          <w:tcPr>
            <w:tcW w:w="940" w:type="dxa"/>
            <w:vAlign w:val="bottom"/>
            <w:gridSpan w:val="2"/>
          </w:tcPr>
          <w:p>
            <w:pPr>
              <w:jc w:val="center"/>
              <w:ind w:left="634"/>
              <w:spacing w:after="0"/>
              <w:rPr>
                <w:sz w:val="20"/>
                <w:szCs w:val="20"/>
                <w:color w:val="auto"/>
              </w:rPr>
            </w:pPr>
            <w:r>
              <w:rPr>
                <w:rFonts w:ascii="Arial" w:cs="Arial" w:eastAsia="Arial" w:hAnsi="Arial"/>
                <w:sz w:val="18"/>
                <w:szCs w:val="18"/>
                <w:color w:val="auto"/>
                <w:w w:val="89"/>
              </w:rPr>
              <w:t>54</w:t>
            </w:r>
          </w:p>
        </w:tc>
        <w:tc>
          <w:tcPr>
            <w:tcW w:w="4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 (President, Sensors &amp; Controls)</w:t>
            </w:r>
          </w:p>
        </w:tc>
      </w:tr>
    </w:tbl>
    <w:p>
      <w:pPr>
        <w:spacing w:after="0" w:line="14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term of office of the above-listed officers is from the date of their election until their successor shall have been elected and qualified. Ms. West and Messrs. Engibous, Hubach, Leven, Templeton and Wroe have served as executive officers of the company for more than five years. Messrs. Delfassy and Hames have served as executive officers of the company since 2000 and have been employees of the company for more than five years. Messrs. Lee and Lowe have served as executive officers of the company since 2001 and have been employees of the company for more than five years. Mr. March became an executive officer of the company in 2003 and has been an employee of the company for more than five years. Ms. Lovett and Mr. Ritchie became executive officers of the company in 2004 and have been employees of the company for more than five years. Mr. Van Scoter became an executive officer of the company in 2005 and has been an employee of the company for more than five years.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7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www.ti.com/ir. We intend to satisfy the disclosure requirements of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2" w:name="page23"/>
    <w:bookmarkEnd w:id="22"/>
    <w:p>
      <w:pPr>
        <w:ind w:left="20" w:right="1420" w:hanging="4"/>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Securities and Exchange Commission regarding amendments to, or waivers from, the Code by posting such information on the same web site. </w:t>
      </w:r>
      <w:r>
        <w:rPr>
          <w:rFonts w:ascii="Arial" w:cs="Arial" w:eastAsia="Arial" w:hAnsi="Arial"/>
          <w:sz w:val="18"/>
          <w:szCs w:val="18"/>
          <w:u w:val="single" w:color="auto"/>
          <w:color w:val="auto"/>
        </w:rPr>
        <w:t>Audit Committee</w:t>
      </w:r>
    </w:p>
    <w:p>
      <w:pPr>
        <w:spacing w:after="0" w:line="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have a separately-designated standing audit committee established in accordance with Section 3(a)5(58)(A) of the Securities and Exchange Act of 1934. The following directors are members of TI’s Audit Committee: James R. Adams (Chair), Carrie S. Cox, Gerald W. Fronterhouse and Pamela H. Patsley.</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2005 annual meeting of stockholders is incorporated herein by reference to such proxy statement.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information contained under the caption “Equity Compensation Plan Information” in our proxy statement for the 2005 annual meeting of stockholders is incorporated herein by reference to such proxy statement.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concerning (a) the only persons that have reported beneficial ownership of more than 5 percent of the common stock of TI, and (b) the ownership of TI’s common stock by the persons who served as chief executive officer during 2004 and the four other most highly compensated executive officers, and all executive officers and directors as a group, that is contained under the caption “Share Ownership of Certain Persons” in our proxy statement for the 2005 annual meeting of stockholders, is incorporated herein by reference to such proxy statement. The information concerning ownership of TI’s common stock by each of the directors, which is contained under the caption “Directors’ Ages, Service and Stock Ownership” in such proxy statement, is also incorporated herein by reference to such proxy statement.</w:t>
      </w:r>
    </w:p>
    <w:p>
      <w:pPr>
        <w:spacing w:after="0" w:line="1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contained under the caption “Certain Business Relationships” in the company’s proxy statement for the 2005 annual meeting of stockholders is incorporated herein by reference to such 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of our proxy statement for the 2005 annual meeting of stockholders is incorporated herein by reference to such proxy statement.</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274" w:right="4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1 and 2. Financial Statements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financial statement schedule are listed in the index on page 33 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Designation of</w:t>
            </w: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580" w:type="dxa"/>
            <w:vAlign w:val="bottom"/>
          </w:tcPr>
          <w:p>
            <w:pPr>
              <w:spacing w:after="0"/>
              <w:rPr>
                <w:sz w:val="14"/>
                <w:szCs w:val="14"/>
                <w:color w:val="auto"/>
              </w:rPr>
            </w:pPr>
          </w:p>
        </w:tc>
      </w:tr>
      <w:tr>
        <w:trPr>
          <w:trHeight w:val="149"/>
        </w:trPr>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Exhibit in</w:t>
            </w: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580" w:type="dxa"/>
            <w:vAlign w:val="bottom"/>
          </w:tcPr>
          <w:p>
            <w:pPr>
              <w:spacing w:after="0"/>
              <w:rPr>
                <w:sz w:val="12"/>
                <w:szCs w:val="12"/>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this Report</w:t>
            </w:r>
          </w:p>
        </w:tc>
        <w:tc>
          <w:tcPr>
            <w:tcW w:w="10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r>
      <w:tr>
        <w:trPr>
          <w:trHeight w:val="417"/>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89"/>
              </w:rPr>
              <w:t>Restated Certificate of Incorporation of the Registrant (incorporated by reference to Exhibit 3(a) to the Registrant’s Annual Report on Form 10-K</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3(b)</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89"/>
              </w:rPr>
              <w:t>Certificate of Amendment to Restated Certificate of Incorporation of the Registrant (incorporated by reference to Exhibit 3(b) to the Registrant’s</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89"/>
              </w:rPr>
              <w:t>Certificate of Amendment to Restated Certificate of Incorporation of the Registrant (incorporated by reference to Exhibit 3(c) to the Registrant’s</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3(d)</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91"/>
              </w:rPr>
              <w:t>Certificate of Amendment to Restated Certificate of Incorporation of the Registrant (incorporated by reference to Exhibit 3 to the Registrant’s</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Quarterly Report on Form 10-Q for the quarter ended June 30, 1996).</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90"/>
              </w:rPr>
              <w:t>Certificate of Ownership merging Texas Instruments Automation Controls, Inc. into the Registrant (incorporated by reference to Exhibit 3(e) to</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the Registrant’s 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rPr>
              <w:t>3(f)</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93"/>
              </w:rPr>
              <w:t>Certificate of Elimination of Designations of Preferred Stock of the Registrant (incorporated by reference to Exhibit 3(f) to the Registrant’s</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3(g)</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95"/>
              </w:rPr>
              <w:t>Certificate of Ownership and Merger merging Tiburon Systems, Inc. into the Registrant (incorporated by reference to Exhibit 4(g) to the</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3(h)</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93"/>
              </w:rPr>
              <w:t>Certificate of Ownership and Merger merging Tartan, Inc. into the Registrant (incorporated by reference to Exhibit 4(h) to the Registrant’s</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Registration Statement No. 333-41919 on Form S-8).</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2"/>
              </w:rPr>
              <w:t>3(i)</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w w:val="90"/>
              </w:rPr>
              <w:t>Certificate of Designation relating to the Registrant’s Participating Cumulative Preferred Stock (incorporated by reference to Exhibit 4(a) to the</w:t>
            </w:r>
          </w:p>
        </w:tc>
      </w:tr>
      <w:tr>
        <w:trPr>
          <w:trHeight w:val="222"/>
        </w:trPr>
        <w:tc>
          <w:tcPr>
            <w:tcW w:w="1080" w:type="dxa"/>
            <w:vAlign w:val="bottom"/>
          </w:tcPr>
          <w:p>
            <w:pPr>
              <w:spacing w:after="0"/>
              <w:rPr>
                <w:sz w:val="19"/>
                <w:szCs w:val="19"/>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Registrant’s Quarterly Report on Form 10-Q for the quarter ended September 30, 1998).</w:t>
            </w:r>
          </w:p>
        </w:tc>
      </w:tr>
      <w:tr>
        <w:trPr>
          <w:trHeight w:val="365"/>
        </w:trPr>
        <w:tc>
          <w:tcPr>
            <w:tcW w:w="1080" w:type="dxa"/>
            <w:vAlign w:val="bottom"/>
          </w:tcPr>
          <w:p>
            <w:pPr>
              <w:spacing w:after="0"/>
              <w:rPr>
                <w:sz w:val="24"/>
                <w:szCs w:val="24"/>
                <w:color w:val="auto"/>
              </w:rPr>
            </w:pPr>
          </w:p>
        </w:tc>
        <w:tc>
          <w:tcPr>
            <w:tcW w:w="10300" w:type="dxa"/>
            <w:vAlign w:val="bottom"/>
            <w:gridSpan w:val="3"/>
          </w:tcPr>
          <w:p>
            <w:pPr>
              <w:jc w:val="right"/>
              <w:ind w:right="558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80"/>
          </w:cols>
          <w:pgMar w:left="240" w:top="422" w:right="279" w:bottom="1440" w:gutter="0" w:footer="0" w:header="0"/>
        </w:sectPr>
      </w:pPr>
    </w:p>
    <w:bookmarkStart w:id="25" w:name="page26"/>
    <w:bookmarkEnd w:id="25"/>
    <w:p>
      <w:pPr>
        <w:ind w:left="800" w:right="340" w:hanging="759"/>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3(j)</w:t>
      </w:r>
      <w:r>
        <w:rPr>
          <w:sz w:val="20"/>
          <w:szCs w:val="20"/>
          <w:color w:val="auto"/>
        </w:rPr>
        <w:tab/>
      </w:r>
      <w:r>
        <w:rPr>
          <w:rFonts w:ascii="Arial" w:cs="Arial" w:eastAsia="Arial" w:hAnsi="Arial"/>
          <w:sz w:val="18"/>
          <w:szCs w:val="18"/>
          <w:color w:val="auto"/>
        </w:rPr>
        <w:t>Certificate of Elimination of Designation of Preferred Stock of the Registrant (incorporated by reference to Exhibit 3(j) to the Registrant’s Annual Report on Form 10-K for the year 1998).</w:t>
      </w:r>
    </w:p>
    <w:p>
      <w:pPr>
        <w:spacing w:after="0" w:line="78" w:lineRule="exact"/>
        <w:rPr>
          <w:sz w:val="20"/>
          <w:szCs w:val="20"/>
          <w:color w:val="auto"/>
        </w:rPr>
      </w:pPr>
    </w:p>
    <w:p>
      <w:pPr>
        <w:ind w:left="800" w:right="640" w:hanging="779"/>
        <w:spacing w:after="0" w:line="268" w:lineRule="auto"/>
        <w:tabs>
          <w:tab w:leader="none" w:pos="780" w:val="left"/>
        </w:tabs>
        <w:rPr>
          <w:sz w:val="20"/>
          <w:szCs w:val="20"/>
          <w:color w:val="auto"/>
        </w:rPr>
      </w:pPr>
      <w:r>
        <w:rPr>
          <w:rFonts w:ascii="Arial" w:cs="Arial" w:eastAsia="Arial" w:hAnsi="Arial"/>
          <w:sz w:val="18"/>
          <w:szCs w:val="18"/>
          <w:color w:val="auto"/>
        </w:rPr>
        <w:t>3(k)</w:t>
      </w:r>
      <w:r>
        <w:rPr>
          <w:sz w:val="20"/>
          <w:szCs w:val="20"/>
          <w:color w:val="auto"/>
        </w:rPr>
        <w:tab/>
      </w:r>
      <w:r>
        <w:rPr>
          <w:rFonts w:ascii="Arial" w:cs="Arial" w:eastAsia="Arial" w:hAnsi="Arial"/>
          <w:sz w:val="18"/>
          <w:szCs w:val="18"/>
          <w:color w:val="auto"/>
        </w:rPr>
        <w:t>Certificate of Ownership and Merger merging Intersect Technologies, Inc. into the Registrant (incorporated by reference to Exhibit 3(k) to the Registrant’s Annual Report on Form 10-K for the year 1999).</w:t>
      </w:r>
    </w:p>
    <w:p>
      <w:pPr>
        <w:spacing w:after="0" w:line="78" w:lineRule="exact"/>
        <w:rPr>
          <w:sz w:val="20"/>
          <w:szCs w:val="20"/>
          <w:color w:val="auto"/>
        </w:rPr>
      </w:pPr>
    </w:p>
    <w:p>
      <w:pPr>
        <w:ind w:left="800" w:right="260" w:hanging="759"/>
        <w:spacing w:after="0" w:line="268" w:lineRule="auto"/>
        <w:tabs>
          <w:tab w:leader="none" w:pos="780" w:val="left"/>
        </w:tabs>
        <w:rPr>
          <w:sz w:val="20"/>
          <w:szCs w:val="20"/>
          <w:color w:val="auto"/>
        </w:rPr>
      </w:pPr>
      <w:r>
        <w:rPr>
          <w:rFonts w:ascii="Arial" w:cs="Arial" w:eastAsia="Arial" w:hAnsi="Arial"/>
          <w:sz w:val="18"/>
          <w:szCs w:val="18"/>
          <w:color w:val="auto"/>
        </w:rPr>
        <w:t>3(l)</w:t>
      </w:r>
      <w:r>
        <w:rPr>
          <w:sz w:val="20"/>
          <w:szCs w:val="20"/>
          <w:color w:val="auto"/>
        </w:rPr>
        <w:tab/>
      </w:r>
      <w:r>
        <w:rPr>
          <w:rFonts w:ascii="Arial" w:cs="Arial" w:eastAsia="Arial" w:hAnsi="Arial"/>
          <w:sz w:val="18"/>
          <w:szCs w:val="18"/>
          <w:color w:val="auto"/>
        </w:rPr>
        <w:t>Certificate of Ownership and Merger merging Soft Warehouse, Inc. into the Registrant (incorporated by reference to Exhibit 3(l) to the Registrant’s Annual Report on Form 10-K for the year 1999).</w:t>
      </w:r>
    </w:p>
    <w:p>
      <w:pPr>
        <w:spacing w:after="0" w:line="78" w:lineRule="exact"/>
        <w:rPr>
          <w:sz w:val="20"/>
          <w:szCs w:val="20"/>
          <w:color w:val="auto"/>
        </w:rPr>
      </w:pPr>
    </w:p>
    <w:p>
      <w:pPr>
        <w:ind w:left="800" w:right="160" w:hanging="799"/>
        <w:spacing w:after="0" w:line="268" w:lineRule="auto"/>
        <w:tabs>
          <w:tab w:leader="none" w:pos="780" w:val="left"/>
        </w:tabs>
        <w:rPr>
          <w:sz w:val="20"/>
          <w:szCs w:val="20"/>
          <w:color w:val="auto"/>
        </w:rPr>
      </w:pPr>
      <w:r>
        <w:rPr>
          <w:rFonts w:ascii="Arial" w:cs="Arial" w:eastAsia="Arial" w:hAnsi="Arial"/>
          <w:sz w:val="18"/>
          <w:szCs w:val="18"/>
          <w:color w:val="auto"/>
        </w:rPr>
        <w:t>3(m)</w:t>
      </w:r>
      <w:r>
        <w:rPr>
          <w:sz w:val="20"/>
          <w:szCs w:val="20"/>
          <w:color w:val="auto"/>
        </w:rPr>
        <w:tab/>
      </w:r>
      <w:r>
        <w:rPr>
          <w:rFonts w:ascii="Arial" w:cs="Arial" w:eastAsia="Arial" w:hAnsi="Arial"/>
          <w:sz w:val="18"/>
          <w:szCs w:val="18"/>
          <w:color w:val="auto"/>
        </w:rPr>
        <w:t>Certificate of Ownership and Merger merging Silicon Systems, Inc. into the Registrant (incorporated by reference to Exhibit 3(m) to the Registrant’s Annual Report on Form 10-K for the year 1999).</w:t>
      </w:r>
    </w:p>
    <w:p>
      <w:pPr>
        <w:spacing w:after="0" w:line="78" w:lineRule="exact"/>
        <w:rPr>
          <w:sz w:val="20"/>
          <w:szCs w:val="20"/>
          <w:color w:val="auto"/>
        </w:rPr>
      </w:pPr>
    </w:p>
    <w:p>
      <w:pPr>
        <w:ind w:left="800" w:hanging="779"/>
        <w:spacing w:after="0" w:line="268" w:lineRule="auto"/>
        <w:tabs>
          <w:tab w:leader="none" w:pos="780" w:val="left"/>
        </w:tabs>
        <w:rPr>
          <w:sz w:val="20"/>
          <w:szCs w:val="20"/>
          <w:color w:val="auto"/>
        </w:rPr>
      </w:pPr>
      <w:r>
        <w:rPr>
          <w:rFonts w:ascii="Arial" w:cs="Arial" w:eastAsia="Arial" w:hAnsi="Arial"/>
          <w:sz w:val="18"/>
          <w:szCs w:val="18"/>
          <w:color w:val="auto"/>
        </w:rPr>
        <w:t>3(n)</w:t>
      </w:r>
      <w:r>
        <w:rPr>
          <w:sz w:val="20"/>
          <w:szCs w:val="20"/>
          <w:color w:val="auto"/>
        </w:rPr>
        <w:tab/>
      </w:r>
      <w:r>
        <w:rPr>
          <w:rFonts w:ascii="Arial" w:cs="Arial" w:eastAsia="Arial" w:hAnsi="Arial"/>
          <w:sz w:val="18"/>
          <w:szCs w:val="18"/>
          <w:color w:val="auto"/>
        </w:rPr>
        <w:t>Certificate of Amendment to Restated Certificate of Incorporation (incorporated by reference to Exhibit 3(n) to the Registrant’s Registration Statement on Form S-4 No. 333-41030 filed on July 7, 2000).</w:t>
      </w:r>
    </w:p>
    <w:p>
      <w:pPr>
        <w:spacing w:after="0" w:line="78" w:lineRule="exact"/>
        <w:rPr>
          <w:sz w:val="20"/>
          <w:szCs w:val="20"/>
          <w:color w:val="auto"/>
        </w:rPr>
      </w:pPr>
    </w:p>
    <w:p>
      <w:pPr>
        <w:ind w:left="800" w:right="580" w:hanging="779"/>
        <w:spacing w:after="0" w:line="268" w:lineRule="auto"/>
        <w:tabs>
          <w:tab w:leader="none" w:pos="780" w:val="left"/>
        </w:tabs>
        <w:rPr>
          <w:sz w:val="20"/>
          <w:szCs w:val="20"/>
          <w:color w:val="auto"/>
        </w:rPr>
      </w:pPr>
      <w:r>
        <w:rPr>
          <w:rFonts w:ascii="Arial" w:cs="Arial" w:eastAsia="Arial" w:hAnsi="Arial"/>
          <w:sz w:val="18"/>
          <w:szCs w:val="18"/>
          <w:color w:val="auto"/>
        </w:rPr>
        <w:t>3(o)</w:t>
      </w:r>
      <w:r>
        <w:rPr>
          <w:sz w:val="20"/>
          <w:szCs w:val="20"/>
          <w:color w:val="auto"/>
        </w:rPr>
        <w:tab/>
      </w:r>
      <w:r>
        <w:rPr>
          <w:rFonts w:ascii="Arial" w:cs="Arial" w:eastAsia="Arial" w:hAnsi="Arial"/>
          <w:sz w:val="18"/>
          <w:szCs w:val="18"/>
          <w:color w:val="auto"/>
        </w:rPr>
        <w:t>Certificate of Ownership and Merger merging Power Trends, Inc. with and into the Registrant (incorporated by reference to Exhibit 3(o) to the Registrant’s Annual Report on Form 10-K for the year 2001).</w:t>
      </w:r>
    </w:p>
    <w:p>
      <w:pPr>
        <w:spacing w:after="0" w:line="78"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3(p)</w:t>
      </w:r>
      <w:r>
        <w:rPr>
          <w:sz w:val="20"/>
          <w:szCs w:val="20"/>
          <w:color w:val="auto"/>
        </w:rPr>
        <w:tab/>
      </w:r>
      <w:r>
        <w:rPr>
          <w:rFonts w:ascii="Arial" w:cs="Arial" w:eastAsia="Arial" w:hAnsi="Arial"/>
          <w:sz w:val="16"/>
          <w:szCs w:val="16"/>
          <w:color w:val="auto"/>
        </w:rPr>
        <w:t>Certificate of Ownership and Merger merging Amati Communications Corporation with and into the Registrant (incorporated by reference to Exhibit</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3(p) to the Registrant’s Annual Report on Form 10-K for the year 2001).</w:t>
      </w:r>
    </w:p>
    <w:p>
      <w:pPr>
        <w:spacing w:after="0" w:line="111" w:lineRule="exact"/>
        <w:rPr>
          <w:sz w:val="20"/>
          <w:szCs w:val="20"/>
          <w:color w:val="auto"/>
        </w:rPr>
      </w:pPr>
    </w:p>
    <w:p>
      <w:pPr>
        <w:ind w:left="800" w:right="240" w:hanging="779"/>
        <w:spacing w:after="0" w:line="268" w:lineRule="auto"/>
        <w:tabs>
          <w:tab w:leader="none" w:pos="780" w:val="left"/>
        </w:tabs>
        <w:rPr>
          <w:sz w:val="20"/>
          <w:szCs w:val="20"/>
          <w:color w:val="auto"/>
        </w:rPr>
      </w:pPr>
      <w:r>
        <w:rPr>
          <w:rFonts w:ascii="Arial" w:cs="Arial" w:eastAsia="Arial" w:hAnsi="Arial"/>
          <w:sz w:val="18"/>
          <w:szCs w:val="18"/>
          <w:color w:val="auto"/>
        </w:rPr>
        <w:t>3(q)</w:t>
      </w:r>
      <w:r>
        <w:rPr>
          <w:sz w:val="20"/>
          <w:szCs w:val="20"/>
          <w:color w:val="auto"/>
        </w:rPr>
        <w:tab/>
      </w:r>
      <w:r>
        <w:rPr>
          <w:rFonts w:ascii="Arial" w:cs="Arial" w:eastAsia="Arial" w:hAnsi="Arial"/>
          <w:sz w:val="18"/>
          <w:szCs w:val="18"/>
          <w:color w:val="auto"/>
        </w:rPr>
        <w:t>Certificate of Ownership and Merger merging Texas Instruments San Diego Incorporated with and into the Registrant (incorporated by reference to Exhibit 3(q) to the Registrant’s Annual Report on Form 10-K for the year 2002).</w:t>
      </w:r>
    </w:p>
    <w:p>
      <w:pPr>
        <w:spacing w:after="0" w:line="78" w:lineRule="exact"/>
        <w:rPr>
          <w:sz w:val="20"/>
          <w:szCs w:val="20"/>
          <w:color w:val="auto"/>
        </w:rPr>
      </w:pPr>
    </w:p>
    <w:p>
      <w:pPr>
        <w:ind w:left="800" w:right="220" w:hanging="759"/>
        <w:spacing w:after="0" w:line="268" w:lineRule="auto"/>
        <w:tabs>
          <w:tab w:leader="none" w:pos="780" w:val="left"/>
        </w:tabs>
        <w:rPr>
          <w:sz w:val="20"/>
          <w:szCs w:val="20"/>
          <w:color w:val="auto"/>
        </w:rPr>
      </w:pPr>
      <w:r>
        <w:rPr>
          <w:rFonts w:ascii="Arial" w:cs="Arial" w:eastAsia="Arial" w:hAnsi="Arial"/>
          <w:sz w:val="18"/>
          <w:szCs w:val="18"/>
          <w:color w:val="auto"/>
        </w:rPr>
        <w:t>3(r)</w:t>
      </w:r>
      <w:r>
        <w:rPr>
          <w:sz w:val="20"/>
          <w:szCs w:val="20"/>
          <w:color w:val="auto"/>
        </w:rPr>
        <w:tab/>
      </w:r>
      <w:r>
        <w:rPr>
          <w:rFonts w:ascii="Arial" w:cs="Arial" w:eastAsia="Arial" w:hAnsi="Arial"/>
          <w:sz w:val="18"/>
          <w:szCs w:val="18"/>
          <w:color w:val="auto"/>
        </w:rPr>
        <w:t>Certificate of Ownership and Merger merging Texas Instruments Burlington Incorporated with and into the Registrant (incorporated by reference to Exhibit 3(r) to the Registrant’s Annual Report on Form 10-K for the year 2003).</w:t>
      </w:r>
    </w:p>
    <w:p>
      <w:pPr>
        <w:spacing w:after="0" w:line="78" w:lineRule="exact"/>
        <w:rPr>
          <w:sz w:val="20"/>
          <w:szCs w:val="20"/>
          <w:color w:val="auto"/>
        </w:rPr>
      </w:pPr>
    </w:p>
    <w:p>
      <w:pPr>
        <w:ind w:left="800" w:right="680" w:hanging="759"/>
        <w:spacing w:after="0" w:line="332" w:lineRule="auto"/>
        <w:tabs>
          <w:tab w:leader="none" w:pos="780" w:val="left"/>
        </w:tabs>
        <w:rPr>
          <w:sz w:val="20"/>
          <w:szCs w:val="20"/>
          <w:color w:val="auto"/>
        </w:rPr>
      </w:pPr>
      <w:r>
        <w:rPr>
          <w:rFonts w:ascii="Arial" w:cs="Arial" w:eastAsia="Arial" w:hAnsi="Arial"/>
          <w:sz w:val="16"/>
          <w:szCs w:val="16"/>
          <w:color w:val="auto"/>
        </w:rPr>
        <w:t>3(s)</w:t>
      </w:r>
      <w:r>
        <w:rPr>
          <w:sz w:val="20"/>
          <w:szCs w:val="20"/>
          <w:color w:val="auto"/>
        </w:rPr>
        <w:tab/>
      </w:r>
      <w:r>
        <w:rPr>
          <w:rFonts w:ascii="Arial" w:cs="Arial" w:eastAsia="Arial" w:hAnsi="Arial"/>
          <w:sz w:val="16"/>
          <w:szCs w:val="16"/>
          <w:color w:val="auto"/>
        </w:rPr>
        <w:t>Certificate of Ownership and Merger merging Texas Instruments Automotive Sensors and Controls San Jose Inc. with and into the Registrant (incorporated by reference to Exhibit 3(i) to the Registrant’s Current Report on Form 8-K dated October 31, 2004).</w:t>
      </w:r>
    </w:p>
    <w:p>
      <w:pPr>
        <w:spacing w:after="0" w:line="31"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color w:val="auto"/>
        </w:rPr>
        <w:t>3(t)</w:t>
      </w:r>
      <w:r>
        <w:rPr>
          <w:sz w:val="20"/>
          <w:szCs w:val="20"/>
          <w:color w:val="auto"/>
        </w:rPr>
        <w:tab/>
      </w:r>
      <w:r>
        <w:rPr>
          <w:rFonts w:ascii="Arial" w:cs="Arial" w:eastAsia="Arial" w:hAnsi="Arial"/>
          <w:sz w:val="16"/>
          <w:szCs w:val="16"/>
          <w:color w:val="auto"/>
        </w:rPr>
        <w:t>By-Laws of the Registrant (incorporated by reference to Exhibit 3(n) to the Registrant’s Annual Report on Form 10-K for the year 1999).</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38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5"/>
              </w:rPr>
              <w:t>4(a)(i)</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Rights Agreement dated as of June 18, 1998, between the Registrant and Harris Trust and Savings Bank as Rights Agent, which includes as</w:t>
            </w:r>
          </w:p>
        </w:tc>
      </w:tr>
      <w:tr>
        <w:trPr>
          <w:trHeight w:val="216"/>
        </w:trPr>
        <w:tc>
          <w:tcPr>
            <w:tcW w:w="88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Exhibit B the form of Rights Certificate (incorporated by reference to Exhibit 1 to the Registrant’s Registration Statement on Form 8-A dated</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June 23, 1998).</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6"/>
              </w:rPr>
              <w:t>4(a)(ii)</w:t>
            </w: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Amendment dated as of September 18, 1998, to the Rights Agreement (incorporated by reference to Exhibit 2 to the Registrant’s Amendment No.</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1 to Registration Statement on Form 8-A dated September 23, 1998).</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3"/>
              </w:rPr>
              <w:t>4(b)</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The Registrant agrees to provide the Commission, upon request, copies of instruments defining the rights of holders of long-term debt of the</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Registrant and its subsidiaries.</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3"/>
              </w:rPr>
              <w:t>10(a)(i)</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Amended and Restated TI Deferred Compensation Plan (incorporated by reference to Exhibit 10(a)(i) to the Registrant’s Annual Report on Form</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10-K for the year 1999).*</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3"/>
              </w:rPr>
              <w:t>10(a)(ii)</w:t>
            </w: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First Amendment to Restated TI Deferred Compensation Plan (incorporated by reference to Exhibit 10(a)(ii) to the Registrant’s Annual Report on</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Form 10-K for the year 1999).*</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3"/>
              </w:rPr>
              <w:t>10(a)(iii)</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Second Amendment to Restated TI Deferred Compensation Plan (incorporated by reference to Exhibit 10(a)(iii) to the Registrant’s Annual</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Report on Form 10-K for the year 1999).*</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2"/>
              </w:rPr>
              <w:t>10(a)(iv)</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Third Amendment to Restated TI Deferred Compensation Plan (incorporated by reference to Exhibit 10(a)(iv) to the Registrant’s Annual Report</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on Form 10-K for the year 2000).*</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1"/>
              </w:rPr>
              <w:t>10(a)(v)</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Fourth Amendment to Restated TI Deferred Compensation Plan (incorporated by reference to Exhibit 10(a)(v) to the Registrant’s Annual Report</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on Form 10-K for the year 2001).*</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2"/>
              </w:rPr>
              <w:t>10(a)(vi)</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Fifth Amendment to Restated TI Deferred Compensation Plan (incorporated by reference to Exhibit 10(a)(vi) to the Registrant’s Annual Report</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on Form 10-K for the year 2002).*</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3"/>
              </w:rPr>
              <w:t>10(b)(i)</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TI Employees Supplemental Pension Plan (incorporated by reference to Exhibit 10(b)(i) to the Registrant’s Annual Report on Form 10-K for the</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year 1999).*</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6"/>
              </w:rPr>
              <w:t>10(b)(ii)</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First Amendment to TI Supplemental Pension Plan (incorporated by reference to Exhibit 10(b)(ii) to the Registrant’s Annual Report on Form 10-</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K for the year 1999).*</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6"/>
              </w:rPr>
              <w:t>10(b)(iii)</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Second Amendment to TI Supplemental Pension Plan (incorporated by reference to Exhibit 10(b)(iii) to the Registrant’s Annual Report on Form</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10-K for the year 2002).*</w:t>
            </w:r>
          </w:p>
        </w:tc>
      </w:tr>
      <w:tr>
        <w:trPr>
          <w:trHeight w:val="318"/>
        </w:trPr>
        <w:tc>
          <w:tcPr>
            <w:tcW w:w="880" w:type="dxa"/>
            <w:vAlign w:val="bottom"/>
          </w:tcPr>
          <w:p>
            <w:pPr>
              <w:jc w:val="center"/>
              <w:ind w:right="172"/>
              <w:spacing w:after="0"/>
              <w:rPr>
                <w:sz w:val="20"/>
                <w:szCs w:val="20"/>
                <w:color w:val="auto"/>
              </w:rPr>
            </w:pPr>
            <w:r>
              <w:rPr>
                <w:rFonts w:ascii="Arial" w:cs="Arial" w:eastAsia="Arial" w:hAnsi="Arial"/>
                <w:sz w:val="18"/>
                <w:szCs w:val="18"/>
                <w:color w:val="auto"/>
                <w:w w:val="92"/>
              </w:rPr>
              <w:t>10(b)(iv)</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Third Amendment to TI Supplemental Pension Plan (incorporated by reference to Exhibit 10(b)(iv) to the Registrant’s Annual Report on Form</w:t>
            </w:r>
          </w:p>
        </w:tc>
      </w:tr>
      <w:tr>
        <w:trPr>
          <w:trHeight w:val="222"/>
        </w:trPr>
        <w:tc>
          <w:tcPr>
            <w:tcW w:w="88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10-K for the year 2002).*</w:t>
            </w:r>
          </w:p>
        </w:tc>
      </w:tr>
      <w:tr>
        <w:trPr>
          <w:trHeight w:val="365"/>
        </w:trPr>
        <w:tc>
          <w:tcPr>
            <w:tcW w:w="88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27</w:t>
            </w:r>
          </w:p>
        </w:tc>
      </w:tr>
    </w:tbl>
    <w:p>
      <w:pPr>
        <w:ind w:left="4700"/>
        <w:spacing w:after="0"/>
        <w:rPr>
          <w:sz w:val="20"/>
          <w:szCs w:val="20"/>
          <w:color w:val="auto"/>
        </w:rPr>
        <w:sectPr>
          <w:pgSz w:w="11900" w:h="16838" w:orient="portrait"/>
          <w:cols w:equalWidth="0" w:num="1">
            <w:col w:w="11360"/>
          </w:cols>
          <w:pgMar w:left="280" w:top="388"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 w:name="page28"/>
    <w:bookmarkEnd w:id="27"/>
    <w:p>
      <w:pPr>
        <w:ind w:left="980" w:right="180" w:hanging="979"/>
        <w:spacing w:after="0" w:line="268"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10(b)(v)</w:t>
      </w:r>
      <w:r>
        <w:rPr>
          <w:sz w:val="20"/>
          <w:szCs w:val="20"/>
          <w:color w:val="auto"/>
        </w:rPr>
        <w:tab/>
      </w:r>
      <w:r>
        <w:rPr>
          <w:rFonts w:ascii="Arial" w:cs="Arial" w:eastAsia="Arial" w:hAnsi="Arial"/>
          <w:sz w:val="18"/>
          <w:szCs w:val="18"/>
          <w:color w:val="auto"/>
        </w:rPr>
        <w:t>Fourth Amendment to TI’s Supplemental Pension Plan (incorporated by reference to Exhibit 10(b)(v) to the Registrant’s Annual Report on Form 10-K for the year 2003).*</w:t>
      </w:r>
    </w:p>
    <w:p>
      <w:pPr>
        <w:spacing w:after="0" w:line="78" w:lineRule="exact"/>
        <w:rPr>
          <w:sz w:val="20"/>
          <w:szCs w:val="20"/>
          <w:color w:val="auto"/>
        </w:rPr>
      </w:pPr>
    </w:p>
    <w:p>
      <w:pPr>
        <w:ind w:left="980" w:right="200" w:hanging="879"/>
        <w:spacing w:after="0" w:line="268" w:lineRule="auto"/>
        <w:tabs>
          <w:tab w:leader="none" w:pos="96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Texas Instruments Long-Term Incentive Plan (incorporated by reference to Exhibit 10(a)(ii) to the Registrant’s Annual Report on Form 10-K for the year 1993).*</w:t>
      </w:r>
    </w:p>
    <w:p>
      <w:pPr>
        <w:spacing w:after="0" w:line="78" w:lineRule="exact"/>
        <w:rPr>
          <w:sz w:val="20"/>
          <w:szCs w:val="20"/>
          <w:color w:val="auto"/>
        </w:rPr>
      </w:pPr>
    </w:p>
    <w:p>
      <w:pPr>
        <w:ind w:left="980" w:right="60" w:hanging="879"/>
        <w:spacing w:after="0" w:line="268" w:lineRule="auto"/>
        <w:tabs>
          <w:tab w:leader="none" w:pos="96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8"/>
          <w:szCs w:val="18"/>
          <w:color w:val="auto"/>
        </w:rPr>
        <w:t>Texas Instruments 1996 Long-Term Incentive Plan (incorporated by reference to Exhibit 10 to the Registrant’s Quarterly Report on Form 10-Q for the quarter ended June 30, 1996).*</w:t>
      </w:r>
    </w:p>
    <w:p>
      <w:pPr>
        <w:spacing w:after="0" w:line="78" w:lineRule="exact"/>
        <w:rPr>
          <w:sz w:val="20"/>
          <w:szCs w:val="20"/>
          <w:color w:val="auto"/>
        </w:rPr>
      </w:pPr>
    </w:p>
    <w:p>
      <w:pPr>
        <w:ind w:left="980" w:right="100" w:hanging="879"/>
        <w:spacing w:after="0" w:line="268" w:lineRule="auto"/>
        <w:tabs>
          <w:tab w:leader="none" w:pos="960" w:val="left"/>
        </w:tabs>
        <w:rPr>
          <w:sz w:val="20"/>
          <w:szCs w:val="20"/>
          <w:color w:val="auto"/>
        </w:rPr>
      </w:pPr>
      <w:r>
        <w:rPr>
          <w:rFonts w:ascii="Arial" w:cs="Arial" w:eastAsia="Arial" w:hAnsi="Arial"/>
          <w:sz w:val="18"/>
          <w:szCs w:val="18"/>
          <w:color w:val="auto"/>
        </w:rPr>
        <w:t>10(e)</w:t>
      </w:r>
      <w:r>
        <w:rPr>
          <w:sz w:val="20"/>
          <w:szCs w:val="20"/>
          <w:color w:val="auto"/>
        </w:rPr>
        <w:tab/>
      </w:r>
      <w:r>
        <w:rPr>
          <w:rFonts w:ascii="Arial" w:cs="Arial" w:eastAsia="Arial" w:hAnsi="Arial"/>
          <w:sz w:val="18"/>
          <w:szCs w:val="18"/>
          <w:color w:val="auto"/>
        </w:rPr>
        <w:t>Texas Instruments 2000 Long-Term Incentive Plan (incorporated by reference to Exhibit 10(e) to the Registrant’s Registration Statement on Form S-4 No. 333-41030 filed on July 7, 2000).*</w:t>
      </w:r>
    </w:p>
    <w:p>
      <w:pPr>
        <w:spacing w:after="0" w:line="78" w:lineRule="exact"/>
        <w:rPr>
          <w:sz w:val="20"/>
          <w:szCs w:val="20"/>
          <w:color w:val="auto"/>
        </w:rPr>
      </w:pPr>
    </w:p>
    <w:p>
      <w:pPr>
        <w:ind w:left="980" w:right="40" w:hanging="859"/>
        <w:spacing w:after="0" w:line="268" w:lineRule="auto"/>
        <w:tabs>
          <w:tab w:leader="none" w:pos="960" w:val="left"/>
        </w:tabs>
        <w:rPr>
          <w:sz w:val="20"/>
          <w:szCs w:val="20"/>
          <w:color w:val="auto"/>
        </w:rPr>
      </w:pPr>
      <w:r>
        <w:rPr>
          <w:rFonts w:ascii="Arial" w:cs="Arial" w:eastAsia="Arial" w:hAnsi="Arial"/>
          <w:sz w:val="18"/>
          <w:szCs w:val="18"/>
          <w:color w:val="auto"/>
        </w:rPr>
        <w:t>10(f)</w:t>
      </w:r>
      <w:r>
        <w:rPr>
          <w:sz w:val="20"/>
          <w:szCs w:val="20"/>
          <w:color w:val="auto"/>
        </w:rPr>
        <w:tab/>
      </w:r>
      <w:r>
        <w:rPr>
          <w:rFonts w:ascii="Arial" w:cs="Arial" w:eastAsia="Arial" w:hAnsi="Arial"/>
          <w:sz w:val="18"/>
          <w:szCs w:val="18"/>
          <w:color w:val="auto"/>
        </w:rPr>
        <w:t>Texas Instruments 2003 Long-Term Incentive Plan (incorporated by reference to Exhibit 10(f) to the Registrant’s Annual Report on Form 10-K for the year 2002).</w:t>
      </w:r>
    </w:p>
    <w:p>
      <w:pPr>
        <w:spacing w:after="0" w:line="78" w:lineRule="exact"/>
        <w:rPr>
          <w:sz w:val="20"/>
          <w:szCs w:val="20"/>
          <w:color w:val="auto"/>
        </w:rPr>
      </w:pPr>
    </w:p>
    <w:p>
      <w:pPr>
        <w:ind w:left="980" w:right="220" w:hanging="879"/>
        <w:spacing w:after="0" w:line="268" w:lineRule="auto"/>
        <w:tabs>
          <w:tab w:leader="none" w:pos="960" w:val="left"/>
        </w:tabs>
        <w:rPr>
          <w:sz w:val="20"/>
          <w:szCs w:val="20"/>
          <w:color w:val="auto"/>
        </w:rPr>
      </w:pPr>
      <w:r>
        <w:rPr>
          <w:rFonts w:ascii="Arial" w:cs="Arial" w:eastAsia="Arial" w:hAnsi="Arial"/>
          <w:sz w:val="18"/>
          <w:szCs w:val="18"/>
          <w:color w:val="auto"/>
        </w:rPr>
        <w:t>10(g)</w:t>
      </w:r>
      <w:r>
        <w:rPr>
          <w:sz w:val="20"/>
          <w:szCs w:val="20"/>
          <w:color w:val="auto"/>
        </w:rPr>
        <w:tab/>
      </w:r>
      <w:r>
        <w:rPr>
          <w:rFonts w:ascii="Arial" w:cs="Arial" w:eastAsia="Arial" w:hAnsi="Arial"/>
          <w:sz w:val="18"/>
          <w:szCs w:val="18"/>
          <w:color w:val="auto"/>
        </w:rPr>
        <w:t>Texas Instruments Executive Officer Performance Plan (incorporated by reference to Exhibit 10(a) to the Registrant’s Quarterly Report on Form 10-Q for the quarter ended March 31, 2002).*</w:t>
      </w:r>
    </w:p>
    <w:p>
      <w:pPr>
        <w:spacing w:after="0" w:line="78" w:lineRule="exact"/>
        <w:rPr>
          <w:sz w:val="20"/>
          <w:szCs w:val="20"/>
          <w:color w:val="auto"/>
        </w:rPr>
      </w:pPr>
    </w:p>
    <w:p>
      <w:pPr>
        <w:ind w:left="980" w:right="380" w:hanging="879"/>
        <w:spacing w:after="0" w:line="268" w:lineRule="auto"/>
        <w:tabs>
          <w:tab w:leader="none" w:pos="960" w:val="left"/>
        </w:tabs>
        <w:rPr>
          <w:sz w:val="20"/>
          <w:szCs w:val="20"/>
          <w:color w:val="auto"/>
        </w:rPr>
      </w:pPr>
      <w:r>
        <w:rPr>
          <w:rFonts w:ascii="Arial" w:cs="Arial" w:eastAsia="Arial" w:hAnsi="Arial"/>
          <w:sz w:val="18"/>
          <w:szCs w:val="18"/>
          <w:color w:val="auto"/>
        </w:rPr>
        <w:t>10(h)</w:t>
      </w:r>
      <w:r>
        <w:rPr>
          <w:sz w:val="20"/>
          <w:szCs w:val="20"/>
          <w:color w:val="auto"/>
        </w:rPr>
        <w:tab/>
      </w:r>
      <w:r>
        <w:rPr>
          <w:rFonts w:ascii="Arial" w:cs="Arial" w:eastAsia="Arial" w:hAnsi="Arial"/>
          <w:sz w:val="18"/>
          <w:szCs w:val="18"/>
          <w:color w:val="auto"/>
        </w:rPr>
        <w:t>Texas Instruments Restricted Stock Unit Plan for Directors (incorporated by reference to Exhibit 10(e) to the Registrant’s Quarterly Report on Form 10-Q for the quarter ended March 31, 1998).</w:t>
      </w:r>
    </w:p>
    <w:p>
      <w:pPr>
        <w:spacing w:after="0" w:line="78" w:lineRule="exact"/>
        <w:rPr>
          <w:sz w:val="20"/>
          <w:szCs w:val="20"/>
          <w:color w:val="auto"/>
        </w:rPr>
      </w:pPr>
    </w:p>
    <w:p>
      <w:pPr>
        <w:ind w:left="980" w:right="40" w:hanging="859"/>
        <w:spacing w:after="0" w:line="268" w:lineRule="auto"/>
        <w:tabs>
          <w:tab w:leader="none" w:pos="96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Texas Instruments Directors Deferred Compensation Plan (incorporated by reference to Exhibit 10(f) to the Registrant’s Quarterly Report on Form 10-Q for the quarter ended March 31, 1998).</w:t>
      </w:r>
    </w:p>
    <w:p>
      <w:pPr>
        <w:spacing w:after="0" w:line="78" w:lineRule="exact"/>
        <w:rPr>
          <w:sz w:val="20"/>
          <w:szCs w:val="20"/>
          <w:color w:val="auto"/>
        </w:rPr>
      </w:pPr>
    </w:p>
    <w:p>
      <w:pPr>
        <w:ind w:left="980" w:right="20" w:hanging="859"/>
        <w:spacing w:after="0" w:line="268" w:lineRule="auto"/>
        <w:tabs>
          <w:tab w:leader="none" w:pos="960" w:val="left"/>
        </w:tabs>
        <w:rPr>
          <w:sz w:val="20"/>
          <w:szCs w:val="20"/>
          <w:color w:val="auto"/>
        </w:rPr>
      </w:pPr>
      <w:r>
        <w:rPr>
          <w:rFonts w:ascii="Arial" w:cs="Arial" w:eastAsia="Arial" w:hAnsi="Arial"/>
          <w:sz w:val="18"/>
          <w:szCs w:val="18"/>
          <w:color w:val="auto"/>
        </w:rPr>
        <w:t>10(j)</w:t>
      </w:r>
      <w:r>
        <w:rPr>
          <w:sz w:val="20"/>
          <w:szCs w:val="20"/>
          <w:color w:val="auto"/>
        </w:rPr>
        <w:tab/>
      </w:r>
      <w:r>
        <w:rPr>
          <w:rFonts w:ascii="Arial" w:cs="Arial" w:eastAsia="Arial" w:hAnsi="Arial"/>
          <w:sz w:val="18"/>
          <w:szCs w:val="18"/>
          <w:color w:val="auto"/>
        </w:rPr>
        <w:t>Texas Instruments Stock Option Plan for Non-Employee Directors (incorporated by reference to Exhibit 10(i) to the Registrant’s Annual Report on Form 10-K for the year 2000).</w:t>
      </w:r>
    </w:p>
    <w:p>
      <w:pPr>
        <w:spacing w:after="0" w:line="78" w:lineRule="exact"/>
        <w:rPr>
          <w:sz w:val="20"/>
          <w:szCs w:val="20"/>
          <w:color w:val="auto"/>
        </w:rPr>
      </w:pPr>
    </w:p>
    <w:p>
      <w:pPr>
        <w:ind w:left="980" w:hanging="879"/>
        <w:spacing w:after="0" w:line="268" w:lineRule="auto"/>
        <w:tabs>
          <w:tab w:leader="none" w:pos="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Texas Instruments 2003 Director Compensation Plan (incorporated by reference to Exhibit 10(i) to the Registrant’s Quarterly Report on Form 10-Q for the quarter ended March 31, 2004).</w:t>
      </w:r>
    </w:p>
    <w:p>
      <w:pPr>
        <w:spacing w:after="0" w:line="78" w:lineRule="exact"/>
        <w:rPr>
          <w:sz w:val="20"/>
          <w:szCs w:val="20"/>
          <w:color w:val="auto"/>
        </w:rPr>
      </w:pPr>
    </w:p>
    <w:p>
      <w:pPr>
        <w:ind w:left="980" w:right="160" w:hanging="859"/>
        <w:spacing w:after="0" w:line="332" w:lineRule="auto"/>
        <w:tabs>
          <w:tab w:leader="none" w:pos="960" w:val="left"/>
        </w:tabs>
        <w:rPr>
          <w:sz w:val="20"/>
          <w:szCs w:val="20"/>
          <w:color w:val="auto"/>
        </w:rPr>
      </w:pPr>
      <w:r>
        <w:rPr>
          <w:rFonts w:ascii="Arial" w:cs="Arial" w:eastAsia="Arial" w:hAnsi="Arial"/>
          <w:sz w:val="16"/>
          <w:szCs w:val="16"/>
          <w:color w:val="auto"/>
        </w:rPr>
        <w:t>10(l)</w:t>
      </w:r>
      <w:r>
        <w:rPr>
          <w:sz w:val="20"/>
          <w:szCs w:val="20"/>
          <w:color w:val="auto"/>
        </w:rPr>
        <w:tab/>
      </w:r>
      <w:r>
        <w:rPr>
          <w:rFonts w:ascii="Arial" w:cs="Arial" w:eastAsia="Arial" w:hAnsi="Arial"/>
          <w:sz w:val="16"/>
          <w:szCs w:val="16"/>
          <w:color w:val="auto"/>
        </w:rPr>
        <w:t>Form of Stock Option Agreement for Executive Officers under the Texas Instruments 2000 Long-Term Incentive Plan (incorporated by reference to Exhibit 10(a)(i) to the Registrant’s Quarterly Report on Form 10-Q for the quarter ended September 30, 2004).*</w:t>
      </w:r>
    </w:p>
    <w:p>
      <w:pPr>
        <w:spacing w:after="0" w:line="31" w:lineRule="exact"/>
        <w:rPr>
          <w:sz w:val="20"/>
          <w:szCs w:val="20"/>
          <w:color w:val="auto"/>
        </w:rPr>
      </w:pPr>
    </w:p>
    <w:p>
      <w:pPr>
        <w:ind w:left="980" w:right="20" w:hanging="899"/>
        <w:spacing w:after="0" w:line="268" w:lineRule="auto"/>
        <w:tabs>
          <w:tab w:leader="none" w:pos="960" w:val="left"/>
        </w:tabs>
        <w:rPr>
          <w:sz w:val="20"/>
          <w:szCs w:val="20"/>
          <w:color w:val="auto"/>
        </w:rPr>
      </w:pPr>
      <w:r>
        <w:rPr>
          <w:rFonts w:ascii="Arial" w:cs="Arial" w:eastAsia="Arial" w:hAnsi="Arial"/>
          <w:sz w:val="18"/>
          <w:szCs w:val="18"/>
          <w:color w:val="auto"/>
        </w:rPr>
        <w:t>10(m)</w:t>
      </w:r>
      <w:r>
        <w:rPr>
          <w:sz w:val="20"/>
          <w:szCs w:val="20"/>
          <w:color w:val="auto"/>
        </w:rPr>
        <w:tab/>
      </w:r>
      <w:r>
        <w:rPr>
          <w:rFonts w:ascii="Arial" w:cs="Arial" w:eastAsia="Arial" w:hAnsi="Arial"/>
          <w:sz w:val="18"/>
          <w:szCs w:val="18"/>
          <w:color w:val="auto"/>
        </w:rPr>
        <w:t>Form of Restricted Stock Unit Agreement under the Texas Instruments Long-Term Incentive Plan (incorporated by reference to Exhibit 10(a)(ii) to the Registrant’s Quarterly Report on Form 10-Q for the quarter ended September 30, 2004).*</w:t>
      </w:r>
    </w:p>
    <w:p>
      <w:pPr>
        <w:spacing w:after="0" w:line="78" w:lineRule="exact"/>
        <w:rPr>
          <w:sz w:val="20"/>
          <w:szCs w:val="20"/>
          <w:color w:val="auto"/>
        </w:rPr>
      </w:pPr>
    </w:p>
    <w:p>
      <w:pPr>
        <w:ind w:left="980" w:right="460" w:hanging="879"/>
        <w:spacing w:after="0" w:line="332" w:lineRule="auto"/>
        <w:tabs>
          <w:tab w:leader="none" w:pos="960" w:val="left"/>
        </w:tabs>
        <w:rPr>
          <w:sz w:val="20"/>
          <w:szCs w:val="20"/>
          <w:color w:val="auto"/>
        </w:rPr>
      </w:pPr>
      <w:r>
        <w:rPr>
          <w:rFonts w:ascii="Arial" w:cs="Arial" w:eastAsia="Arial" w:hAnsi="Arial"/>
          <w:sz w:val="16"/>
          <w:szCs w:val="16"/>
          <w:color w:val="auto"/>
        </w:rPr>
        <w:t>10(n)</w:t>
      </w:r>
      <w:r>
        <w:rPr>
          <w:sz w:val="20"/>
          <w:szCs w:val="20"/>
          <w:color w:val="auto"/>
        </w:rPr>
        <w:tab/>
      </w:r>
      <w:r>
        <w:rPr>
          <w:rFonts w:ascii="Arial" w:cs="Arial" w:eastAsia="Arial" w:hAnsi="Arial"/>
          <w:sz w:val="16"/>
          <w:szCs w:val="16"/>
          <w:color w:val="auto"/>
        </w:rPr>
        <w:t>Acquisition Agreement dated as of June 18, 1998, between Texas Instruments Incorporated and Micron Technology, Inc. (Exhibit C omitted) (incorporated by reference to Exhibit 2.1 to the Registrant’s Current Report on Form 8-K dated June 18, 1998).</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300" w:top="388" w:right="259" w:bottom="1440" w:gutter="0" w:footer="0" w:header="0"/>
        </w:sectPr>
      </w:pPr>
    </w:p>
    <w:bookmarkStart w:id="28" w:name="page29"/>
    <w:bookmarkEnd w:id="28"/>
    <w:p>
      <w:pPr>
        <w:ind w:left="40"/>
        <w:spacing w:after="0"/>
        <w:tabs>
          <w:tab w:leader="none" w:pos="80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10(o)</w:t>
      </w:r>
      <w:r>
        <w:rPr>
          <w:sz w:val="20"/>
          <w:szCs w:val="20"/>
          <w:color w:val="auto"/>
        </w:rPr>
        <w:tab/>
      </w:r>
      <w:r>
        <w:rPr>
          <w:rFonts w:ascii="Arial" w:cs="Arial" w:eastAsia="Arial" w:hAnsi="Arial"/>
          <w:sz w:val="15"/>
          <w:szCs w:val="15"/>
          <w:color w:val="auto"/>
        </w:rPr>
        <w:t>Second Amendment to Acquisition Agreement dated as of September 30, 1998, between Texas Instruments Incorporated and Micron Technology, Inc.</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(incorporated by reference to Exhibit 2.2 to the Registrant’s Current Report on Form 8-K dated October 15, 1998).</w:t>
      </w:r>
    </w:p>
    <w:p>
      <w:pPr>
        <w:spacing w:after="0" w:line="111" w:lineRule="exact"/>
        <w:rPr>
          <w:sz w:val="20"/>
          <w:szCs w:val="20"/>
          <w:color w:val="auto"/>
        </w:rPr>
      </w:pPr>
    </w:p>
    <w:p>
      <w:pPr>
        <w:ind w:left="820" w:hanging="67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17" w:lineRule="exact"/>
        <w:rPr>
          <w:rFonts w:ascii="Arial" w:cs="Arial" w:eastAsia="Arial" w:hAnsi="Arial"/>
          <w:sz w:val="18"/>
          <w:szCs w:val="18"/>
          <w:color w:val="auto"/>
        </w:rPr>
      </w:pPr>
    </w:p>
    <w:p>
      <w:pPr>
        <w:ind w:left="820" w:hanging="67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Registrant’s 2004 Annual Report to Stockholders incorporated by reference herein.</w:t>
      </w:r>
    </w:p>
    <w:p>
      <w:pPr>
        <w:spacing w:after="0" w:line="117" w:lineRule="exact"/>
        <w:rPr>
          <w:rFonts w:ascii="Arial" w:cs="Arial" w:eastAsia="Arial" w:hAnsi="Arial"/>
          <w:sz w:val="18"/>
          <w:szCs w:val="18"/>
          <w:color w:val="auto"/>
        </w:rPr>
      </w:pPr>
    </w:p>
    <w:p>
      <w:pPr>
        <w:ind w:left="820" w:hanging="67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List of Subsidiaries of the Registrant.</w:t>
      </w:r>
    </w:p>
    <w:p>
      <w:pPr>
        <w:spacing w:after="0" w:line="117" w:lineRule="exact"/>
        <w:rPr>
          <w:rFonts w:ascii="Arial" w:cs="Arial" w:eastAsia="Arial" w:hAnsi="Arial"/>
          <w:sz w:val="18"/>
          <w:szCs w:val="18"/>
          <w:color w:val="auto"/>
        </w:rPr>
      </w:pPr>
    </w:p>
    <w:p>
      <w:pPr>
        <w:ind w:left="820" w:hanging="67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Rule 13a-14(a)/15(d)-14(a) Certification of Chief Executive Officer.</w:t>
      </w:r>
    </w:p>
    <w:p>
      <w:pPr>
        <w:spacing w:after="0" w:line="117"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8"/>
          <w:szCs w:val="18"/>
          <w:color w:val="auto"/>
        </w:rPr>
        <w:t>Rule 13a-14(a)/15(d)-14(a) Certification of Chief Financial Officer.</w:t>
      </w:r>
    </w:p>
    <w:p>
      <w:pPr>
        <w:spacing w:after="0" w:line="11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color w:val="auto"/>
        </w:rPr>
        <w:t>32(a)</w:t>
      </w:r>
      <w:r>
        <w:rPr>
          <w:sz w:val="20"/>
          <w:szCs w:val="20"/>
          <w:color w:val="auto"/>
        </w:rPr>
        <w:tab/>
      </w:r>
      <w:r>
        <w:rPr>
          <w:rFonts w:ascii="Arial" w:cs="Arial" w:eastAsia="Arial" w:hAnsi="Arial"/>
          <w:sz w:val="18"/>
          <w:szCs w:val="18"/>
          <w:color w:val="auto"/>
        </w:rPr>
        <w:t>Section 1350 Certification of Chief Executive Officer.</w:t>
      </w:r>
    </w:p>
    <w:p>
      <w:pPr>
        <w:spacing w:after="0" w:line="117"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32(b)</w:t>
      </w:r>
      <w:r>
        <w:rPr>
          <w:sz w:val="20"/>
          <w:szCs w:val="20"/>
          <w:color w:val="auto"/>
        </w:rPr>
        <w:tab/>
      </w:r>
      <w:r>
        <w:rPr>
          <w:rFonts w:ascii="Arial" w:cs="Arial" w:eastAsia="Arial" w:hAnsi="Arial"/>
          <w:sz w:val="18"/>
          <w:szCs w:val="18"/>
          <w:color w:val="auto"/>
        </w:rPr>
        <w:t>Section 1350 Certification of Chief Financial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Executive Compensation Plans and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2"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900" w:right="4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telecommunications and computers;</w:t>
      </w:r>
    </w:p>
    <w:p>
      <w:pPr>
        <w:spacing w:after="0" w:line="37"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388" w:right="279" w:bottom="1440" w:gutter="0" w:footer="0" w:header="0"/>
        </w:sectPr>
      </w:pPr>
    </w:p>
    <w:bookmarkStart w:id="29" w:name="page30"/>
    <w:bookmarkEnd w:id="29"/>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compete in products and prices in an intensely competitive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900" w:right="540" w:hanging="446"/>
        <w:spacing w:after="0" w:line="32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factors see the text under the heading “Cautionary Statements Regarding Future Results of Operations” in Item 1 of this report. The forward-looking statements included in this report are made only as of the date of this report and TI undertakes no obligation to update the forward-looking statements to reflect subsequent events or circumstances.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280" w:right="439" w:bottom="1440" w:gutter="0" w:footer="0" w:header="0"/>
        </w:sectPr>
      </w:pPr>
    </w:p>
    <w:bookmarkStart w:id="30" w:name="page31"/>
    <w:bookmarkEnd w:id="30"/>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836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P. M</w:t>
      </w:r>
      <w:r>
        <w:rPr>
          <w:rFonts w:ascii="Arial" w:cs="Arial" w:eastAsia="Arial" w:hAnsi="Arial"/>
          <w:sz w:val="13"/>
          <w:szCs w:val="13"/>
          <w:color w:val="auto"/>
        </w:rPr>
        <w:t>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Kevin P. March</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724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and Chief Accounting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2005</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2004,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9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23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6"/>
              </w:rPr>
              <w:t>Signature</w:t>
            </w: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95"/>
        </w:trPr>
        <w:tc>
          <w:tcPr>
            <w:tcW w:w="2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r>
        <w:trPr>
          <w:trHeight w:val="532"/>
        </w:trPr>
        <w:tc>
          <w:tcPr>
            <w:tcW w:w="2240" w:type="dxa"/>
            <w:vAlign w:val="bottom"/>
          </w:tcPr>
          <w:p>
            <w:pPr>
              <w:ind w:left="1960"/>
              <w:spacing w:after="0"/>
              <w:rPr>
                <w:sz w:val="20"/>
                <w:szCs w:val="20"/>
                <w:color w:val="auto"/>
              </w:rPr>
            </w:pPr>
            <w:r>
              <w:rPr>
                <w:rFonts w:ascii="Arial" w:cs="Arial" w:eastAsia="Arial" w:hAnsi="Arial"/>
                <w:sz w:val="18"/>
                <w:szCs w:val="18"/>
                <w:color w:val="auto"/>
              </w:rPr>
              <w:t>/s/</w:t>
            </w:r>
          </w:p>
        </w:tc>
        <w:tc>
          <w:tcPr>
            <w:tcW w:w="2360" w:type="dxa"/>
            <w:vAlign w:val="bottom"/>
            <w:gridSpan w:val="3"/>
          </w:tcPr>
          <w:p>
            <w:pPr>
              <w:jc w:val="center"/>
              <w:ind w:right="96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R. A</w:t>
            </w:r>
            <w:r>
              <w:rPr>
                <w:rFonts w:ascii="Arial" w:cs="Arial" w:eastAsia="Arial" w:hAnsi="Arial"/>
                <w:sz w:val="14"/>
                <w:szCs w:val="14"/>
                <w:color w:val="auto"/>
                <w:w w:val="99"/>
              </w:rPr>
              <w:t>DAMS</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110"/>
        </w:trPr>
        <w:tc>
          <w:tcPr>
            <w:tcW w:w="224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3"/>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263"/>
        </w:trPr>
        <w:tc>
          <w:tcPr>
            <w:tcW w:w="2240" w:type="dxa"/>
            <w:vAlign w:val="bottom"/>
          </w:tcPr>
          <w:p>
            <w:pPr>
              <w:spacing w:after="0"/>
              <w:rPr>
                <w:sz w:val="22"/>
                <w:szCs w:val="22"/>
                <w:color w:val="auto"/>
              </w:rPr>
            </w:pPr>
          </w:p>
        </w:tc>
        <w:tc>
          <w:tcPr>
            <w:tcW w:w="23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5"/>
              </w:rPr>
              <w:t>James R. Adams</w:t>
            </w: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431"/>
        </w:trPr>
        <w:tc>
          <w:tcPr>
            <w:tcW w:w="2240" w:type="dxa"/>
            <w:vAlign w:val="bottom"/>
          </w:tcPr>
          <w:p>
            <w:pPr>
              <w:ind w:left="1980"/>
              <w:spacing w:after="0"/>
              <w:rPr>
                <w:sz w:val="20"/>
                <w:szCs w:val="20"/>
                <w:color w:val="auto"/>
              </w:rPr>
            </w:pPr>
            <w:r>
              <w:rPr>
                <w:rFonts w:ascii="Arial" w:cs="Arial" w:eastAsia="Arial" w:hAnsi="Arial"/>
                <w:sz w:val="18"/>
                <w:szCs w:val="18"/>
                <w:color w:val="auto"/>
              </w:rPr>
              <w:t>/s/</w:t>
            </w:r>
          </w:p>
        </w:tc>
        <w:tc>
          <w:tcPr>
            <w:tcW w:w="2360" w:type="dxa"/>
            <w:vAlign w:val="bottom"/>
            <w:gridSpan w:val="3"/>
          </w:tcPr>
          <w:p>
            <w:pPr>
              <w:jc w:val="center"/>
              <w:ind w:right="9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 B</w:t>
            </w:r>
            <w:r>
              <w:rPr>
                <w:rFonts w:ascii="Arial" w:cs="Arial" w:eastAsia="Arial" w:hAnsi="Arial"/>
                <w:sz w:val="14"/>
                <w:szCs w:val="14"/>
                <w:color w:val="auto"/>
              </w:rPr>
              <w:t>OREN</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110"/>
        </w:trPr>
        <w:tc>
          <w:tcPr>
            <w:tcW w:w="224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3"/>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263"/>
        </w:trPr>
        <w:tc>
          <w:tcPr>
            <w:tcW w:w="2240" w:type="dxa"/>
            <w:vAlign w:val="bottom"/>
          </w:tcPr>
          <w:p>
            <w:pPr>
              <w:spacing w:after="0"/>
              <w:rPr>
                <w:sz w:val="22"/>
                <w:szCs w:val="22"/>
                <w:color w:val="auto"/>
              </w:rPr>
            </w:pPr>
          </w:p>
        </w:tc>
        <w:tc>
          <w:tcPr>
            <w:tcW w:w="23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9"/>
              </w:rPr>
              <w:t>David L. Boren</w:t>
            </w: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431"/>
        </w:trPr>
        <w:tc>
          <w:tcPr>
            <w:tcW w:w="2240" w:type="dxa"/>
            <w:vAlign w:val="bottom"/>
          </w:tcPr>
          <w:p>
            <w:pPr>
              <w:ind w:left="2000"/>
              <w:spacing w:after="0"/>
              <w:rPr>
                <w:sz w:val="20"/>
                <w:szCs w:val="20"/>
                <w:color w:val="auto"/>
              </w:rPr>
            </w:pPr>
            <w:r>
              <w:rPr>
                <w:rFonts w:ascii="Arial" w:cs="Arial" w:eastAsia="Arial" w:hAnsi="Arial"/>
                <w:sz w:val="18"/>
                <w:szCs w:val="18"/>
                <w:color w:val="auto"/>
              </w:rPr>
              <w:t>/s/</w:t>
            </w:r>
          </w:p>
        </w:tc>
        <w:tc>
          <w:tcPr>
            <w:tcW w:w="2360" w:type="dxa"/>
            <w:vAlign w:val="bottom"/>
            <w:gridSpan w:val="3"/>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A. C</w:t>
            </w:r>
            <w:r>
              <w:rPr>
                <w:rFonts w:ascii="Arial" w:cs="Arial" w:eastAsia="Arial" w:hAnsi="Arial"/>
                <w:sz w:val="14"/>
                <w:szCs w:val="14"/>
                <w:color w:val="auto"/>
              </w:rPr>
              <w:t>ARP</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110"/>
        </w:trPr>
        <w:tc>
          <w:tcPr>
            <w:tcW w:w="224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3"/>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263"/>
        </w:trPr>
        <w:tc>
          <w:tcPr>
            <w:tcW w:w="2240" w:type="dxa"/>
            <w:vAlign w:val="bottom"/>
          </w:tcPr>
          <w:p>
            <w:pPr>
              <w:spacing w:after="0"/>
              <w:rPr>
                <w:sz w:val="22"/>
                <w:szCs w:val="22"/>
                <w:color w:val="auto"/>
              </w:rPr>
            </w:pPr>
          </w:p>
        </w:tc>
        <w:tc>
          <w:tcPr>
            <w:tcW w:w="23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Daniel A. Carp</w:t>
            </w: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63"/>
        </w:trPr>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28" w:right="3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19"/>
                <w:szCs w:val="19"/>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ARRIE</w:t>
            </w:r>
            <w:r>
              <w:rPr>
                <w:rFonts w:ascii="Arial" w:cs="Arial" w:eastAsia="Arial" w:hAnsi="Arial"/>
                <w:sz w:val="18"/>
                <w:szCs w:val="18"/>
                <w:color w:val="auto"/>
              </w:rPr>
              <w:t xml:space="preserve"> S. C</w:t>
            </w:r>
            <w:r>
              <w:rPr>
                <w:rFonts w:ascii="Arial" w:cs="Arial" w:eastAsia="Arial" w:hAnsi="Arial"/>
                <w:sz w:val="14"/>
                <w:szCs w:val="14"/>
                <w:color w:val="auto"/>
              </w:rPr>
              <w:t>OX</w:t>
            </w:r>
          </w:p>
        </w:tc>
        <w:tc>
          <w:tcPr>
            <w:tcW w:w="1020" w:type="dxa"/>
            <w:vAlign w:val="bottom"/>
          </w:tcPr>
          <w:p>
            <w:pPr>
              <w:spacing w:after="0"/>
              <w:rPr>
                <w:sz w:val="19"/>
                <w:szCs w:val="19"/>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tcPr>
          <w:p>
            <w:pPr>
              <w:ind w:left="380"/>
              <w:spacing w:after="0"/>
              <w:rPr>
                <w:sz w:val="20"/>
                <w:szCs w:val="20"/>
                <w:color w:val="auto"/>
              </w:rPr>
            </w:pPr>
            <w:r>
              <w:rPr>
                <w:rFonts w:ascii="Arial" w:cs="Arial" w:eastAsia="Arial" w:hAnsi="Arial"/>
                <w:sz w:val="14"/>
                <w:szCs w:val="14"/>
                <w:b w:val="1"/>
                <w:bCs w:val="1"/>
                <w:color w:val="auto"/>
              </w:rPr>
              <w:t>Carrie S. Cox</w:t>
            </w:r>
          </w:p>
        </w:tc>
        <w:tc>
          <w:tcPr>
            <w:tcW w:w="1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40" w:type="dxa"/>
            <w:vAlign w:val="bottom"/>
            <w:gridSpan w:val="2"/>
          </w:tcPr>
          <w:p>
            <w:pPr>
              <w:ind w:left="1800"/>
              <w:spacing w:after="0"/>
              <w:rPr>
                <w:sz w:val="20"/>
                <w:szCs w:val="20"/>
                <w:color w:val="auto"/>
              </w:rPr>
            </w:pPr>
            <w:r>
              <w:rPr>
                <w:rFonts w:ascii="Arial" w:cs="Arial" w:eastAsia="Arial" w:hAnsi="Arial"/>
                <w:sz w:val="18"/>
                <w:szCs w:val="18"/>
                <w:color w:val="auto"/>
              </w:rPr>
              <w:t>/s/</w:t>
            </w:r>
          </w:p>
        </w:tc>
        <w:tc>
          <w:tcPr>
            <w:tcW w:w="2660" w:type="dxa"/>
            <w:vAlign w:val="bottom"/>
          </w:tcPr>
          <w:p>
            <w:pPr>
              <w:jc w:val="center"/>
              <w:ind w:right="985"/>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HOMAS</w:t>
            </w:r>
            <w:r>
              <w:rPr>
                <w:rFonts w:ascii="Arial" w:cs="Arial" w:eastAsia="Arial" w:hAnsi="Arial"/>
                <w:sz w:val="18"/>
                <w:szCs w:val="18"/>
                <w:color w:val="auto"/>
                <w:w w:val="98"/>
              </w:rPr>
              <w:t xml:space="preserve"> J. E</w:t>
            </w:r>
            <w:r>
              <w:rPr>
                <w:rFonts w:ascii="Arial" w:cs="Arial" w:eastAsia="Arial" w:hAnsi="Arial"/>
                <w:sz w:val="14"/>
                <w:szCs w:val="14"/>
                <w:color w:val="auto"/>
                <w:w w:val="98"/>
              </w:rPr>
              <w:t>NGIBOUS</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w w:val="99"/>
              </w:rPr>
              <w:t>Chairman of the Board; Director</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tcPr>
          <w:p>
            <w:pPr>
              <w:jc w:val="center"/>
              <w:ind w:right="1025"/>
              <w:spacing w:after="0"/>
              <w:rPr>
                <w:sz w:val="20"/>
                <w:szCs w:val="20"/>
                <w:color w:val="auto"/>
              </w:rPr>
            </w:pPr>
            <w:r>
              <w:rPr>
                <w:rFonts w:ascii="Arial" w:cs="Arial" w:eastAsia="Arial" w:hAnsi="Arial"/>
                <w:sz w:val="14"/>
                <w:szCs w:val="14"/>
                <w:b w:val="1"/>
                <w:bCs w:val="1"/>
                <w:color w:val="auto"/>
                <w:w w:val="84"/>
              </w:rPr>
              <w:t>Thomas J. Engibous</w:t>
            </w:r>
          </w:p>
        </w:tc>
        <w:tc>
          <w:tcPr>
            <w:tcW w:w="1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860" w:type="dxa"/>
            <w:vAlign w:val="bottom"/>
          </w:tcPr>
          <w:p>
            <w:pPr>
              <w:ind w:left="1560"/>
              <w:spacing w:after="0"/>
              <w:rPr>
                <w:sz w:val="20"/>
                <w:szCs w:val="20"/>
                <w:color w:val="auto"/>
              </w:rPr>
            </w:pPr>
            <w:r>
              <w:rPr>
                <w:rFonts w:ascii="Arial" w:cs="Arial" w:eastAsia="Arial" w:hAnsi="Arial"/>
                <w:sz w:val="18"/>
                <w:szCs w:val="18"/>
                <w:color w:val="auto"/>
              </w:rPr>
              <w:t>/s/</w:t>
            </w:r>
          </w:p>
        </w:tc>
        <w:tc>
          <w:tcPr>
            <w:tcW w:w="2940" w:type="dxa"/>
            <w:vAlign w:val="bottom"/>
            <w:gridSpan w:val="2"/>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ERALD</w:t>
            </w:r>
            <w:r>
              <w:rPr>
                <w:rFonts w:ascii="Arial" w:cs="Arial" w:eastAsia="Arial" w:hAnsi="Arial"/>
                <w:sz w:val="18"/>
                <w:szCs w:val="18"/>
                <w:color w:val="auto"/>
              </w:rPr>
              <w:t xml:space="preserve"> W. F</w:t>
            </w:r>
            <w:r>
              <w:rPr>
                <w:rFonts w:ascii="Arial" w:cs="Arial" w:eastAsia="Arial" w:hAnsi="Arial"/>
                <w:sz w:val="14"/>
                <w:szCs w:val="14"/>
                <w:color w:val="auto"/>
              </w:rPr>
              <w:t>RONTERHOUSE</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tcPr>
          <w:p>
            <w:pPr>
              <w:jc w:val="center"/>
              <w:ind w:right="1025"/>
              <w:spacing w:after="0"/>
              <w:rPr>
                <w:sz w:val="20"/>
                <w:szCs w:val="20"/>
                <w:color w:val="auto"/>
              </w:rPr>
            </w:pPr>
            <w:r>
              <w:rPr>
                <w:rFonts w:ascii="Arial" w:cs="Arial" w:eastAsia="Arial" w:hAnsi="Arial"/>
                <w:sz w:val="14"/>
                <w:szCs w:val="14"/>
                <w:b w:val="1"/>
                <w:bCs w:val="1"/>
                <w:color w:val="auto"/>
                <w:w w:val="87"/>
              </w:rPr>
              <w:t>Gerald W. Fronterhouse</w:t>
            </w:r>
          </w:p>
        </w:tc>
        <w:tc>
          <w:tcPr>
            <w:tcW w:w="1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860" w:type="dxa"/>
            <w:vAlign w:val="bottom"/>
          </w:tcPr>
          <w:p>
            <w:pPr>
              <w:spacing w:after="0"/>
              <w:rPr>
                <w:sz w:val="24"/>
                <w:szCs w:val="24"/>
                <w:color w:val="auto"/>
              </w:rPr>
            </w:pPr>
          </w:p>
        </w:tc>
        <w:tc>
          <w:tcPr>
            <w:tcW w:w="280" w:type="dxa"/>
            <w:vAlign w:val="bottom"/>
          </w:tcPr>
          <w:p>
            <w:pPr>
              <w:ind w:left="120"/>
              <w:spacing w:after="0"/>
              <w:rPr>
                <w:sz w:val="20"/>
                <w:szCs w:val="20"/>
                <w:color w:val="auto"/>
              </w:rPr>
            </w:pPr>
            <w:r>
              <w:rPr>
                <w:rFonts w:ascii="Arial" w:cs="Arial" w:eastAsia="Arial" w:hAnsi="Arial"/>
                <w:sz w:val="18"/>
                <w:szCs w:val="18"/>
                <w:color w:val="auto"/>
                <w:w w:val="73"/>
              </w:rPr>
              <w:t>/s/</w:t>
            </w:r>
          </w:p>
        </w:tc>
        <w:tc>
          <w:tcPr>
            <w:tcW w:w="2660" w:type="dxa"/>
            <w:vAlign w:val="bottom"/>
          </w:tcPr>
          <w:p>
            <w:pPr>
              <w:jc w:val="center"/>
              <w:ind w:right="965"/>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R. G</w:t>
            </w:r>
            <w:r>
              <w:rPr>
                <w:rFonts w:ascii="Arial" w:cs="Arial" w:eastAsia="Arial" w:hAnsi="Arial"/>
                <w:sz w:val="14"/>
                <w:szCs w:val="14"/>
                <w:color w:val="auto"/>
                <w:w w:val="97"/>
              </w:rPr>
              <w:t>OODE</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tcPr>
          <w:p>
            <w:pPr>
              <w:jc w:val="center"/>
              <w:ind w:right="1025"/>
              <w:spacing w:after="0"/>
              <w:rPr>
                <w:sz w:val="20"/>
                <w:szCs w:val="20"/>
                <w:color w:val="auto"/>
              </w:rPr>
            </w:pPr>
            <w:r>
              <w:rPr>
                <w:rFonts w:ascii="Arial" w:cs="Arial" w:eastAsia="Arial" w:hAnsi="Arial"/>
                <w:sz w:val="14"/>
                <w:szCs w:val="14"/>
                <w:b w:val="1"/>
                <w:bCs w:val="1"/>
                <w:color w:val="auto"/>
                <w:w w:val="88"/>
              </w:rPr>
              <w:t>David R. Goode</w:t>
            </w:r>
          </w:p>
        </w:tc>
        <w:tc>
          <w:tcPr>
            <w:tcW w:w="1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40" w:type="dxa"/>
            <w:vAlign w:val="bottom"/>
            <w:gridSpan w:val="2"/>
          </w:tcPr>
          <w:p>
            <w:pPr>
              <w:ind w:left="1840"/>
              <w:spacing w:after="0"/>
              <w:rPr>
                <w:sz w:val="20"/>
                <w:szCs w:val="20"/>
                <w:color w:val="auto"/>
              </w:rPr>
            </w:pPr>
            <w:r>
              <w:rPr>
                <w:rFonts w:ascii="Arial" w:cs="Arial" w:eastAsia="Arial" w:hAnsi="Arial"/>
                <w:sz w:val="18"/>
                <w:szCs w:val="18"/>
                <w:color w:val="auto"/>
              </w:rPr>
              <w:t>/s/</w:t>
            </w:r>
          </w:p>
        </w:tc>
        <w:tc>
          <w:tcPr>
            <w:tcW w:w="2660" w:type="dxa"/>
            <w:vAlign w:val="bottom"/>
          </w:tcPr>
          <w:p>
            <w:pPr>
              <w:jc w:val="center"/>
              <w:ind w:right="985"/>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AMELA</w:t>
            </w:r>
            <w:r>
              <w:rPr>
                <w:rFonts w:ascii="Arial" w:cs="Arial" w:eastAsia="Arial" w:hAnsi="Arial"/>
                <w:sz w:val="18"/>
                <w:szCs w:val="18"/>
                <w:color w:val="auto"/>
                <w:w w:val="99"/>
              </w:rPr>
              <w:t xml:space="preserve"> H. P</w:t>
            </w:r>
            <w:r>
              <w:rPr>
                <w:rFonts w:ascii="Arial" w:cs="Arial" w:eastAsia="Arial" w:hAnsi="Arial"/>
                <w:sz w:val="14"/>
                <w:szCs w:val="14"/>
                <w:color w:val="auto"/>
                <w:w w:val="99"/>
              </w:rPr>
              <w:t>ATSLEY</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tcPr>
          <w:p>
            <w:pPr>
              <w:jc w:val="center"/>
              <w:ind w:right="1025"/>
              <w:spacing w:after="0"/>
              <w:rPr>
                <w:sz w:val="20"/>
                <w:szCs w:val="20"/>
                <w:color w:val="auto"/>
              </w:rPr>
            </w:pPr>
            <w:r>
              <w:rPr>
                <w:rFonts w:ascii="Arial" w:cs="Arial" w:eastAsia="Arial" w:hAnsi="Arial"/>
                <w:sz w:val="14"/>
                <w:szCs w:val="14"/>
                <w:b w:val="1"/>
                <w:bCs w:val="1"/>
                <w:color w:val="auto"/>
                <w:w w:val="86"/>
              </w:rPr>
              <w:t>Pamela H. Patsley</w:t>
            </w:r>
          </w:p>
        </w:tc>
        <w:tc>
          <w:tcPr>
            <w:tcW w:w="1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8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/s/</w:t>
            </w:r>
          </w:p>
        </w:tc>
        <w:tc>
          <w:tcPr>
            <w:tcW w:w="2660" w:type="dxa"/>
            <w:vAlign w:val="bottom"/>
          </w:tcPr>
          <w:p>
            <w:pPr>
              <w:jc w:val="center"/>
              <w:ind w:right="985"/>
              <w:spacing w:after="0"/>
              <w:rPr>
                <w:sz w:val="20"/>
                <w:szCs w:val="20"/>
                <w:color w:val="auto"/>
              </w:rPr>
            </w:pPr>
            <w:r>
              <w:rPr>
                <w:rFonts w:ascii="Arial" w:cs="Arial" w:eastAsia="Arial" w:hAnsi="Arial"/>
                <w:sz w:val="18"/>
                <w:szCs w:val="18"/>
                <w:color w:val="auto"/>
                <w:w w:val="96"/>
              </w:rPr>
              <w:t>W</w:t>
            </w:r>
            <w:r>
              <w:rPr>
                <w:rFonts w:ascii="Arial" w:cs="Arial" w:eastAsia="Arial" w:hAnsi="Arial"/>
                <w:sz w:val="14"/>
                <w:szCs w:val="14"/>
                <w:color w:val="auto"/>
                <w:w w:val="96"/>
              </w:rPr>
              <w:t>AYNE</w:t>
            </w:r>
            <w:r>
              <w:rPr>
                <w:rFonts w:ascii="Arial" w:cs="Arial" w:eastAsia="Arial" w:hAnsi="Arial"/>
                <w:sz w:val="18"/>
                <w:szCs w:val="18"/>
                <w:color w:val="auto"/>
                <w:w w:val="96"/>
              </w:rPr>
              <w:t xml:space="preserve"> R. S</w:t>
            </w:r>
            <w:r>
              <w:rPr>
                <w:rFonts w:ascii="Arial" w:cs="Arial" w:eastAsia="Arial" w:hAnsi="Arial"/>
                <w:sz w:val="14"/>
                <w:szCs w:val="14"/>
                <w:color w:val="auto"/>
                <w:w w:val="96"/>
              </w:rPr>
              <w:t>ANDERS</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tcPr>
          <w:p>
            <w:pPr>
              <w:jc w:val="center"/>
              <w:ind w:right="1045"/>
              <w:spacing w:after="0"/>
              <w:rPr>
                <w:sz w:val="20"/>
                <w:szCs w:val="20"/>
                <w:color w:val="auto"/>
              </w:rPr>
            </w:pPr>
            <w:r>
              <w:rPr>
                <w:rFonts w:ascii="Arial" w:cs="Arial" w:eastAsia="Arial" w:hAnsi="Arial"/>
                <w:sz w:val="14"/>
                <w:szCs w:val="14"/>
                <w:b w:val="1"/>
                <w:bCs w:val="1"/>
                <w:color w:val="auto"/>
                <w:w w:val="86"/>
              </w:rPr>
              <w:t>Wayne R. Sanders</w:t>
            </w:r>
          </w:p>
        </w:tc>
        <w:tc>
          <w:tcPr>
            <w:tcW w:w="1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8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4"/>
              </w:rPr>
              <w:t>/s/</w:t>
            </w:r>
          </w:p>
        </w:tc>
        <w:tc>
          <w:tcPr>
            <w:tcW w:w="2660" w:type="dxa"/>
            <w:vAlign w:val="bottom"/>
          </w:tcPr>
          <w:p>
            <w:pPr>
              <w:jc w:val="center"/>
              <w:ind w:right="985"/>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UTH</w:t>
            </w:r>
            <w:r>
              <w:rPr>
                <w:rFonts w:ascii="Arial" w:cs="Arial" w:eastAsia="Arial" w:hAnsi="Arial"/>
                <w:sz w:val="18"/>
                <w:szCs w:val="18"/>
                <w:color w:val="auto"/>
                <w:w w:val="97"/>
              </w:rPr>
              <w:t xml:space="preserve"> J. S</w:t>
            </w:r>
            <w:r>
              <w:rPr>
                <w:rFonts w:ascii="Arial" w:cs="Arial" w:eastAsia="Arial" w:hAnsi="Arial"/>
                <w:sz w:val="14"/>
                <w:szCs w:val="14"/>
                <w:color w:val="auto"/>
                <w:w w:val="97"/>
              </w:rPr>
              <w:t>IMMONS</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tcPr>
          <w:p>
            <w:pPr>
              <w:jc w:val="center"/>
              <w:ind w:right="1025"/>
              <w:spacing w:after="0"/>
              <w:rPr>
                <w:sz w:val="20"/>
                <w:szCs w:val="20"/>
                <w:color w:val="auto"/>
              </w:rPr>
            </w:pPr>
            <w:r>
              <w:rPr>
                <w:rFonts w:ascii="Arial" w:cs="Arial" w:eastAsia="Arial" w:hAnsi="Arial"/>
                <w:sz w:val="14"/>
                <w:szCs w:val="14"/>
                <w:b w:val="1"/>
                <w:bCs w:val="1"/>
                <w:color w:val="auto"/>
                <w:w w:val="87"/>
              </w:rPr>
              <w:t>Ruth J. Simmons</w:t>
            </w:r>
          </w:p>
        </w:tc>
        <w:tc>
          <w:tcPr>
            <w:tcW w:w="1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860" w:type="dxa"/>
            <w:vAlign w:val="bottom"/>
          </w:tcPr>
          <w:p>
            <w:pPr>
              <w:ind w:left="1700"/>
              <w:spacing w:after="0"/>
              <w:rPr>
                <w:sz w:val="20"/>
                <w:szCs w:val="20"/>
                <w:color w:val="auto"/>
              </w:rPr>
            </w:pPr>
            <w:r>
              <w:rPr>
                <w:rFonts w:ascii="Arial" w:cs="Arial" w:eastAsia="Arial" w:hAnsi="Arial"/>
                <w:sz w:val="18"/>
                <w:szCs w:val="18"/>
                <w:color w:val="auto"/>
                <w:w w:val="73"/>
              </w:rPr>
              <w:t>/s/</w:t>
            </w: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K. T</w:t>
            </w:r>
            <w:r>
              <w:rPr>
                <w:rFonts w:ascii="Arial" w:cs="Arial" w:eastAsia="Arial" w:hAnsi="Arial"/>
                <w:sz w:val="14"/>
                <w:szCs w:val="14"/>
                <w:color w:val="auto"/>
              </w:rPr>
              <w:t>EMPLETON</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Director; President and Chief</w:t>
            </w:r>
          </w:p>
        </w:tc>
        <w:tc>
          <w:tcPr>
            <w:tcW w:w="0" w:type="dxa"/>
            <w:vAlign w:val="bottom"/>
          </w:tcPr>
          <w:p>
            <w:pPr>
              <w:spacing w:after="0"/>
              <w:rPr>
                <w:sz w:val="1"/>
                <w:szCs w:val="1"/>
                <w:color w:val="auto"/>
              </w:rPr>
            </w:pPr>
          </w:p>
        </w:tc>
      </w:tr>
      <w:tr>
        <w:trPr>
          <w:trHeight w:val="116"/>
        </w:trPr>
        <w:tc>
          <w:tcPr>
            <w:tcW w:w="1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020" w:type="dxa"/>
            <w:vAlign w:val="bottom"/>
            <w:vMerge w:val="restart"/>
          </w:tcPr>
          <w:p>
            <w:pPr>
              <w:ind w:left="46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60" w:type="dxa"/>
            <w:vAlign w:val="bottom"/>
            <w:vMerge w:val="restart"/>
          </w:tcPr>
          <w:p>
            <w:pPr>
              <w:jc w:val="center"/>
              <w:ind w:right="1025"/>
              <w:spacing w:after="0"/>
              <w:rPr>
                <w:sz w:val="20"/>
                <w:szCs w:val="20"/>
                <w:color w:val="auto"/>
              </w:rPr>
            </w:pPr>
            <w:r>
              <w:rPr>
                <w:rFonts w:ascii="Arial" w:cs="Arial" w:eastAsia="Arial" w:hAnsi="Arial"/>
                <w:sz w:val="14"/>
                <w:szCs w:val="14"/>
                <w:b w:val="1"/>
                <w:bCs w:val="1"/>
                <w:color w:val="auto"/>
                <w:w w:val="88"/>
              </w:rPr>
              <w:t>Richard K. Templeton</w:t>
            </w:r>
          </w:p>
        </w:tc>
        <w:tc>
          <w:tcPr>
            <w:tcW w:w="102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20" w:type="dxa"/>
            <w:vAlign w:val="bottom"/>
            <w:vMerge w:val="restart"/>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60" w:type="dxa"/>
            <w:vAlign w:val="bottom"/>
            <w:vMerge w:val="restart"/>
          </w:tcPr>
          <w:p>
            <w:pPr>
              <w:jc w:val="center"/>
              <w:ind w:right="1025"/>
              <w:spacing w:after="0"/>
              <w:rPr>
                <w:sz w:val="20"/>
                <w:szCs w:val="20"/>
                <w:color w:val="auto"/>
              </w:rPr>
            </w:pPr>
            <w:r>
              <w:rPr>
                <w:rFonts w:ascii="Arial" w:cs="Arial" w:eastAsia="Arial" w:hAnsi="Arial"/>
                <w:sz w:val="14"/>
                <w:szCs w:val="14"/>
                <w:b w:val="1"/>
                <w:bCs w:val="1"/>
                <w:color w:val="auto"/>
                <w:w w:val="88"/>
              </w:rPr>
              <w:t>Christine Todd Whitman</w:t>
            </w:r>
          </w:p>
        </w:tc>
        <w:tc>
          <w:tcPr>
            <w:tcW w:w="102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860" w:type="dxa"/>
            <w:vAlign w:val="bottom"/>
          </w:tcPr>
          <w:p>
            <w:pPr>
              <w:spacing w:after="0"/>
              <w:rPr>
                <w:sz w:val="24"/>
                <w:szCs w:val="24"/>
                <w:color w:val="auto"/>
              </w:rPr>
            </w:pPr>
          </w:p>
        </w:tc>
        <w:tc>
          <w:tcPr>
            <w:tcW w:w="280" w:type="dxa"/>
            <w:vAlign w:val="bottom"/>
          </w:tcPr>
          <w:p>
            <w:pPr>
              <w:ind w:left="120"/>
              <w:spacing w:after="0"/>
              <w:rPr>
                <w:sz w:val="20"/>
                <w:szCs w:val="20"/>
                <w:color w:val="auto"/>
              </w:rPr>
            </w:pPr>
            <w:r>
              <w:rPr>
                <w:rFonts w:ascii="Arial" w:cs="Arial" w:eastAsia="Arial" w:hAnsi="Arial"/>
                <w:sz w:val="18"/>
                <w:szCs w:val="18"/>
                <w:color w:val="auto"/>
                <w:w w:val="73"/>
              </w:rPr>
              <w:t>/s/</w:t>
            </w:r>
          </w:p>
        </w:tc>
        <w:tc>
          <w:tcPr>
            <w:tcW w:w="2660" w:type="dxa"/>
            <w:vAlign w:val="bottom"/>
          </w:tcPr>
          <w:p>
            <w:pPr>
              <w:jc w:val="center"/>
              <w:ind w:right="985"/>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EVIN</w:t>
            </w:r>
            <w:r>
              <w:rPr>
                <w:rFonts w:ascii="Arial" w:cs="Arial" w:eastAsia="Arial" w:hAnsi="Arial"/>
                <w:sz w:val="18"/>
                <w:szCs w:val="18"/>
                <w:color w:val="auto"/>
                <w:w w:val="98"/>
              </w:rPr>
              <w:t xml:space="preserve"> P. M</w:t>
            </w:r>
            <w:r>
              <w:rPr>
                <w:rFonts w:ascii="Arial" w:cs="Arial" w:eastAsia="Arial" w:hAnsi="Arial"/>
                <w:sz w:val="14"/>
                <w:szCs w:val="14"/>
                <w:color w:val="auto"/>
                <w:w w:val="98"/>
              </w:rPr>
              <w:t>ARCH</w:t>
            </w:r>
          </w:p>
        </w:tc>
        <w:tc>
          <w:tcPr>
            <w:tcW w:w="10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Senior Vice President; Chief</w:t>
            </w:r>
          </w:p>
        </w:tc>
        <w:tc>
          <w:tcPr>
            <w:tcW w:w="0" w:type="dxa"/>
            <w:vAlign w:val="bottom"/>
          </w:tcPr>
          <w:p>
            <w:pPr>
              <w:spacing w:after="0"/>
              <w:rPr>
                <w:sz w:val="1"/>
                <w:szCs w:val="1"/>
                <w:color w:val="auto"/>
              </w:rPr>
            </w:pPr>
          </w:p>
        </w:tc>
      </w:tr>
      <w:tr>
        <w:trPr>
          <w:trHeight w:val="116"/>
        </w:trPr>
        <w:tc>
          <w:tcPr>
            <w:tcW w:w="1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020" w:type="dxa"/>
            <w:vAlign w:val="bottom"/>
            <w:vMerge w:val="restart"/>
          </w:tcPr>
          <w:p>
            <w:pPr>
              <w:ind w:left="460"/>
              <w:spacing w:after="0"/>
              <w:rPr>
                <w:sz w:val="20"/>
                <w:szCs w:val="20"/>
                <w:color w:val="auto"/>
              </w:rPr>
            </w:pPr>
            <w:r>
              <w:rPr>
                <w:rFonts w:ascii="Arial" w:cs="Arial" w:eastAsia="Arial" w:hAnsi="Arial"/>
                <w:sz w:val="18"/>
                <w:szCs w:val="18"/>
                <w:color w:val="auto"/>
                <w:w w:val="91"/>
              </w:rPr>
              <w:t>Financial Officer; Chief Accounting</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jc w:val="center"/>
              <w:ind w:right="1025"/>
              <w:spacing w:after="0"/>
              <w:rPr>
                <w:sz w:val="20"/>
                <w:szCs w:val="20"/>
                <w:color w:val="auto"/>
              </w:rPr>
            </w:pPr>
            <w:r>
              <w:rPr>
                <w:rFonts w:ascii="Arial" w:cs="Arial" w:eastAsia="Arial" w:hAnsi="Arial"/>
                <w:sz w:val="14"/>
                <w:szCs w:val="14"/>
                <w:b w:val="1"/>
                <w:bCs w:val="1"/>
                <w:color w:val="auto"/>
                <w:w w:val="91"/>
              </w:rPr>
              <w:t>Kevin P. March</w:t>
            </w:r>
          </w:p>
        </w:tc>
        <w:tc>
          <w:tcPr>
            <w:tcW w:w="1020" w:type="dxa"/>
            <w:vAlign w:val="bottom"/>
          </w:tcPr>
          <w:p>
            <w:pPr>
              <w:spacing w:after="0"/>
              <w:rPr>
                <w:sz w:val="19"/>
                <w:szCs w:val="19"/>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78"/>
        </w:trPr>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96" w:right="1440" w:bottom="1440" w:gutter="0" w:footer="0" w:header="0"/>
        </w:sectPr>
      </w:pPr>
    </w:p>
    <w:bookmarkStart w:id="32" w:name="page33"/>
    <w:bookmarkEnd w:id="32"/>
    <w:p>
      <w:pPr>
        <w:ind w:left="3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INDEX TO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FINANCIAL STATEMENT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Page Reference</w:t>
            </w: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2004 annual</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report to</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stockholders</w:t>
            </w:r>
          </w:p>
        </w:tc>
        <w:tc>
          <w:tcPr>
            <w:tcW w:w="0" w:type="dxa"/>
            <w:vAlign w:val="bottom"/>
          </w:tcPr>
          <w:p>
            <w:pPr>
              <w:spacing w:after="0"/>
              <w:rPr>
                <w:sz w:val="1"/>
                <w:szCs w:val="1"/>
                <w:color w:val="auto"/>
              </w:rPr>
            </w:pPr>
          </w:p>
        </w:tc>
      </w:tr>
      <w:tr>
        <w:trPr>
          <w:trHeight w:val="95"/>
        </w:trPr>
        <w:tc>
          <w:tcPr>
            <w:tcW w:w="10520" w:type="dxa"/>
            <w:vAlign w:val="bottom"/>
            <w:gridSpan w:val="8"/>
            <w:vMerge w:val="restart"/>
          </w:tcPr>
          <w:p>
            <w:pPr>
              <w:spacing w:after="0"/>
              <w:rPr>
                <w:sz w:val="20"/>
                <w:szCs w:val="20"/>
                <w:color w:val="auto"/>
              </w:rPr>
            </w:pPr>
            <w:r>
              <w:rPr>
                <w:rFonts w:ascii="Arial" w:cs="Arial" w:eastAsia="Arial" w:hAnsi="Arial"/>
                <w:sz w:val="18"/>
                <w:szCs w:val="18"/>
                <w:color w:val="auto"/>
              </w:rPr>
              <w:t>Information incorporated by reference to the Registrant’s 2004 annual report to stockholders</w:t>
            </w: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520" w:type="dxa"/>
            <w:vAlign w:val="bottom"/>
            <w:gridSpan w:val="8"/>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2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520" w:type="dxa"/>
            <w:vAlign w:val="bottom"/>
            <w:gridSpan w:val="8"/>
          </w:tcPr>
          <w:p>
            <w:pPr>
              <w:spacing w:after="0"/>
              <w:rPr>
                <w:sz w:val="20"/>
                <w:szCs w:val="20"/>
                <w:color w:val="auto"/>
              </w:rPr>
            </w:pPr>
            <w:r>
              <w:rPr>
                <w:rFonts w:ascii="Arial" w:cs="Arial" w:eastAsia="Arial" w:hAnsi="Arial"/>
                <w:sz w:val="18"/>
                <w:szCs w:val="18"/>
                <w:color w:val="0000EE"/>
              </w:rPr>
              <w:t>Operations for each of the three years in the period ended December 31, 2004</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20" w:type="dxa"/>
            <w:vAlign w:val="bottom"/>
            <w:gridSpan w:val="8"/>
          </w:tcPr>
          <w:p>
            <w:pPr>
              <w:spacing w:after="0"/>
              <w:rPr>
                <w:sz w:val="20"/>
                <w:szCs w:val="20"/>
                <w:color w:val="auto"/>
              </w:rPr>
            </w:pPr>
            <w:r>
              <w:rPr>
                <w:rFonts w:ascii="Arial" w:cs="Arial" w:eastAsia="Arial" w:hAnsi="Arial"/>
                <w:sz w:val="18"/>
                <w:szCs w:val="18"/>
                <w:color w:val="0000EE"/>
              </w:rPr>
              <w:t>Comprehensive Income (Loss) for each of the three years in the period ended December 31, 2004</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04"/>
        </w:trPr>
        <w:tc>
          <w:tcPr>
            <w:tcW w:w="68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Balance sheet at December 31, 2004 and 2003</w:t>
            </w:r>
          </w:p>
        </w:tc>
        <w:tc>
          <w:tcPr>
            <w:tcW w:w="36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20" w:type="dxa"/>
            <w:vAlign w:val="bottom"/>
            <w:gridSpan w:val="8"/>
          </w:tcPr>
          <w:p>
            <w:pPr>
              <w:spacing w:after="0"/>
              <w:rPr>
                <w:sz w:val="20"/>
                <w:szCs w:val="20"/>
                <w:color w:val="auto"/>
              </w:rPr>
            </w:pPr>
            <w:r>
              <w:rPr>
                <w:rFonts w:ascii="Arial" w:cs="Arial" w:eastAsia="Arial" w:hAnsi="Arial"/>
                <w:sz w:val="18"/>
                <w:szCs w:val="18"/>
                <w:color w:val="0000EE"/>
              </w:rPr>
              <w:t>Cash flows for each of the three years in the period ended December 31, 2004</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1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7"/>
              </w:rPr>
              <w:t>Stockholders’ equity for each of the three years in the period ended December 31, 2004</w:t>
            </w:r>
          </w:p>
        </w:tc>
        <w:tc>
          <w:tcPr>
            <w:tcW w:w="436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304"/>
        </w:trPr>
        <w:tc>
          <w:tcPr>
            <w:tcW w:w="10520" w:type="dxa"/>
            <w:vAlign w:val="bottom"/>
            <w:gridSpan w:val="8"/>
          </w:tcPr>
          <w:p>
            <w:pPr>
              <w:spacing w:after="0"/>
              <w:rPr>
                <w:sz w:val="20"/>
                <w:szCs w:val="20"/>
                <w:color w:val="auto"/>
              </w:rPr>
            </w:pPr>
            <w:r>
              <w:rPr>
                <w:rFonts w:ascii="Arial" w:cs="Arial" w:eastAsia="Arial" w:hAnsi="Arial"/>
                <w:sz w:val="18"/>
                <w:szCs w:val="18"/>
                <w:color w:val="0000EE"/>
              </w:rPr>
              <w:t>Notes to financial statements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11-38</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20" w:type="dxa"/>
            <w:vAlign w:val="bottom"/>
            <w:gridSpan w:val="8"/>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4120" w:type="dxa"/>
            <w:vAlign w:val="bottom"/>
            <w:gridSpan w:val="3"/>
            <w:shd w:val="clear" w:color="auto" w:fill="0000EE"/>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520" w:type="dxa"/>
            <w:vAlign w:val="bottom"/>
            <w:gridSpan w:val="8"/>
          </w:tcPr>
          <w:p>
            <w:pPr>
              <w:spacing w:after="0"/>
              <w:rPr>
                <w:sz w:val="20"/>
                <w:szCs w:val="20"/>
                <w:color w:val="auto"/>
              </w:rPr>
            </w:pPr>
            <w:r>
              <w:rPr>
                <w:rFonts w:ascii="Arial" w:cs="Arial" w:eastAsia="Arial" w:hAnsi="Arial"/>
                <w:sz w:val="18"/>
                <w:szCs w:val="18"/>
                <w:color w:val="auto"/>
              </w:rPr>
              <w:t>Consolidated Schedule for each of the three years in the period ended December 31, 2004: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20" w:type="dxa"/>
            <w:vAlign w:val="bottom"/>
            <w:gridSpan w:val="8"/>
          </w:tcPr>
          <w:p>
            <w:pPr>
              <w:spacing w:after="0"/>
              <w:rPr>
                <w:sz w:val="20"/>
                <w:szCs w:val="20"/>
                <w:color w:val="auto"/>
              </w:rPr>
            </w:pPr>
            <w:r>
              <w:rPr>
                <w:rFonts w:ascii="Arial" w:cs="Arial" w:eastAsia="Arial" w:hAnsi="Arial"/>
                <w:sz w:val="18"/>
                <w:szCs w:val="18"/>
                <w:color w:val="auto"/>
              </w:rPr>
              <w:t>II. Allowance for Losses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28" w:right="239" w:bottom="1440" w:gutter="0" w:footer="0" w:header="0"/>
        </w:sectPr>
      </w:pPr>
    </w:p>
    <w:bookmarkStart w:id="33" w:name="page34"/>
    <w:bookmarkEnd w:id="33"/>
    <w:p>
      <w:pPr>
        <w:ind w:left="106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ALLOWANCE FOR LOSSES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2004, 2003, and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5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Charged to</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Operating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4"/>
                <w:szCs w:val="14"/>
                <w:b w:val="1"/>
                <w:bCs w:val="1"/>
                <w:color w:val="auto"/>
                <w:w w:val="84"/>
              </w:rPr>
              <w:t>of Year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4"/>
                <w:szCs w:val="14"/>
                <w:b w:val="1"/>
                <w:bCs w:val="1"/>
                <w:color w:val="auto"/>
                <w:w w:val="82"/>
              </w:rPr>
              <w:t>Results</w:t>
            </w:r>
          </w:p>
        </w:tc>
        <w:tc>
          <w:tcPr>
            <w:tcW w:w="5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Usage</w:t>
            </w: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jc w:val="right"/>
              <w:ind w:right="7332"/>
              <w:spacing w:after="0"/>
              <w:rPr>
                <w:sz w:val="20"/>
                <w:szCs w:val="20"/>
                <w:color w:val="auto"/>
              </w:rPr>
            </w:pPr>
            <w:r>
              <w:rPr>
                <w:rFonts w:ascii="Arial" w:cs="Arial" w:eastAsia="Arial" w:hAnsi="Arial"/>
                <w:sz w:val="18"/>
                <w:szCs w:val="18"/>
                <w:color w:val="auto"/>
                <w:w w:val="79"/>
              </w:rPr>
              <w:t>2004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2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 (13)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jc w:val="right"/>
              <w:ind w:right="7332"/>
              <w:spacing w:after="0"/>
              <w:rPr>
                <w:sz w:val="20"/>
                <w:szCs w:val="20"/>
                <w:color w:val="auto"/>
              </w:rPr>
            </w:pPr>
            <w:r>
              <w:rPr>
                <w:rFonts w:ascii="Arial" w:cs="Arial" w:eastAsia="Arial" w:hAnsi="Arial"/>
                <w:sz w:val="18"/>
                <w:szCs w:val="18"/>
                <w:color w:val="auto"/>
                <w:w w:val="79"/>
              </w:rPr>
              <w:t>2003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2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 (29)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jc w:val="right"/>
              <w:ind w:right="7332"/>
              <w:spacing w:after="0"/>
              <w:rPr>
                <w:sz w:val="20"/>
                <w:szCs w:val="20"/>
                <w:color w:val="auto"/>
              </w:rPr>
            </w:pPr>
            <w:r>
              <w:rPr>
                <w:rFonts w:ascii="Arial" w:cs="Arial" w:eastAsia="Arial" w:hAnsi="Arial"/>
                <w:sz w:val="18"/>
                <w:szCs w:val="18"/>
                <w:color w:val="auto"/>
                <w:w w:val="79"/>
              </w:rPr>
              <w:t>2002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2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 (47)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-629285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-629285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-629285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-629285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-629285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-629285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-629285</wp:posOffset>
            </wp:positionV>
            <wp:extent cx="2527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-629285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-629285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-329565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-329565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-329565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-329565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-329565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-329565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-329565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-329565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-329565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-329565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-329565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527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customer adjustments and doubtful accounts are deducted from accounts receivable in the balance sheet.</w:t>
      </w:r>
    </w:p>
    <w:p>
      <w:pPr>
        <w:sectPr>
          <w:pgSz w:w="11900" w:h="16838" w:orient="portrait"/>
          <w:cols w:equalWidth="0" w:num="1">
            <w:col w:w="11420"/>
          </w:cols>
          <w:pgMar w:left="240" w:top="280" w:right="239" w:bottom="1440" w:gutter="0" w:footer="0" w:header="0"/>
        </w:sectPr>
      </w:pPr>
    </w:p>
    <w:bookmarkStart w:id="34" w:name="page35"/>
    <w:bookmarkEnd w:id="34"/>
    <w:p>
      <w:pPr>
        <w:ind w:left="10680"/>
        <w:spacing w:after="0"/>
        <w:rPr>
          <w:sz w:val="20"/>
          <w:szCs w:val="20"/>
          <w:color w:val="auto"/>
        </w:rPr>
      </w:pPr>
      <w:r>
        <w:rPr>
          <w:rFonts w:ascii="Arial" w:cs="Arial" w:eastAsia="Arial" w:hAnsi="Arial"/>
          <w:sz w:val="16"/>
          <w:szCs w:val="16"/>
          <w:u w:val="single" w:color="auto"/>
          <w:color w:val="auto"/>
        </w:rPr>
        <w:t>Exhibit 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Income (loss) before cumulative effect of an accounting change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(344)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 Provision (benefit)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 from below</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Interest on loans (expensed portion)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attributable to rental and lease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 deducted from 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-1607185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-1607185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-1607185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-1607185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-1607185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-1607185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-1607185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-1607185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-1607185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-1607185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-1607185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-1607185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-1607185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-1607185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-1607185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-329565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-329565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-329565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-329565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-329565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-329565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-329565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-329565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-329565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-329565</wp:posOffset>
            </wp:positionV>
            <wp:extent cx="29591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9591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The coverage deficiency was $334 million in year 2002 and $423 million in year 2001.</w:t>
      </w:r>
    </w:p>
    <w:p>
      <w:pPr>
        <w:sectPr>
          <w:pgSz w:w="11900" w:h="16838" w:orient="portrait"/>
          <w:cols w:equalWidth="0" w:num="1">
            <w:col w:w="11420"/>
          </w:cols>
          <w:pgMar w:left="240" w:top="13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Exhibit 13</w:t>
            </w:r>
          </w:p>
        </w:tc>
        <w:tc>
          <w:tcPr>
            <w:tcW w:w="0" w:type="dxa"/>
            <w:vAlign w:val="bottom"/>
          </w:tcPr>
          <w:p>
            <w:pPr>
              <w:spacing w:after="0"/>
              <w:rPr>
                <w:sz w:val="1"/>
                <w:szCs w:val="1"/>
                <w:color w:val="auto"/>
              </w:rPr>
            </w:pPr>
          </w:p>
        </w:tc>
      </w:tr>
      <w:tr>
        <w:trPr>
          <w:trHeight w:val="383"/>
        </w:trPr>
        <w:tc>
          <w:tcPr>
            <w:tcW w:w="8700" w:type="dxa"/>
            <w:vAlign w:val="bottom"/>
          </w:tcPr>
          <w:p>
            <w:pPr>
              <w:spacing w:after="0"/>
              <w:rPr>
                <w:sz w:val="20"/>
                <w:szCs w:val="20"/>
                <w:color w:val="auto"/>
              </w:rPr>
            </w:pPr>
            <w:r>
              <w:rPr>
                <w:rFonts w:ascii="Arial" w:cs="Arial" w:eastAsia="Arial" w:hAnsi="Arial"/>
                <w:sz w:val="18"/>
                <w:szCs w:val="18"/>
                <w:b w:val="1"/>
                <w:bCs w:val="1"/>
                <w:color w:val="auto"/>
              </w:rPr>
              <w:t>Financial Statements Table of Contents</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70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8"/>
        </w:trPr>
        <w:tc>
          <w:tcPr>
            <w:tcW w:w="870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Description of Business and Significant Accounting Policies and Practices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Cash Equivalents, Short-Term Investments and Long-Term Cash Investments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Inventories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Property, Plant and Equipment at Cost</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Equity and Debt Investments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Goodwill and Other Acquisition-Related Intangibles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Accounts Payable and Accrued Expenses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Debt and Lines of Credit</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Financial Instruments and Risk Concentration</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Stockholders’ Equity</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Research and Development</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Other Income (Expense) Net</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Stock-Based Compensation</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Post-Employment Benefit Plans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Profit Sharing Plans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Restructuring Actions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Business Segment and Geographic Area Data</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Income Taxes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color w:val="auto"/>
              </w:rPr>
              <w:t>- Commitments and Contingencies</w:t>
            </w:r>
          </w:p>
        </w:tc>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Report of Management on Internal Control over Financial Reporting</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Summary of Selected Financial Data</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870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Overview</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Results of Operations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Financial Condition</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Liquidity and Capital Resources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Long-Term Contractual Obligations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Critical Accounting Policies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Changes in Accounting Standards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Quantitative and Qualitative Disclosures about Market Risk</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 Restructuring Actions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Quarterly Financial Data</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Common Stock Prices and Dividends</w:t>
            </w:r>
          </w:p>
        </w:tc>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51"/>
        </w:trPr>
        <w:tc>
          <w:tcPr>
            <w:tcW w:w="8700" w:type="dxa"/>
            <w:vAlign w:val="bottom"/>
            <w:vMerge w:val="restart"/>
          </w:tcPr>
          <w:p>
            <w:pPr>
              <w:ind w:left="662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rPr>
              <w:t>2004 ANNUAL REPORT</w:t>
            </w:r>
          </w:p>
        </w:tc>
        <w:tc>
          <w:tcPr>
            <w:tcW w:w="440" w:type="dxa"/>
            <w:vAlign w:val="bottom"/>
            <w:vMerge w:val="restart"/>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7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(Millions of dollars, except share and per-share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11"/>
          </w:tcPr>
          <w:p>
            <w:pPr>
              <w:jc w:val="center"/>
              <w:ind w:left="235"/>
              <w:spacing w:after="0"/>
              <w:rPr>
                <w:sz w:val="20"/>
                <w:szCs w:val="20"/>
                <w:color w:val="auto"/>
              </w:rPr>
            </w:pPr>
            <w:r>
              <w:rPr>
                <w:rFonts w:ascii="Arial" w:cs="Arial" w:eastAsia="Arial" w:hAnsi="Arial"/>
                <w:sz w:val="14"/>
                <w:szCs w:val="14"/>
                <w:b w:val="1"/>
                <w:bCs w:val="1"/>
                <w:color w:val="auto"/>
                <w:w w:val="85"/>
              </w:rPr>
              <w:t>For the years ended</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revenue</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12,580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9,834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4"/>
          </w:tcPr>
          <w:p>
            <w:pPr>
              <w:spacing w:after="0"/>
              <w:rPr>
                <w:sz w:val="20"/>
                <w:szCs w:val="20"/>
                <w:color w:val="auto"/>
              </w:rPr>
            </w:pPr>
            <w:r>
              <w:rPr>
                <w:rFonts w:ascii="Arial" w:cs="Arial" w:eastAsia="Arial" w:hAnsi="Arial"/>
                <w:sz w:val="18"/>
                <w:szCs w:val="18"/>
                <w:color w:val="auto"/>
              </w:rPr>
              <w:t>Operating costs and expenses:</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6,954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5,872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1,748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Selling, general and administrative</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10,373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8,869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gridSpan w:val="4"/>
          </w:tcPr>
          <w:p>
            <w:pPr>
              <w:spacing w:after="0"/>
              <w:rPr>
                <w:sz w:val="20"/>
                <w:szCs w:val="20"/>
                <w:color w:val="auto"/>
              </w:rPr>
            </w:pPr>
            <w:r>
              <w:rPr>
                <w:rFonts w:ascii="Arial" w:cs="Arial" w:eastAsia="Arial" w:hAnsi="Arial"/>
                <w:sz w:val="18"/>
                <w:szCs w:val="18"/>
                <w:color w:val="auto"/>
              </w:rPr>
              <w:t>Provision (benefit) for income taxes</w:t>
            </w: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560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Basic earnings (loss) per common share</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7"/>
              </w:rPr>
              <w:t>Diluted earnings (loss) per common share</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shares outstanding—Basic</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1,731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Average shares outstanding—Diluted</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1,766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9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980" w:type="dxa"/>
            <w:vAlign w:val="bottom"/>
            <w:gridSpan w:val="5"/>
            <w:vMerge w:val="continue"/>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6</w:t>
            </w:r>
          </w:p>
        </w:tc>
        <w:tc>
          <w:tcPr>
            <w:tcW w:w="25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160" w:type="dxa"/>
            <w:vAlign w:val="bottom"/>
            <w:vMerge w:val="restart"/>
          </w:tcPr>
          <w:p>
            <w:pPr>
              <w:spacing w:after="0"/>
              <w:rPr>
                <w:sz w:val="13"/>
                <w:szCs w:val="13"/>
                <w:color w:val="auto"/>
              </w:rPr>
            </w:pPr>
          </w:p>
        </w:tc>
        <w:tc>
          <w:tcPr>
            <w:tcW w:w="6460" w:type="dxa"/>
            <w:vAlign w:val="bottom"/>
            <w:gridSpan w:val="2"/>
            <w:vMerge w:val="restart"/>
          </w:tcPr>
          <w:p>
            <w:pPr>
              <w:jc w:val="right"/>
              <w:ind w:right="4620"/>
              <w:spacing w:after="0"/>
              <w:rPr>
                <w:sz w:val="20"/>
                <w:szCs w:val="20"/>
                <w:color w:val="auto"/>
              </w:rPr>
            </w:pPr>
            <w:r>
              <w:rPr>
                <w:rFonts w:ascii="Arial" w:cs="Arial" w:eastAsia="Arial" w:hAnsi="Arial"/>
                <w:sz w:val="18"/>
                <w:szCs w:val="18"/>
                <w:color w:val="auto"/>
                <w:w w:val="91"/>
              </w:rPr>
              <w:t>2004 ANNUAL REPORT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0" w:type="dxa"/>
            <w:vAlign w:val="bottom"/>
            <w:gridSpan w:val="2"/>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vMerge w:val="continue"/>
          </w:tcPr>
          <w:p>
            <w:pPr>
              <w:spacing w:after="0"/>
              <w:rPr>
                <w:sz w:val="18"/>
                <w:szCs w:val="18"/>
                <w:color w:val="auto"/>
              </w:rPr>
            </w:pPr>
          </w:p>
        </w:tc>
        <w:tc>
          <w:tcPr>
            <w:tcW w:w="64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-1759585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-1759585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-1759585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-1759585</wp:posOffset>
            </wp:positionV>
            <wp:extent cx="32131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-1759585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-1759585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-1759585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-1459230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-1459230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-1459230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-1459230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-1459230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-1459230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-1459230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-1459230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-1459230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-1158875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-1158875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-1158875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-1158875</wp:posOffset>
            </wp:positionV>
            <wp:extent cx="32131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-1158875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-1158875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-1158875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-859155</wp:posOffset>
            </wp:positionV>
            <wp:extent cx="130746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0746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-558800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-558800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-558800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-558800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-558800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-558800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-558800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-558800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-558800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Comprehensive Income (Loss)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7"/>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11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Annual adjustment (net of tax benefit (expense) of $7, $(58) and $104)</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available-for-sale investments: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Annual adjustment (net of tax benefit (expense) of $11, $(71) and $440)</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(21)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of recognized transactions (net of tax benefit (expense)</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of $(3), $74 and $(249))</w:t>
            </w:r>
          </w:p>
        </w:tc>
        <w:tc>
          <w:tcPr>
            <w:tcW w:w="11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$(875)</w:t>
            </w:r>
          </w:p>
        </w:tc>
        <w:tc>
          <w:tcPr>
            <w:tcW w:w="0" w:type="dxa"/>
            <w:vAlign w:val="bottom"/>
          </w:tcPr>
          <w:p>
            <w:pPr>
              <w:spacing w:after="0"/>
              <w:rPr>
                <w:sz w:val="1"/>
                <w:szCs w:val="1"/>
                <w:color w:val="auto"/>
              </w:rPr>
            </w:pPr>
          </w:p>
        </w:tc>
      </w:tr>
      <w:tr>
        <w:trPr>
          <w:trHeight w:val="132"/>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80" w:type="dxa"/>
            <w:vAlign w:val="bottom"/>
            <w:vMerge w:val="restart"/>
          </w:tcPr>
          <w:p>
            <w:pPr>
              <w:ind w:left="660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2220" w:type="dxa"/>
            <w:vAlign w:val="bottom"/>
            <w:gridSpan w:val="8"/>
            <w:vMerge w:val="restart"/>
          </w:tcPr>
          <w:p>
            <w:pPr>
              <w:jc w:val="right"/>
              <w:ind w:right="200"/>
              <w:spacing w:after="0"/>
              <w:rPr>
                <w:sz w:val="20"/>
                <w:szCs w:val="20"/>
                <w:color w:val="auto"/>
              </w:rPr>
            </w:pPr>
            <w:r>
              <w:rPr>
                <w:rFonts w:ascii="Arial" w:cs="Arial" w:eastAsia="Arial" w:hAnsi="Arial"/>
                <w:sz w:val="18"/>
                <w:szCs w:val="18"/>
                <w:color w:val="auto"/>
              </w:rPr>
              <w:t>2004 ANNUAL REPORT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20" w:type="dxa"/>
            <w:vAlign w:val="bottom"/>
            <w:gridSpan w:val="8"/>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-558800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-558800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-558800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-558800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-558800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-558800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-558800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-558800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-558800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(Millions of dollars, except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4"/>
              </w:rPr>
              <w:t>Assets</w:t>
            </w:r>
          </w:p>
        </w:tc>
        <w:tc>
          <w:tcPr>
            <w:tcW w:w="2500" w:type="dxa"/>
            <w:vAlign w:val="bottom"/>
            <w:tcBorders>
              <w:bottom w:val="single" w:sz="8" w:color="CCEEFF"/>
            </w:tcBorders>
            <w:gridSpan w:val="4"/>
            <w:shd w:val="clear" w:color="auto" w:fill="CCEEFF"/>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80"/>
              <w:spacing w:after="0"/>
              <w:rPr>
                <w:sz w:val="20"/>
                <w:szCs w:val="20"/>
                <w:color w:val="auto"/>
              </w:rPr>
            </w:pPr>
            <w:r>
              <w:rPr>
                <w:rFonts w:ascii="Arial" w:cs="Arial" w:eastAsia="Arial" w:hAnsi="Arial"/>
                <w:sz w:val="18"/>
                <w:szCs w:val="18"/>
                <w:color w:val="auto"/>
              </w:rPr>
              <w:t>Short-term investments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3,690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9"/>
              </w:rPr>
              <w:t>Accounts receivable, net of allowances for customer adjustments and doubtful accounts of $41 in 2004 and $47 in 2003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80"/>
              <w:spacing w:after="0"/>
              <w:rPr>
                <w:sz w:val="20"/>
                <w:szCs w:val="20"/>
                <w:color w:val="auto"/>
              </w:rPr>
            </w:pPr>
            <w:r>
              <w:rPr>
                <w:rFonts w:ascii="Arial" w:cs="Arial" w:eastAsia="Arial" w:hAnsi="Arial"/>
                <w:sz w:val="18"/>
                <w:szCs w:val="18"/>
                <w:color w:val="auto"/>
              </w:rPr>
              <w:t>Inventories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40" w:type="dxa"/>
            <w:vAlign w:val="bottom"/>
            <w:gridSpan w:val="6"/>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10,190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Property, plant and equipment at cost</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ind w:left="180"/>
              <w:spacing w:after="0"/>
              <w:rPr>
                <w:sz w:val="20"/>
                <w:szCs w:val="20"/>
                <w:color w:val="auto"/>
              </w:rPr>
            </w:pPr>
            <w:r>
              <w:rPr>
                <w:rFonts w:ascii="Arial" w:cs="Arial" w:eastAsia="Arial" w:hAnsi="Arial"/>
                <w:sz w:val="18"/>
                <w:szCs w:val="18"/>
                <w:color w:val="auto"/>
              </w:rPr>
              <w:t>Less accumulated depreciation</w:t>
            </w:r>
          </w:p>
        </w:tc>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(5,655)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(5,417)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2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rPr>
              <w:t>Equity and debt investments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rPr>
              <w:t>Acquisition-related intangibles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rPr>
              <w:t>Capitalized software licenses, net</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assets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16,299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Liabilities and Stockholders’ Equity</w:t>
            </w:r>
          </w:p>
        </w:tc>
        <w:tc>
          <w:tcPr>
            <w:tcW w:w="260" w:type="dxa"/>
            <w:vAlign w:val="bottom"/>
            <w:tcBorders>
              <w:bottom w:val="single" w:sz="8" w:color="CCEEFF"/>
            </w:tcBorders>
            <w:gridSpan w:val="3"/>
            <w:shd w:val="clear" w:color="auto" w:fill="CCEEFF"/>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rPr>
              <w:t>Current liabilities: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40" w:type="dxa"/>
            <w:vAlign w:val="bottom"/>
            <w:gridSpan w:val="6"/>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40" w:type="dxa"/>
            <w:vAlign w:val="bottom"/>
            <w:gridSpan w:val="6"/>
          </w:tcPr>
          <w:p>
            <w:pPr>
              <w:ind w:left="18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rPr>
              <w:t>Accrued retirement costs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rPr>
              <w:t>Deferred credits and other liabilities</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40" w:type="dxa"/>
            <w:vAlign w:val="bottom"/>
            <w:gridSpan w:val="6"/>
          </w:tcPr>
          <w:p>
            <w:pPr>
              <w:ind w:left="18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2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40" w:type="dxa"/>
            <w:vAlign w:val="bottom"/>
            <w:gridSpan w:val="6"/>
          </w:tcPr>
          <w:p>
            <w:pPr>
              <w:ind w:left="18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2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Shares issued: 2004—1,738,156,615; 2003—1,737,739,654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80"/>
              <w:spacing w:after="0"/>
              <w:rPr>
                <w:sz w:val="20"/>
                <w:szCs w:val="20"/>
                <w:color w:val="auto"/>
              </w:rPr>
            </w:pPr>
            <w:r>
              <w:rPr>
                <w:rFonts w:ascii="Arial" w:cs="Arial" w:eastAsia="Arial" w:hAnsi="Arial"/>
                <w:sz w:val="18"/>
                <w:szCs w:val="18"/>
                <w:color w:val="auto"/>
              </w:rPr>
              <w:t>Paid-in capital</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11,242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80"/>
              <w:spacing w:after="0"/>
              <w:rPr>
                <w:sz w:val="20"/>
                <w:szCs w:val="20"/>
                <w:color w:val="auto"/>
              </w:rPr>
            </w:pPr>
            <w:r>
              <w:rPr>
                <w:rFonts w:ascii="Arial" w:cs="Arial" w:eastAsia="Arial" w:hAnsi="Arial"/>
                <w:sz w:val="18"/>
                <w:szCs w:val="18"/>
                <w:color w:val="auto"/>
                <w:w w:val="87"/>
              </w:rPr>
              <w:t>Less treasury common stock at cost</w:t>
            </w: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2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Shares: 2004—20,041,497; 2003—5,401,665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40" w:type="dxa"/>
            <w:vAlign w:val="bottom"/>
            <w:gridSpan w:val="6"/>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Minimum pension liability</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20" w:type="dxa"/>
            <w:vAlign w:val="bottom"/>
            <w:gridSpan w:val="5"/>
          </w:tcPr>
          <w:p>
            <w:pPr>
              <w:ind w:left="400"/>
              <w:spacing w:after="0"/>
              <w:rPr>
                <w:sz w:val="20"/>
                <w:szCs w:val="20"/>
                <w:color w:val="auto"/>
              </w:rPr>
            </w:pPr>
            <w:r>
              <w:rPr>
                <w:rFonts w:ascii="Arial" w:cs="Arial" w:eastAsia="Arial" w:hAnsi="Arial"/>
                <w:sz w:val="18"/>
                <w:szCs w:val="18"/>
                <w:color w:val="auto"/>
              </w:rPr>
              <w:t>Unrealized holding gains (losses) on investments</w:t>
            </w: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Unearned compensation</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13,063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Total liabilities and stockholders’ equity</w:t>
            </w: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16,299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9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6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980" w:type="dxa"/>
            <w:vAlign w:val="bottom"/>
            <w:gridSpan w:val="7"/>
            <w:vMerge w:val="continue"/>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8</w:t>
            </w:r>
          </w:p>
        </w:tc>
        <w:tc>
          <w:tcPr>
            <w:tcW w:w="220" w:type="dxa"/>
            <w:vAlign w:val="bottom"/>
            <w:vMerge w:val="restart"/>
          </w:tcPr>
          <w:p>
            <w:pPr>
              <w:spacing w:after="0"/>
              <w:rPr>
                <w:sz w:val="13"/>
                <w:szCs w:val="13"/>
                <w:color w:val="auto"/>
              </w:rPr>
            </w:pPr>
          </w:p>
        </w:tc>
        <w:tc>
          <w:tcPr>
            <w:tcW w:w="23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160" w:type="dxa"/>
            <w:vAlign w:val="bottom"/>
            <w:vMerge w:val="restart"/>
          </w:tcPr>
          <w:p>
            <w:pPr>
              <w:spacing w:after="0"/>
              <w:rPr>
                <w:sz w:val="13"/>
                <w:szCs w:val="13"/>
                <w:color w:val="auto"/>
              </w:rPr>
            </w:pPr>
          </w:p>
        </w:tc>
        <w:tc>
          <w:tcPr>
            <w:tcW w:w="6920" w:type="dxa"/>
            <w:vAlign w:val="bottom"/>
            <w:vMerge w:val="restart"/>
          </w:tcPr>
          <w:p>
            <w:pPr>
              <w:ind w:left="20"/>
              <w:spacing w:after="0"/>
              <w:rPr>
                <w:sz w:val="20"/>
                <w:szCs w:val="20"/>
                <w:color w:val="auto"/>
              </w:rPr>
            </w:pPr>
            <w:r>
              <w:rPr>
                <w:rFonts w:ascii="Arial" w:cs="Arial" w:eastAsia="Arial" w:hAnsi="Arial"/>
                <w:sz w:val="18"/>
                <w:szCs w:val="18"/>
                <w:color w:val="auto"/>
              </w:rPr>
              <w:t>2004 ANNUAL REPORT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vMerge w:val="continue"/>
          </w:tcPr>
          <w:p>
            <w:pPr>
              <w:spacing w:after="0"/>
              <w:rPr>
                <w:sz w:val="18"/>
                <w:szCs w:val="18"/>
                <w:color w:val="auto"/>
              </w:rPr>
            </w:pPr>
          </w:p>
        </w:tc>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-4872355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-4872355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-4872355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-4872355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-4872355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-4872355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-558800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-558800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-558800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-558800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-558800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-558800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(Millions of dollars)</w:t>
      </w:r>
    </w:p>
    <w:p>
      <w:pPr>
        <w:spacing w:after="0" w:line="147"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60325</wp:posOffset>
            </wp:positionV>
            <wp:extent cx="15519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Net income (loss)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$ 1,861</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$ 1,198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860"/>
              <w:spacing w:after="0"/>
              <w:rPr>
                <w:sz w:val="20"/>
                <w:szCs w:val="20"/>
                <w:color w:val="auto"/>
              </w:rPr>
            </w:pPr>
            <w:r>
              <w:rPr>
                <w:rFonts w:ascii="Arial" w:cs="Arial" w:eastAsia="Arial" w:hAnsi="Arial"/>
                <w:sz w:val="18"/>
                <w:szCs w:val="18"/>
                <w:color w:val="auto"/>
              </w:rPr>
              <w:t>Depreciation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1,479</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Amortization of acquisition-related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860"/>
              <w:spacing w:after="0"/>
              <w:rPr>
                <w:sz w:val="20"/>
                <w:szCs w:val="20"/>
                <w:color w:val="auto"/>
              </w:rPr>
            </w:pPr>
            <w:r>
              <w:rPr>
                <w:rFonts w:ascii="Arial" w:cs="Arial" w:eastAsia="Arial" w:hAnsi="Arial"/>
                <w:sz w:val="18"/>
                <w:szCs w:val="18"/>
                <w:color w:val="auto"/>
              </w:rPr>
              <w:t>Purchased in-process research and development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Write-downs of equity investments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860"/>
              <w:spacing w:after="0"/>
              <w:rPr>
                <w:sz w:val="20"/>
                <w:szCs w:val="20"/>
                <w:color w:val="auto"/>
              </w:rPr>
            </w:pPr>
            <w:r>
              <w:rPr>
                <w:rFonts w:ascii="Arial" w:cs="Arial" w:eastAsia="Arial" w:hAnsi="Arial"/>
                <w:sz w:val="18"/>
                <w:szCs w:val="18"/>
                <w:color w:val="auto"/>
              </w:rPr>
              <w:t>Gains on sale of equity and debt investments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(213)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(Increase) decrease in:</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(238)</w:t>
            </w: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(197)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860"/>
              <w:spacing w:after="0"/>
              <w:rPr>
                <w:sz w:val="20"/>
                <w:szCs w:val="20"/>
                <w:color w:val="auto"/>
              </w:rPr>
            </w:pPr>
            <w:r>
              <w:rPr>
                <w:rFonts w:ascii="Arial" w:cs="Arial" w:eastAsia="Arial" w:hAnsi="Arial"/>
                <w:sz w:val="18"/>
                <w:szCs w:val="18"/>
                <w:color w:val="auto"/>
              </w:rPr>
              <w:t>Inventories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(272)</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(194)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86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(71)</w:t>
            </w:r>
          </w:p>
        </w:tc>
        <w:tc>
          <w:tcPr>
            <w:tcW w:w="540" w:type="dxa"/>
            <w:vAlign w:val="bottom"/>
          </w:tcPr>
          <w:p>
            <w:pPr>
              <w:jc w:val="center"/>
              <w:ind w:left="193"/>
              <w:spacing w:after="0"/>
              <w:rPr>
                <w:sz w:val="20"/>
                <w:szCs w:val="20"/>
                <w:color w:val="auto"/>
              </w:rPr>
            </w:pPr>
            <w:r>
              <w:rPr>
                <w:rFonts w:ascii="Arial" w:cs="Arial" w:eastAsia="Arial" w:hAnsi="Arial"/>
                <w:sz w:val="18"/>
                <w:szCs w:val="18"/>
                <w:color w:val="auto"/>
                <w:w w:val="86"/>
              </w:rPr>
              <w:t>264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79"/>
              </w:rPr>
              <w:t>118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860"/>
              <w:spacing w:after="0"/>
              <w:rPr>
                <w:sz w:val="20"/>
                <w:szCs w:val="20"/>
                <w:color w:val="auto"/>
              </w:rPr>
            </w:pPr>
            <w:r>
              <w:rPr>
                <w:rFonts w:ascii="Arial" w:cs="Arial" w:eastAsia="Arial" w:hAnsi="Arial"/>
                <w:sz w:val="18"/>
                <w:szCs w:val="18"/>
                <w:color w:val="auto"/>
              </w:rPr>
              <w:t>Accrued profit sharing and retirement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Decrease in noncurrent accrued retirement costs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(248)</w:t>
            </w: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(132)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400" w:type="dxa"/>
            <w:vAlign w:val="bottom"/>
          </w:tcPr>
          <w:p>
            <w:pPr>
              <w:spacing w:after="0"/>
              <w:rPr>
                <w:sz w:val="19"/>
                <w:szCs w:val="19"/>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(189)</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3,146</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gridSpan w:val="4"/>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(1,298)</w:t>
            </w: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(800)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Purchases of cash investments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(3,674)</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Purchases of equity investments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Sales of equity and debt investments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6"/>
              </w:rPr>
              <w:t>778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(128)</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(1,161)</w:t>
            </w: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(842)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(1,109)</w:t>
            </w:r>
          </w:p>
        </w:tc>
        <w:tc>
          <w:tcPr>
            <w:tcW w:w="0" w:type="dxa"/>
            <w:vAlign w:val="bottom"/>
          </w:tcPr>
          <w:p>
            <w:pPr>
              <w:spacing w:after="0"/>
              <w:rPr>
                <w:sz w:val="1"/>
                <w:szCs w:val="1"/>
                <w:color w:val="auto"/>
              </w:rPr>
            </w:pPr>
          </w:p>
        </w:tc>
      </w:tr>
      <w:tr>
        <w:trPr>
          <w:trHeight w:val="323"/>
        </w:trPr>
        <w:tc>
          <w:tcPr>
            <w:tcW w:w="890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Additions to loans payable</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Payments on loans payable</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Payments on long-term debt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(429)</w:t>
            </w: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(418)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Dividends paid on common stock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(154)</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(147)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6"/>
              </w:rPr>
              <w:t>157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ind w:left="420"/>
              <w:spacing w:after="0"/>
              <w:rPr>
                <w:sz w:val="20"/>
                <w:szCs w:val="20"/>
                <w:color w:val="auto"/>
              </w:rPr>
            </w:pPr>
            <w:r>
              <w:rPr>
                <w:rFonts w:ascii="Arial" w:cs="Arial" w:eastAsia="Arial" w:hAnsi="Arial"/>
                <w:sz w:val="18"/>
                <w:szCs w:val="18"/>
                <w:color w:val="auto"/>
              </w:rPr>
              <w:t>Common stock repurchases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(753)</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(284)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6"/>
              </w:rPr>
              <w:t>261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(1,150)</w:t>
            </w:r>
          </w:p>
        </w:tc>
        <w:tc>
          <w:tcPr>
            <w:tcW w:w="9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(439)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322"/>
        </w:trPr>
        <w:tc>
          <w:tcPr>
            <w:tcW w:w="8900" w:type="dxa"/>
            <w:vAlign w:val="bottom"/>
            <w:gridSpan w:val="4"/>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24"/>
                <w:szCs w:val="2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6"/>
              </w:rPr>
              <w:t>869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year</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1,818</w:t>
            </w:r>
          </w:p>
        </w:tc>
        <w:tc>
          <w:tcPr>
            <w:tcW w:w="400" w:type="dxa"/>
            <w:vAlign w:val="bottom"/>
          </w:tcPr>
          <w:p>
            <w:pPr>
              <w:spacing w:after="0"/>
              <w:rPr>
                <w:sz w:val="24"/>
                <w:szCs w:val="24"/>
                <w:color w:val="auto"/>
              </w:rPr>
            </w:pPr>
          </w:p>
        </w:tc>
        <w:tc>
          <w:tcPr>
            <w:tcW w:w="540" w:type="dxa"/>
            <w:vAlign w:val="bottom"/>
          </w:tcPr>
          <w:p>
            <w:pPr>
              <w:jc w:val="center"/>
              <w:ind w:left="193"/>
              <w:spacing w:after="0"/>
              <w:rPr>
                <w:sz w:val="20"/>
                <w:szCs w:val="20"/>
                <w:color w:val="auto"/>
              </w:rPr>
            </w:pPr>
            <w:r>
              <w:rPr>
                <w:rFonts w:ascii="Arial" w:cs="Arial" w:eastAsia="Arial" w:hAnsi="Arial"/>
                <w:sz w:val="18"/>
                <w:szCs w:val="18"/>
                <w:color w:val="auto"/>
                <w:w w:val="86"/>
              </w:rPr>
              <w:t>949</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$ 2,668</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See accompanying notes.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80" w:type="dxa"/>
            <w:vAlign w:val="bottom"/>
            <w:vMerge w:val="restart"/>
          </w:tcPr>
          <w:p>
            <w:pPr>
              <w:ind w:left="660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90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w w:val="91"/>
              </w:rPr>
              <w:t>2004 ANNUAL REPORT</w:t>
            </w:r>
          </w:p>
        </w:tc>
        <w:tc>
          <w:tcPr>
            <w:tcW w:w="1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vMerge w:val="continue"/>
          </w:tcPr>
          <w:p>
            <w:pPr>
              <w:spacing w:after="0"/>
              <w:rPr>
                <w:sz w:val="18"/>
                <w:szCs w:val="18"/>
                <w:color w:val="auto"/>
              </w:rPr>
            </w:pPr>
          </w:p>
        </w:tc>
        <w:tc>
          <w:tcPr>
            <w:tcW w:w="19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-558800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-558800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-558800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-558800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-558800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-558800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-558800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-558800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-558800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Stockholders’ Equity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(Millions of dollars, except per-share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Common</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Retained</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3"/>
              </w:rPr>
              <w:t>Stock</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8"/>
              </w:rPr>
              <w:t>Stock</w:t>
            </w:r>
          </w:p>
        </w:tc>
        <w:tc>
          <w:tcPr>
            <w:tcW w:w="20" w:type="dxa"/>
            <w:vAlign w:val="bottom"/>
          </w:tcPr>
          <w:p>
            <w:pPr>
              <w:spacing w:after="0"/>
              <w:rPr>
                <w:sz w:val="15"/>
                <w:szCs w:val="15"/>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Income (Loss)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$ 1,740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Dividends declared on common stock ($.085 per share)</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on exercise of stock options</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Stock repurchases</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stock transactions, net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Change in comprehensive income, net of tax</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Unearned compensation amortization</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Dividends declared on common stock ($.085 per share)</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on exercise of stock options</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Stock repurchases</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stock transactions, net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Change in comprehensive income, net of tax</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Unearned compensation amortization</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b w:val="1"/>
                <w:bCs w:val="1"/>
                <w:color w:val="auto"/>
              </w:rPr>
              <w:t>Dividends declared on common stock ($.089 per share)</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Common stock issued on exercise of stock options</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b w:val="1"/>
                <w:bCs w:val="1"/>
                <w:color w:val="auto"/>
              </w:rPr>
              <w:t>Stock repurchases</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Other stock transactions, net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b w:val="1"/>
                <w:bCs w:val="1"/>
                <w:color w:val="auto"/>
              </w:rPr>
              <w:t>Change in comprehensive income, net of tax</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Unearned compensation amortization</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$ 1,738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11,242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(480)</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right="1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stock transactions, net includes, among other things, the income tax benefit realized from the exercise of nonqualified stock options. The income tax benefit was $58 million, $64 million and $49 million for 2004, 2003 and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10</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42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16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Texas Instruments (TI or the Company) makes, markets and sells high-technology components; more than 30,000 customers all over the world buy TI products. TI has three separate business segments: 1) Semiconductor; 2) Sensors &amp; Controls; and 3) Educational &amp; Productivity Solutions. Semiconductor is by far the largest of these business segments. It accounted for over 85 percent of revenue in 2004, and over time it averages a higher growth rate than the other two business segments, although the semiconductor market is characterized by wide swings in growth rates from year to year. TI was the world’s third-largest semiconductor company in 2004 in terms of revenue, according to Gartner, Inc., an industry analyst.</w:t>
      </w:r>
    </w:p>
    <w:p>
      <w:pPr>
        <w:spacing w:after="0" w:line="10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u w:val="single" w:color="auto"/>
          <w:color w:val="auto"/>
        </w:rPr>
        <w:t>Basis of Presentation</w:t>
      </w:r>
      <w:r>
        <w:rPr>
          <w:rFonts w:ascii="Arial" w:cs="Arial" w:eastAsia="Arial" w:hAnsi="Arial"/>
          <w:sz w:val="16"/>
          <w:szCs w:val="16"/>
          <w:color w:val="auto"/>
        </w:rPr>
        <w:t>: The consolidated financial statements have been prepared in accordance with accounting principles generally accepted in the U.S. and on the same basis as the audited financial statements included in the 2003 Annual Report. 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statements have been reclassified to conform to the 2004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1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Foreign Currency</w:t>
      </w:r>
      <w:r>
        <w:rPr>
          <w:rFonts w:ascii="Arial" w:cs="Arial" w:eastAsia="Arial" w:hAnsi="Arial"/>
          <w:sz w:val="16"/>
          <w:szCs w:val="16"/>
          <w:color w:val="auto"/>
        </w:rPr>
        <w:t>: For financial reporting purposes, the functional currency for foreign subsidiaries is the U.S. dollar. Accounts recorded in currencies other than U.S. dollars are remeasured into the functional currency.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are charged or credited on a current basis to other income (expense) net.</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Company uses derivative financial instruments to minimize exposure to foreign currency and interest rate risk. The Company enters into certain foreign currency derivative instruments that do not meet hedge accounting criteria. These instruments are primarily forward currency exchange contracts that are intended as economic hedges to minimize the adverse earnings impact from the effect of exchange rate fluctuations on the Company’s non-U.S. dollar net balance sheet exposures. Gains and losses from forward currency exchange contracts to hedge net balance sheet exposures from remeasurement are credited or charged on a current basis to other income (expense) net.</w:t>
      </w:r>
    </w:p>
    <w:p>
      <w:pPr>
        <w:spacing w:after="0" w:line="12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Gains and losses from other forward currency exchange contracts intended to hedge specific transactions and from terminated forward currency exchange contracts are deferred and included in the measurement of the related transactions.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respect to long-term debt and its associated interest expense, TI seeks to maintain a mix of both fixed and floating interest rates that, over time, is expected to moderate financing costs. In order to achieve this goal, TI utilizes interest rate swaps designated as fair value hedges to change the characteristics of the interest rate stream on the debt from fixed rates to short-term variable rates. Gains and losses from interest rate swaps are included on the accrual basis in interest expense. There is no hedge ineffectiveness related to these swaps.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from terminated interest rate swaps are deferred and recognized consistent with the terms of the underlying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derivatives for speculative or trading purposes.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Revenue from sales of the Company’s products, including shipping fees, if any, is recognized when title to the products is transferred to the customer, which usually occurs upon shipment or</w:t>
      </w:r>
    </w:p>
    <w:p>
      <w:pPr>
        <w:spacing w:after="0" w:line="127"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00"/>
          </w:cols>
          <w:pgMar w:left="240" w:top="274" w:right="259" w:bottom="1440" w:gutter="0" w:footer="0" w:header="0"/>
        </w:sectPr>
      </w:pPr>
    </w:p>
    <w:bookmarkStart w:id="42" w:name="page43"/>
    <w:bookmarkEnd w:id="4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depending upon the terms of the sales order. Estimates of returns for product quality reasons and of price allowances (calculated based upon historical experience, analysis of product shipments and contractual arrangements with customers), are recorded when revenue is recognized. Allowances include discounts for prompt payment, as well as volume-based incentives and special pricing arrangements. In addition, allowances for doubtful accounts are recorded for estimated amounts of accounts receivable that may not be collected.</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from sales to distributors of the Company’s products is recognized, net of allowances, upon delivery of product to the distributors. According to the terms of individual distributor agreements, a distributor may return products that are included on an approved product listing maintained by the Company. The distributor can return the product up to a maximum amount specified in the agreement with the placement of offsetting orders for an equivalent amount of product at the same time. The offsetting orders must be non-cancelable, requested for immediate delivery and not subject to change. When the Company determines that a product may become obsolete, it offers distributors an opportunity to return that product within a set time period of the obsolescence notification. In addition, in response to specific competitive situations encountered by distributors, the Company may grant distributors adjustments applied to their account; however, pricing to the distributor is not changed. Allowances are calculated based on historical return data, current economic conditions and the underlying contractual terms.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the Company, and when realization is considered probable by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Advertising and other promotional costs are expensed as incurred. This expense was $92 million in 2004, $79 million in 2003 and $76 million in 2002.</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Impairments of Long-Lived Assets</w:t>
      </w:r>
      <w:r>
        <w:rPr>
          <w:rFonts w:ascii="Arial" w:cs="Arial" w:eastAsia="Arial" w:hAnsi="Arial"/>
          <w:sz w:val="18"/>
          <w:szCs w:val="18"/>
          <w:color w:val="auto"/>
        </w:rPr>
        <w:t>: Reviews are regularly performed to determine whether facts or circumstances exist that indicate the carrying values of the Company’s fixed assets, intangible assets or capitalized software licenses to be held and used are impaired. The Company assesses the recoverability of its assets by comparing the projected undiscounted net cash flows associated with those assets to their respective carrying amounts. Impairment, if any, is based on the excess of the carrying amount over the fair value of those assets. Fair value is determined by available market valuations, if applicable, or by discounted cash flows.</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The Company accounts for income taxes using an asset and liability approach. The Company records the amount of taxes payable or refundable for the current year and the deferred tax assets and liabilities for the future tax consequences of events that have been recognized in the Company’s financial statements or tax returns. When it is more likely than not that some portion or all of the deferred tax assets will not be realized, a valuation allowance is recorded. See Note 18 for details on the impact of tax laws enacted during 2004.</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and reconciliation of earnings (loss) per common share (EPS) amounts for net income (loss), on a basic and diluted basis, are as follows (shares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EPS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22"/>
                <w:szCs w:val="22"/>
                <w:color w:val="auto"/>
              </w:rPr>
            </w:pP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EPS</w:t>
            </w:r>
          </w:p>
        </w:tc>
        <w:tc>
          <w:tcPr>
            <w:tcW w:w="100" w:type="dxa"/>
            <w:vAlign w:val="bottom"/>
          </w:tcPr>
          <w:p>
            <w:pPr>
              <w:spacing w:after="0"/>
              <w:rPr>
                <w:sz w:val="22"/>
                <w:szCs w:val="22"/>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Loss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22"/>
                <w:szCs w:val="2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EPS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1,730</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$1.08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1"/>
              </w:rPr>
              <w:t>$.69</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Dilutives: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options/compensation plans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1,768</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$1.05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4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1"/>
              </w:rPr>
              <w:t>$.68</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61112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11120" cy="29845"/>
                    </a:xfrm>
                    <a:prstGeom prst="rect">
                      <a:avLst/>
                    </a:prstGeom>
                    <a:noFill/>
                  </pic:spPr>
                </pic:pic>
              </a:graphicData>
            </a:graphic>
          </wp:anchor>
        </w:drawing>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EPS computations for 2004, 2003, and 2002 exclude 113 million shares, 116 million shares and 114 million shares, respectively, for stock options because their effect would have been antidilutive.</w:t>
      </w:r>
    </w:p>
    <w:p>
      <w:pPr>
        <w:spacing w:after="0" w:line="11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u w:val="single" w:color="auto"/>
          <w:color w:val="auto"/>
        </w:rPr>
        <w:t>Effects of Stock-Based Compensation</w:t>
      </w:r>
      <w:r>
        <w:rPr>
          <w:rFonts w:ascii="Arial" w:cs="Arial" w:eastAsia="Arial" w:hAnsi="Arial"/>
          <w:sz w:val="18"/>
          <w:szCs w:val="18"/>
          <w:color w:val="auto"/>
        </w:rPr>
        <w:t xml:space="preserve">: The Company has stock-based employee compensation plans, which are described more fully in Note 13. With the issuance in mid-December 2004 by the Financial Accounting Standards Board (FASB) of Statement of Financial Accounting Standards (SFAS) No. 123(R),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which</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12</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43" w:name="page44"/>
    <w:bookmarkEnd w:id="4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is a revision to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which was issued in 1995, the Company will begin reporting the fair value of stock-based compensation as an expense in its financial statements beginning in 2005 (see discussion in Changes in Accounting Standards below). Prior to implementation of this new standard, the Company accounted for those plans under the recognition and measurement principles of APB Opinion No. 25, </w:t>
      </w:r>
      <w:r>
        <w:rPr>
          <w:rFonts w:ascii="Arial" w:cs="Arial" w:eastAsia="Arial" w:hAnsi="Arial"/>
          <w:sz w:val="16"/>
          <w:szCs w:val="16"/>
          <w:i w:val="1"/>
          <w:iCs w:val="1"/>
          <w:color w:val="auto"/>
        </w:rPr>
        <w:t xml:space="preserve">“Accounting for Stock Issued to Employees,” </w:t>
      </w:r>
      <w:r>
        <w:rPr>
          <w:rFonts w:ascii="Arial" w:cs="Arial" w:eastAsia="Arial" w:hAnsi="Arial"/>
          <w:sz w:val="16"/>
          <w:szCs w:val="16"/>
          <w:color w:val="auto"/>
        </w:rPr>
        <w:t>and related Interpretations. No compensation cost was reflected in net income (loss) for stock options, as all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under those plans have an exercise price equal to the market value of the underlying common stock on the date of the grant (except options granted under the Company’s stock purchase plans and acquisition-related stock option awards). Compensation cost has been recognized for restricted stock units. As required by SFAS No. 148, </w:t>
      </w:r>
      <w:r>
        <w:rPr>
          <w:rFonts w:ascii="Arial" w:cs="Arial" w:eastAsia="Arial" w:hAnsi="Arial"/>
          <w:sz w:val="16"/>
          <w:szCs w:val="16"/>
          <w:i w:val="1"/>
          <w:iCs w:val="1"/>
          <w:color w:val="auto"/>
        </w:rPr>
        <w:t>“Accounting for Stock-Based Compensation—Transition and Disclosure, an amendment of FASB Statement No. 123,”</w:t>
      </w:r>
      <w:r>
        <w:rPr>
          <w:rFonts w:ascii="Arial" w:cs="Arial" w:eastAsia="Arial" w:hAnsi="Arial"/>
          <w:sz w:val="16"/>
          <w:szCs w:val="16"/>
          <w:color w:val="auto"/>
        </w:rPr>
        <w:t xml:space="preserve"> the following table illustrates the effect on net income (loss) and earnings (loss) per common share as if the Company had applied the fair value recognition provisions of SFAS No. 123 to stock-based employee compensation for each period presented.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For Years Ended December 31,</w:t>
            </w: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Add: Stock-based compensation expense included in reported net income, net of tax</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Deduct: Total stock-based compensation expense determined under fair value based method for all awards, net of</w:t>
            </w:r>
          </w:p>
        </w:tc>
        <w:tc>
          <w:tcPr>
            <w:tcW w:w="1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(372)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Basic—as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Basic—as adjusted for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Diluted—as adjusted for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-1365250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-1365250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-1365250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-1365250</wp:posOffset>
            </wp:positionV>
            <wp:extent cx="39878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-1365250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-1365250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-1365250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-927735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-927735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-927735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-927735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-927735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-927735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-927735</wp:posOffset>
            </wp:positionV>
            <wp:extent cx="39878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-627380</wp:posOffset>
            </wp:positionV>
            <wp:extent cx="4070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-627380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-627380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-627380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-627380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-627380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-627380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-327025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-327025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-327025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-327025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-327025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-327025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-327025</wp:posOffset>
            </wp:positionV>
            <wp:extent cx="39878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-27305</wp:posOffset>
            </wp:positionV>
            <wp:extent cx="4070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-27305</wp:posOffset>
            </wp:positionV>
            <wp:extent cx="39878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-27305</wp:posOffset>
            </wp:positionV>
            <wp:extent cx="39878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disclosure above of hypothetical fair values for these awards was estimated using the Black-Scholes option-pricing model with the weighted-average assumptions listed below. Because options vest over several years and additional option grants are expected, the effects of these hypothetical calculations are not likely to be representative of similar future calculations.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Plans (a)</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2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15.23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8.06</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Expected dividend yields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Expected volatility</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Risk free interest rates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3.16%</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Expected lives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 yrs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 yrs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yrs</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Employee Plans (b)</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Expected dividend yields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Expected volatility</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Risk free interest rates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Expected lives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4"/>
              </w:rPr>
              <w:t>.58 yrs</w:t>
            </w: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.58 yrs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.58 yrs</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stock options and restricted stock units under the long-term incentive plans and the director plans. (See Note 13 for description of plans.)</w:t>
      </w:r>
    </w:p>
    <w:p>
      <w:pPr>
        <w:spacing w:after="0" w:line="99"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TI Employees 2002 Stock Purchase Plan and its predecessor plan, the TI Employees 1997 Stock Purchase Plan. (See Note 13 for description of plans.)</w:t>
      </w:r>
    </w:p>
    <w:p>
      <w:pPr>
        <w:spacing w:after="0" w:line="112"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u w:val="single" w:color="auto"/>
          <w:color w:val="auto"/>
        </w:rPr>
        <w:t>Inventories: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Inventories are stated at the lower of cost or estimated net realizable value. Cost is generally computed on a currently adjusted standard cost basis.</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costs are based on the optimal utilization of installed factory capacity, and costs associated with underutilization of capacity are expensed as incurred. The</w:t>
      </w:r>
    </w:p>
    <w:p>
      <w:pPr>
        <w:spacing w:after="0" w:line="133"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80" w:right="239" w:bottom="1440" w:gutter="0" w:footer="0" w:header="0"/>
        </w:sectPr>
      </w:pPr>
    </w:p>
    <w:bookmarkStart w:id="44" w:name="page45"/>
    <w:bookmarkEnd w:id="44"/>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conducts quarterly inventory reviews for salability and obsolescence. A specific allowance is provided for inventory considered unlikely to be sold. Remaining inventory has a salability and obsolescence allowance based upon the historical disposal percentage. Inventory is written off in the period in which disposal occurs.</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u w:val="single" w:color="auto"/>
          <w:color w:val="auto"/>
        </w:rPr>
        <w:t>Property, Plant and Equipment and Other Capitalized Costs: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stated at cost and depreciated primarily on the 150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declining-balance method over their estimated useful lives. Fully depreciated assets are written off against accumulated depreciation. Acquisition-related costs are amortized on a straight-line basis over the estimated economic life of the assets. Capitalized software licenses generally are amortized on a straight-line basis over the term of the license.</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u w:val="single" w:color="auto"/>
          <w:color w:val="auto"/>
        </w:rPr>
        <w:t>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marketable equity securities and convertible debt securities are considered to be available-for-sale and are stated at fair value, which</w:t>
      </w:r>
      <w:r>
        <w:rPr>
          <w:rFonts w:ascii="Arial" w:cs="Arial" w:eastAsia="Arial" w:hAnsi="Arial"/>
          <w:sz w:val="16"/>
          <w:szCs w:val="16"/>
          <w:b w:val="1"/>
          <w:bCs w:val="1"/>
          <w:color w:val="auto"/>
        </w:rPr>
        <w:t xml:space="preserve"> </w:t>
      </w:r>
      <w:r>
        <w:rPr>
          <w:rFonts w:ascii="Arial" w:cs="Arial" w:eastAsia="Arial" w:hAnsi="Arial"/>
          <w:sz w:val="16"/>
          <w:szCs w:val="16"/>
          <w:color w:val="auto"/>
        </w:rPr>
        <w:t>is based on market quotes where available or estimates by investment advisors or management, as appropriate. Adjustments to fair value of these investments are recorded as an increase or decrease in the accumulated other comprehensive income section of stockholders’ equity except where losses are considered to be other-than-temporary, in which case the losses are recorded as expenses in other income (expense) net. Adjustments to fair value of other investments classified as trading are recorded in operating expense. Investments in non-marketable equity securities are stated at historical cost and are subject to a periodic impairment review. Any impairments considered other-than-temporary are recorded as expenses in other income (expense) net. Cost or amortized cost, as appropriate, is determined on a specific identification basis.</w:t>
      </w:r>
    </w:p>
    <w:p>
      <w:pPr>
        <w:spacing w:after="0" w:line="10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u w:val="single" w:color="auto"/>
          <w:color w:val="auto"/>
        </w:rPr>
        <w:t>Goodwill and Intangible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is no longer amortized but is reviewed for impairment annually, or more frequently if certain indicators arise.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completes its annual goodwill impairment tests as of October 1 of each year for all its business segments, which have been designated as its reporting units based on an analysis of economic characteristics and how the Company operates its business. This annual test is performed by comparing the fair value for each reporting unit to its associated book value including goodwill. For each of the periods presented, the fair value exceeded the carrying value including goodwill, therefore no impairment was indicated.</w:t>
      </w:r>
    </w:p>
    <w:p>
      <w:pPr>
        <w:spacing w:after="0" w:line="13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Intangible assets are amortized on a straight-line basis over their estimated lives. Fully amortized intangible assets are written off against accumulated amortization.</w:t>
      </w:r>
    </w:p>
    <w:p>
      <w:pPr>
        <w:spacing w:after="0" w:line="11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u w:val="single" w:color="auto"/>
          <w:color w:val="auto"/>
        </w:rPr>
        <w:t>Changes in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2004, the FASB issued SFAS No. 123(R). This new standard requires companies to adopt the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methodology of valuing stock-based compensation and recognizing that valuation in the financial statements from the date of grant. Accordingly, the adoption of SFAS No. 123(R)’s fair value method will have a significant impact on the Company’s result of operations, although it will have no impact on the Company’s overall financial position. The impact of adoption of SFAS No. 123(R) cannot be predicted at this time because it will partially depend on levels of share-based payments granted in the future. However, had the Company adopted SFAS No. 123(R) in prior periods, the impact of that standard would have approximated the impact of SFAS No. 123 as shown in the table above (see discussion in Effects of Stock-Based Compensation above). SFAS No. 123(R) also requires the benefits of tax deductions in excess of recognized compensation cost to be reported as a financing cash flow, rather than as an operating cash flow as required under current literature. The Company has elected to adopt the provisions of SFAS No. 123(R) on a modified prospective application method effective July 1, 2005, with no restatement of any prior periods.</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In December 2004, the FASB also issued SFAS No. 151, </w:t>
      </w:r>
      <w:r>
        <w:rPr>
          <w:rFonts w:ascii="Arial" w:cs="Arial" w:eastAsia="Arial" w:hAnsi="Arial"/>
          <w:sz w:val="16"/>
          <w:szCs w:val="16"/>
          <w:i w:val="1"/>
          <w:iCs w:val="1"/>
          <w:color w:val="auto"/>
        </w:rPr>
        <w:t>“Inventory Costs, an amendment of ARB No. 43, Chapter 4,”</w:t>
      </w:r>
      <w:r>
        <w:rPr>
          <w:rFonts w:ascii="Arial" w:cs="Arial" w:eastAsia="Arial" w:hAnsi="Arial"/>
          <w:sz w:val="16"/>
          <w:szCs w:val="16"/>
          <w:color w:val="auto"/>
        </w:rPr>
        <w:t xml:space="preserve"> which will become effective for the Company beginning January 1, 2006. This standard clarifies that abnormal amounts of idle facility expense, freight, handling costs and wasted material should be expensed as incurred and not included in overhead. In addition, this standard requires that the allocation of fixed production overhead costs to inventory be based on the normal capacity of the production facilities. The Company is currently evaluating the potential impact of this standard on its financial position and results of operations, but does not believe the impact of the change will be material.</w:t>
      </w:r>
    </w:p>
    <w:p>
      <w:pPr>
        <w:spacing w:after="0" w:line="10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October 22, 2004, a new tax law was passed, the American Jobs Creation Act of 2004 (the “Jobs Creation Act”), which raised a number of issues with respect to accounting for income taxes. In response, on December 21, 2004, the FASB issued two FASB Staff Positions (FSP), FSP 109-1—</w:t>
      </w:r>
      <w:r>
        <w:rPr>
          <w:rFonts w:ascii="Arial" w:cs="Arial" w:eastAsia="Arial" w:hAnsi="Arial"/>
          <w:sz w:val="16"/>
          <w:szCs w:val="16"/>
          <w:i w:val="1"/>
          <w:iCs w:val="1"/>
          <w:color w:val="auto"/>
        </w:rPr>
        <w:t>“Application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109, Accounting for Income Taxes, to the Tax Deduction on Qualified Production Activities Provided by the American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14</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45" w:name="page46"/>
    <w:bookmarkEnd w:id="45"/>
    <w:p>
      <w:pPr>
        <w:ind w:right="1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Jobs Creation Act of 2004” </w:t>
      </w:r>
      <w:r>
        <w:rPr>
          <w:rFonts w:ascii="Arial" w:cs="Arial" w:eastAsia="Arial" w:hAnsi="Arial"/>
          <w:sz w:val="18"/>
          <w:szCs w:val="18"/>
          <w:color w:val="auto"/>
        </w:rPr>
        <w:t>and FSP 109-2—</w:t>
      </w:r>
      <w:r>
        <w:rPr>
          <w:rFonts w:ascii="Arial" w:cs="Arial" w:eastAsia="Arial" w:hAnsi="Arial"/>
          <w:sz w:val="18"/>
          <w:szCs w:val="18"/>
          <w:i w:val="1"/>
          <w:iCs w:val="1"/>
          <w:color w:val="auto"/>
        </w:rPr>
        <w:t xml:space="preserve">“Accounting and Disclosure Guidance for the Foreign Earnings Repatriation Provision within the American Jobs Creation Act of 2004,” </w:t>
      </w:r>
      <w:r>
        <w:rPr>
          <w:rFonts w:ascii="Arial" w:cs="Arial" w:eastAsia="Arial" w:hAnsi="Arial"/>
          <w:sz w:val="18"/>
          <w:szCs w:val="18"/>
          <w:color w:val="auto"/>
        </w:rPr>
        <w:t>which became effective for the Company upon issuance.</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Jobs Creation Act provides a deduction for income from qualified domestic production activities, to be phased in from 2005 through 2010, which is intended to replace the existing extra-territorial income exclusion for foreign sales. In FSP 109-1, the FASB decided the deduction for qualified domestic production activities should be accounted for as a special deduction under SFAS No. 109, rather than as a rate reduction. Accordingly, any benefit from the deduction will be reported in the period in which the deduction is claimed on the tax return and no adjustment to deferred taxes at December 31, 2004, is required.</w:t>
      </w:r>
    </w:p>
    <w:p>
      <w:pPr>
        <w:spacing w:after="0" w:line="99"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 Jobs Creation Act also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FSP 109-2 addresses when to reflect in the financial statements the effects of the one-time tax benefit on the repatriation of foreign earnings. Under SFAS No. 109, companies are normally required to reflect the effect of new tax law changes in the period of enactment. FSP 109-2 provides companies additional time to determine the amount of earnings, if any, that they intend to repatriate under the Jobs Creation Act’s provisions. (See Note 18 for more discussion of the impact of the Jobs Creation Act, including the Company’s status on the repatriation of foreign earnings.)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made in 2004 were not material.</w:t>
      </w:r>
    </w:p>
    <w:p>
      <w:pPr>
        <w:spacing w:after="0" w:line="16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July 2003, TI acquired 100 percent of the equity of Radia Communications, Inc. (Radia) for a purchase price of approximately $133 million. The acquisition was made to further TI’s development and product offerings in radio frequency (RF) semiconductor, subsystem, signal processing and networking technologies for 802.11 wireless local area networking multi-band/multi-mode radios.</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June 2002, TI acquired Condat AG, Berlin (Condat) for a purchase price of approximately $87 million. The acquisition was made to further TI’s development and product offerings in wireless chipset solutions, including protocol stack software for cellular phones.</w:t>
      </w:r>
    </w:p>
    <w:p>
      <w:pPr>
        <w:spacing w:after="0" w:line="11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acquisitions were accounted for as purchase business combinations and the results of operations of these businesses are included in the consolidated statements of operations from their dates of acquisition. Pro forma information has not been presented as it would not be materially different from amounts reported.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Cash Equivalents, Short-Term Investments and Long-Term Cash Investments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generally invests cash in highly liquid debt securities that are classified as available-for-sale and are reflected in the balance sheet based on their maturity dates. Investments with serial maturities are allocated to their asset classification based on their individual expected average lives. Investments in debt securities with original maturities of three months or less are considered to be cash equivalents. Investments in debt securities with remaining maturities or average lives within 13 months are considered to be short-term investments. As of December 31, 2004, with the recent announcement of authorization by the Board of Directors to repurchase additional shares of TI stock in addition to previously existing authorizations (see Note 10 for discussion of stock repurchase authorizations), the Company considered investments in debt securities with remaining maturities or average lives beyond 13 months as being available for use in current operations as needed and, as a result, began including those investments in short-term cash investments. Such investments were previously considered to be long-term cash investments. All of these investments in debt securities are stated at fair value. Unrealized gains and losses for each of these security types were $1 and $(27) million in 2004, $9 and $(18) million for 2003 and $21 and $(2) million for 2002. Proceeds from sales of these cash equivalent, short-term investment and long-term cash investment debt securities in 2004, 2003 and 2002 were $1949 million, $3026 million, and $2021 million. Gross realized gains and losses from these sales for each of these security types were immaterial in 2004, 2003 and 2002.</w:t>
      </w:r>
    </w:p>
    <w:p>
      <w:pPr>
        <w:spacing w:after="0" w:line="122"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00"/>
          </w:cols>
          <w:pgMar w:left="240" w:top="280" w:right="25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2090" w:type="dxa"/>
            <w:vAlign w:val="bottom"/>
            <w:gridSpan w:val="5"/>
          </w:tcPr>
          <w:p>
            <w:pPr>
              <w:ind w:left="250"/>
              <w:spacing w:after="0"/>
              <w:rPr>
                <w:sz w:val="20"/>
                <w:szCs w:val="20"/>
                <w:color w:val="auto"/>
              </w:rPr>
            </w:pPr>
            <w:r>
              <w:rPr>
                <w:rFonts w:ascii="Arial" w:cs="Arial" w:eastAsia="Arial" w:hAnsi="Arial"/>
                <w:sz w:val="14"/>
                <w:szCs w:val="14"/>
                <w:b w:val="1"/>
                <w:bCs w:val="1"/>
                <w:color w:val="auto"/>
              </w:rPr>
              <w:t>December 31, 2004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6"/>
              </w:rPr>
              <w:t>December 31, 2003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Cash &amp; Cash</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Short-term</w:t>
            </w: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Cash &amp; Cash</w:t>
            </w:r>
          </w:p>
        </w:tc>
        <w:tc>
          <w:tcPr>
            <w:tcW w:w="7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2"/>
              </w:rPr>
              <w:t>Short-term</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74"/>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Cash Investments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Equivalents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Equivalents</w:t>
            </w:r>
          </w:p>
        </w:tc>
        <w:tc>
          <w:tcPr>
            <w:tcW w:w="700" w:type="dxa"/>
            <w:vAlign w:val="bottom"/>
            <w:gridSpan w:val="5"/>
          </w:tcPr>
          <w:p>
            <w:pPr>
              <w:spacing w:after="0"/>
              <w:rPr>
                <w:sz w:val="20"/>
                <w:szCs w:val="20"/>
                <w:color w:val="auto"/>
              </w:rPr>
            </w:pPr>
            <w:r>
              <w:rPr>
                <w:rFonts w:ascii="Arial" w:cs="Arial" w:eastAsia="Arial" w:hAnsi="Arial"/>
                <w:sz w:val="14"/>
                <w:szCs w:val="14"/>
                <w:b w:val="1"/>
                <w:bCs w:val="1"/>
                <w:color w:val="auto"/>
                <w:w w:val="83"/>
              </w:rPr>
              <w:t>Investments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6"/>
          </w:tcPr>
          <w:p>
            <w:pPr>
              <w:spacing w:after="0"/>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3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Asset-backed fixed income securities</w:t>
            </w:r>
          </w:p>
        </w:tc>
        <w:tc>
          <w:tcPr>
            <w:tcW w:w="13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1,680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3,032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312"/>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funds with constant net asset values</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130" w:type="dxa"/>
            <w:vAlign w:val="bottom"/>
          </w:tcPr>
          <w:p>
            <w:pPr>
              <w:spacing w:after="0"/>
              <w:rPr>
                <w:sz w:val="18"/>
                <w:szCs w:val="18"/>
                <w:color w:val="auto"/>
              </w:rPr>
            </w:pPr>
          </w:p>
        </w:tc>
        <w:tc>
          <w:tcPr>
            <w:tcW w:w="101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on hand</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60" w:type="dxa"/>
            <w:vAlign w:val="bottom"/>
            <w:gridSpan w:val="3"/>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8"/>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65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gridSpan w:val="2"/>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purchased parts</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3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gridSpan w:val="2"/>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1,256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Property, Plant and Equipment at Cost</w:t>
            </w:r>
          </w:p>
        </w:tc>
        <w:tc>
          <w:tcPr>
            <w:tcW w:w="13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60" w:type="dxa"/>
            <w:vAlign w:val="bottom"/>
            <w:gridSpan w:val="3"/>
            <w:vMerge w:val="continue"/>
          </w:tcPr>
          <w:p>
            <w:pPr>
              <w:spacing w:after="0"/>
              <w:rPr>
                <w:sz w:val="24"/>
                <w:szCs w:val="24"/>
                <w:color w:val="auto"/>
              </w:rPr>
            </w:pPr>
          </w:p>
        </w:tc>
        <w:tc>
          <w:tcPr>
            <w:tcW w:w="1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3"/>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65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Depreciable Lives</w:t>
            </w:r>
          </w:p>
        </w:tc>
        <w:tc>
          <w:tcPr>
            <w:tcW w:w="840" w:type="dxa"/>
            <w:vAlign w:val="bottom"/>
            <w:gridSpan w:val="5"/>
          </w:tcPr>
          <w:p>
            <w:pPr>
              <w:jc w:val="right"/>
              <w:ind w:right="39"/>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gridSpan w:val="2"/>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3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37"/>
              <w:spacing w:after="0"/>
              <w:rPr>
                <w:sz w:val="20"/>
                <w:szCs w:val="20"/>
                <w:color w:val="auto"/>
              </w:rPr>
            </w:pPr>
            <w:r>
              <w:rPr>
                <w:rFonts w:ascii="Arial" w:cs="Arial" w:eastAsia="Arial" w:hAnsi="Arial"/>
                <w:sz w:val="18"/>
                <w:szCs w:val="18"/>
                <w:color w:val="auto"/>
                <w:w w:val="86"/>
              </w:rPr>
              <w:t>5-40 years</w:t>
            </w:r>
          </w:p>
        </w:tc>
        <w:tc>
          <w:tcPr>
            <w:tcW w:w="10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b w:val="1"/>
                <w:bCs w:val="1"/>
                <w:color w:val="auto"/>
              </w:rPr>
              <w:t>2,800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7"/>
              <w:spacing w:after="0"/>
              <w:rPr>
                <w:sz w:val="20"/>
                <w:szCs w:val="20"/>
                <w:color w:val="auto"/>
              </w:rPr>
            </w:pPr>
            <w:r>
              <w:rPr>
                <w:rFonts w:ascii="Arial" w:cs="Arial" w:eastAsia="Arial" w:hAnsi="Arial"/>
                <w:sz w:val="18"/>
                <w:szCs w:val="18"/>
                <w:color w:val="auto"/>
                <w:w w:val="86"/>
              </w:rPr>
              <w:t>3-10 years</w:t>
            </w: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6,685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gridSpan w:val="2"/>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3"/>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$9,573</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-3356610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-3356610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-3356610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-3356610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-3356610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-3356610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-3356610</wp:posOffset>
            </wp:positionV>
            <wp:extent cx="49276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-3356610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-3356610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-3356610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-3356610</wp:posOffset>
            </wp:positionV>
            <wp:extent cx="45021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-1692910</wp:posOffset>
            </wp:positionV>
            <wp:extent cx="32131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-1692910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-1692910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-1692910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32131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Authorizations for property, plant and equipment expenditures in future years were approximately $583 million at 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and Debt 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Equity investments include publicly traded and private investments. Following is information on the investments at December 31, 2004 and 2003: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5"/>
          </w:tcPr>
          <w:p>
            <w:pPr>
              <w:ind w:left="2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00" w:type="dxa"/>
            <w:vAlign w:val="bottom"/>
            <w:gridSpan w:val="4"/>
          </w:tcPr>
          <w:p>
            <w:pPr>
              <w:spacing w:after="0"/>
              <w:rPr>
                <w:sz w:val="20"/>
                <w:szCs w:val="20"/>
                <w:color w:val="auto"/>
              </w:rPr>
            </w:pPr>
            <w:r>
              <w:rPr>
                <w:rFonts w:ascii="Arial" w:cs="Arial" w:eastAsia="Arial" w:hAnsi="Arial"/>
                <w:sz w:val="14"/>
                <w:szCs w:val="14"/>
                <w:b w:val="1"/>
                <w:bCs w:val="1"/>
                <w:color w:val="auto"/>
              </w:rPr>
              <w:t>December 31, 2004</w:t>
            </w:r>
          </w:p>
        </w:tc>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Cost</w:t>
            </w:r>
          </w:p>
        </w:tc>
        <w:tc>
          <w:tcPr>
            <w:tcW w:w="32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4"/>
                <w:szCs w:val="14"/>
                <w:b w:val="1"/>
                <w:bCs w:val="1"/>
                <w:color w:val="auto"/>
                <w:w w:val="82"/>
              </w:rPr>
              <w:t>Gains</w:t>
            </w:r>
          </w:p>
        </w:tc>
        <w:tc>
          <w:tcPr>
            <w:tcW w:w="3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5"/>
                <w:szCs w:val="15"/>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Net</w:t>
            </w:r>
          </w:p>
        </w:tc>
        <w:tc>
          <w:tcPr>
            <w:tcW w:w="3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Borders>
              <w:bottom w:val="single" w:sz="8" w:color="auto"/>
            </w:tcBorders>
            <w:gridSpan w:val="2"/>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Marketable</w:t>
            </w:r>
          </w:p>
        </w:tc>
        <w:tc>
          <w:tcPr>
            <w:tcW w:w="5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Non-marketable</w:t>
            </w: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Convertible debt</w:t>
            </w: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Mutual funds and other</w:t>
            </w: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260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2003</w:t>
            </w:r>
          </w:p>
        </w:tc>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8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Borders>
              <w:bottom w:val="single" w:sz="8" w:color="auto"/>
            </w:tcBorders>
            <w:gridSpan w:val="2"/>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Marketable</w:t>
            </w:r>
          </w:p>
        </w:tc>
        <w:tc>
          <w:tcPr>
            <w:tcW w:w="5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14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Non-marketable</w:t>
            </w: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Convertible debt</w:t>
            </w: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and other</w:t>
            </w: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255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0" w:type="dxa"/>
            <w:vAlign w:val="bottom"/>
            <w:gridSpan w:val="2"/>
          </w:tcPr>
          <w:p>
            <w:pPr>
              <w:spacing w:after="0"/>
              <w:rPr>
                <w:sz w:val="12"/>
                <w:szCs w:val="12"/>
                <w:color w:val="auto"/>
              </w:rPr>
            </w:pPr>
          </w:p>
        </w:tc>
        <w:tc>
          <w:tcPr>
            <w:tcW w:w="23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20" w:type="dxa"/>
            <w:vAlign w:val="bottom"/>
            <w:gridSpan w:val="2"/>
            <w:vMerge w:val="restart"/>
          </w:tcPr>
          <w:p>
            <w:pPr>
              <w:spacing w:after="0"/>
              <w:rPr>
                <w:sz w:val="20"/>
                <w:szCs w:val="20"/>
                <w:color w:val="auto"/>
              </w:rPr>
            </w:pPr>
            <w:r>
              <w:rPr>
                <w:rFonts w:ascii="Arial" w:cs="Arial" w:eastAsia="Arial" w:hAnsi="Arial"/>
                <w:sz w:val="18"/>
                <w:szCs w:val="18"/>
                <w:color w:val="auto"/>
              </w:rPr>
              <w:t>16</w:t>
            </w:r>
          </w:p>
        </w:tc>
        <w:tc>
          <w:tcPr>
            <w:tcW w:w="23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2"/>
            <w:vMerge w:val="restart"/>
          </w:tcPr>
          <w:p>
            <w:pPr>
              <w:jc w:val="right"/>
              <w:ind w:right="3412"/>
              <w:spacing w:after="0"/>
              <w:rPr>
                <w:sz w:val="20"/>
                <w:szCs w:val="20"/>
                <w:color w:val="auto"/>
              </w:rPr>
            </w:pPr>
            <w:r>
              <w:rPr>
                <w:rFonts w:ascii="Arial" w:cs="Arial" w:eastAsia="Arial" w:hAnsi="Arial"/>
                <w:sz w:val="18"/>
                <w:szCs w:val="18"/>
                <w:color w:val="auto"/>
              </w:rPr>
              <w:t>2004 ANNUAL REPORT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-1836420</wp:posOffset>
            </wp:positionV>
            <wp:extent cx="23558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-1836420</wp:posOffset>
            </wp:positionV>
            <wp:extent cx="22733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733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-1836420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-1836420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-1836420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-1836420</wp:posOffset>
            </wp:positionV>
            <wp:extent cx="20129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-1836420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-1836420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-1836420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-327025</wp:posOffset>
            </wp:positionV>
            <wp:extent cx="23558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-327025</wp:posOffset>
            </wp:positionV>
            <wp:extent cx="22733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733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-327025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-327025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-327025</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-327025</wp:posOffset>
            </wp:positionV>
            <wp:extent cx="20129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-327025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-327025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-327025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47" w:name="page48"/>
    <w:bookmarkEnd w:id="47"/>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investments in equity and debt securities, except for mutual funds, are classified as available-for-sale securities. Marketable equity securities and convertible debt securities are stated at fair value. Non-marketable equity securities, primarily comprised of investments in various venture funds, are stated at historical cost and are subject to a periodic impairment review.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Convertible debt consists of a convertible debt security due 2006.</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investments in mutual funds are classified as trading, and adjustments to their fair value are recorded in operating expense. These mutual funds hold a variety of debt and equity investments and are intended to generate returns that offset changes in certain liabilities related to deferred compensation arrangements, thus are classified as a long-term investment. (See Note 14 for discussion of Deferred Compensation Arrangements.)</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third and fourth quarters of 2003, TI sold its remaining 57 million shares of Micron Technology, Inc. (Micron) common stock, which were received in connection with TI’s sale of its memory business unit to Micron in 1998. TI recognized pretax gains of $203 million from these sales, which were recorded in other income (expense) net. TI’s previously reserved tax benefit of $223 million associated with the 2002 write-down was recognized upon the sale of the Micron stock through the reversal of the deferred tax asset valuation allowance. The combined effect of the after-tax gains and the tax benefit was an increase of $355 million to TI’s 2003 net income.</w:t>
      </w:r>
    </w:p>
    <w:p>
      <w:pPr>
        <w:spacing w:after="0" w:line="12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Proceeds from sales of equity and debt investments were $32 million in 2004, $778 million in 2003 and $47 million in 2002. There were $12 million, $213 million and $7 million of gross realized gains and zero gross realized losses from sales of these investments in 2004, 2003 and 2002.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Acquisition-Related Intangibles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Amortization Period</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Goodwill—net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longer amortized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701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intangibles—net: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Developed technology</w:t>
            </w: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3-10 years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-887095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-887095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-887095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-887095</wp:posOffset>
            </wp:positionV>
            <wp:extent cx="2444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Goodwill is reviewed for impairment annually, or more frequently if certain indicators arise. No impairment indicators arose during 2004 or 2003. The goodwill balances shown are net of total accumulated amortization of $230 million at year-end 2004 and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 December 31, 2004 and 2003, by business segment, was: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Semiconductor</w:t>
            </w:r>
          </w:p>
        </w:tc>
        <w:tc>
          <w:tcPr>
            <w:tcW w:w="4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Sensors &amp; Controls</w:t>
            </w:r>
          </w:p>
        </w:tc>
        <w:tc>
          <w:tcPr>
            <w:tcW w:w="4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E&amp;PS</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jc w:val="right"/>
              <w:ind w:right="6032"/>
              <w:spacing w:after="0"/>
              <w:rPr>
                <w:sz w:val="20"/>
                <w:szCs w:val="20"/>
                <w:color w:val="auto"/>
              </w:rPr>
            </w:pPr>
            <w:r>
              <w:rPr>
                <w:rFonts w:ascii="Arial" w:cs="Arial" w:eastAsia="Arial" w:hAnsi="Arial"/>
                <w:sz w:val="18"/>
                <w:szCs w:val="18"/>
                <w:b w:val="1"/>
                <w:bCs w:val="1"/>
                <w:color w:val="auto"/>
                <w:w w:val="79"/>
              </w:rPr>
              <w:t>2004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$677</w:t>
            </w:r>
          </w:p>
        </w:tc>
        <w:tc>
          <w:tcPr>
            <w:tcW w:w="19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86"/>
              </w:rPr>
              <w:t>$24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4"/>
              </w:rPr>
              <w:t>$701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jc w:val="right"/>
              <w:ind w:right="6032"/>
              <w:spacing w:after="0"/>
              <w:rPr>
                <w:sz w:val="20"/>
                <w:szCs w:val="20"/>
                <w:color w:val="auto"/>
              </w:rPr>
            </w:pPr>
            <w:r>
              <w:rPr>
                <w:rFonts w:ascii="Arial" w:cs="Arial" w:eastAsia="Arial" w:hAnsi="Arial"/>
                <w:sz w:val="18"/>
                <w:szCs w:val="18"/>
                <w:color w:val="auto"/>
                <w:w w:val="79"/>
              </w:rPr>
              <w:t>2003</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$675</w:t>
            </w:r>
          </w:p>
        </w:tc>
        <w:tc>
          <w:tcPr>
            <w:tcW w:w="1980" w:type="dxa"/>
            <w:vAlign w:val="bottom"/>
            <w:gridSpan w:val="2"/>
          </w:tcPr>
          <w:p>
            <w:pPr>
              <w:jc w:val="center"/>
              <w:ind w:left="352"/>
              <w:spacing w:after="0"/>
              <w:rPr>
                <w:sz w:val="20"/>
                <w:szCs w:val="20"/>
                <w:color w:val="auto"/>
              </w:rPr>
            </w:pPr>
            <w:r>
              <w:rPr>
                <w:rFonts w:ascii="Arial" w:cs="Arial" w:eastAsia="Arial" w:hAnsi="Arial"/>
                <w:sz w:val="18"/>
                <w:szCs w:val="18"/>
                <w:color w:val="auto"/>
                <w:w w:val="86"/>
              </w:rPr>
              <w:t>$18</w:t>
            </w:r>
          </w:p>
        </w:tc>
        <w:tc>
          <w:tcPr>
            <w:tcW w:w="44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components of acquisition-related intangible assets, excluding goodwill, that are subject to amortization: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7"/>
          </w:tcPr>
          <w:p>
            <w:pPr>
              <w:ind w:left="60"/>
              <w:spacing w:after="0"/>
              <w:rPr>
                <w:sz w:val="20"/>
                <w:szCs w:val="20"/>
                <w:color w:val="auto"/>
              </w:rPr>
            </w:pPr>
            <w:r>
              <w:rPr>
                <w:rFonts w:ascii="Arial" w:cs="Arial" w:eastAsia="Arial" w:hAnsi="Arial"/>
                <w:sz w:val="14"/>
                <w:szCs w:val="14"/>
                <w:b w:val="1"/>
                <w:bCs w:val="1"/>
                <w:color w:val="auto"/>
              </w:rPr>
              <w:t>December 31, 2004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78"/>
              </w:rPr>
              <w:t>Gross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4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w:t>
            </w: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Accum.</w:t>
            </w:r>
          </w:p>
        </w:tc>
        <w:tc>
          <w:tcPr>
            <w:tcW w:w="0" w:type="dxa"/>
            <w:vAlign w:val="bottom"/>
          </w:tcPr>
          <w:p>
            <w:pPr>
              <w:spacing w:after="0"/>
              <w:rPr>
                <w:sz w:val="1"/>
                <w:szCs w:val="1"/>
                <w:color w:val="auto"/>
              </w:rPr>
            </w:pPr>
          </w:p>
        </w:tc>
      </w:tr>
      <w:tr>
        <w:trPr>
          <w:trHeight w:val="174"/>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Amortized Intangible Assets</w:t>
            </w: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w:t>
            </w:r>
          </w:p>
        </w:tc>
        <w:tc>
          <w:tcPr>
            <w:tcW w:w="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97"/>
              </w:rPr>
              <w:t>Amort.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86"/>
              </w:rPr>
              <w:t>Developed and core technology</w:t>
            </w:r>
          </w:p>
        </w:tc>
        <w:tc>
          <w:tcPr>
            <w:tcW w:w="6080" w:type="dxa"/>
            <w:vAlign w:val="bottom"/>
            <w:gridSpan w:val="3"/>
            <w:shd w:val="clear" w:color="auto" w:fill="CCEEFF"/>
          </w:tcPr>
          <w:p>
            <w:pPr>
              <w:ind w:left="6000"/>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35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Trademarks and patents</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80" w:type="dxa"/>
            <w:vAlign w:val="bottom"/>
            <w:gridSpan w:val="3"/>
            <w:shd w:val="clear" w:color="auto" w:fill="CCEEFF"/>
          </w:tcPr>
          <w:p>
            <w:pPr>
              <w:ind w:left="6000"/>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400" w:type="dxa"/>
            <w:vAlign w:val="bottom"/>
            <w:tcBorders>
              <w:bottom w:val="single" w:sz="8" w:color="auto"/>
            </w:tcBorders>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8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380" w:type="dxa"/>
            <w:vAlign w:val="bottom"/>
            <w:gridSpan w:val="4"/>
            <w:vMerge w:val="restart"/>
          </w:tcPr>
          <w:p>
            <w:pPr>
              <w:ind w:left="430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22"/>
                <w:szCs w:val="22"/>
                <w:color w:val="auto"/>
              </w:rPr>
            </w:pPr>
          </w:p>
        </w:tc>
        <w:tc>
          <w:tcPr>
            <w:tcW w:w="140" w:type="dxa"/>
            <w:vAlign w:val="bottom"/>
            <w:vMerge w:val="restart"/>
          </w:tcPr>
          <w:p>
            <w:pPr>
              <w:spacing w:after="0"/>
              <w:rPr>
                <w:sz w:val="22"/>
                <w:szCs w:val="22"/>
                <w:color w:val="auto"/>
              </w:rPr>
            </w:pPr>
          </w:p>
        </w:tc>
        <w:tc>
          <w:tcPr>
            <w:tcW w:w="2200" w:type="dxa"/>
            <w:vAlign w:val="bottom"/>
            <w:gridSpan w:val="8"/>
            <w:vMerge w:val="restart"/>
          </w:tcPr>
          <w:p>
            <w:pPr>
              <w:jc w:val="right"/>
              <w:ind w:right="320"/>
              <w:spacing w:after="0"/>
              <w:rPr>
                <w:sz w:val="20"/>
                <w:szCs w:val="20"/>
                <w:color w:val="auto"/>
              </w:rPr>
            </w:pPr>
            <w:r>
              <w:rPr>
                <w:rFonts w:ascii="Arial" w:cs="Arial" w:eastAsia="Arial" w:hAnsi="Arial"/>
                <w:sz w:val="18"/>
                <w:szCs w:val="18"/>
                <w:color w:val="auto"/>
                <w:w w:val="93"/>
              </w:rPr>
              <w:t>2004 ANNUAL REPORT</w:t>
            </w:r>
          </w:p>
        </w:tc>
        <w:tc>
          <w:tcPr>
            <w:tcW w:w="120" w:type="dxa"/>
            <w:vAlign w:val="bottom"/>
          </w:tcPr>
          <w:p>
            <w:pPr>
              <w:spacing w:after="0"/>
              <w:rPr>
                <w:sz w:val="22"/>
                <w:szCs w:val="22"/>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380" w:type="dxa"/>
            <w:vAlign w:val="bottom"/>
            <w:gridSpan w:val="4"/>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vMerge w:val="continue"/>
          </w:tcPr>
          <w:p>
            <w:pPr>
              <w:spacing w:after="0"/>
              <w:rPr>
                <w:sz w:val="18"/>
                <w:szCs w:val="18"/>
                <w:color w:val="auto"/>
              </w:rPr>
            </w:pPr>
          </w:p>
        </w:tc>
        <w:tc>
          <w:tcPr>
            <w:tcW w:w="2200" w:type="dxa"/>
            <w:vAlign w:val="bottom"/>
            <w:gridSpan w:val="8"/>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-327025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-327025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-327025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-327025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-327025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-327025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-327025</wp:posOffset>
            </wp:positionV>
            <wp:extent cx="34734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-327025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-327025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-327025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8" w:name="page49"/>
    <w:bookmarkEnd w:id="4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July 2003, in connection with the acquisition of Radia, goodwill of approximately $64 million and acquired intangible assets of $40 million (consisting primarily of core and developed technology as well as customer relationships) was recognized. The weighted average lives of the acquired intangible assets from this acquisition was 5 years.</w:t>
      </w:r>
    </w:p>
    <w:p>
      <w:pPr>
        <w:spacing w:after="0" w:line="127"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June 2002, in connection with the acquisition of Condat, goodwill of approximately $69 million and acquired intangible assets of $30 million (consisting primarily of developed technology) was recognized. The weighted average lives of the acquired intangible assets from this acquisition was 5 years.</w:t>
      </w:r>
    </w:p>
    <w:p>
      <w:pPr>
        <w:spacing w:after="0" w:line="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Amortization of acquisition-related intangibles and deferred compensation (including unearned compensation, a contra-stockholders’ equity account) was $70 million, $99 million and $115 million for 2004, 2003 and 2002, primarily related to developed technology.</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sets forth the estimated amortization of acquisition-related intangibles and deferred compensation (including unearned compensation, a contra-stockholders’ equity account) for the years ended December 31:</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right"/>
              <w:ind w:right="4172"/>
              <w:spacing w:after="0"/>
              <w:rPr>
                <w:sz w:val="20"/>
                <w:szCs w:val="20"/>
                <w:color w:val="auto"/>
              </w:rPr>
            </w:pPr>
            <w:r>
              <w:rPr>
                <w:rFonts w:ascii="Arial" w:cs="Arial" w:eastAsia="Arial" w:hAnsi="Arial"/>
                <w:sz w:val="18"/>
                <w:szCs w:val="18"/>
                <w:color w:val="auto"/>
                <w:w w:val="79"/>
              </w:rPr>
              <w:t>2005</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4600" w:type="dxa"/>
            <w:vAlign w:val="bottom"/>
          </w:tcPr>
          <w:p>
            <w:pPr>
              <w:jc w:val="right"/>
              <w:ind w:right="4172"/>
              <w:spacing w:after="0"/>
              <w:rPr>
                <w:sz w:val="20"/>
                <w:szCs w:val="20"/>
                <w:color w:val="auto"/>
              </w:rPr>
            </w:pPr>
            <w:r>
              <w:rPr>
                <w:rFonts w:ascii="Arial" w:cs="Arial" w:eastAsia="Arial" w:hAnsi="Arial"/>
                <w:sz w:val="18"/>
                <w:szCs w:val="18"/>
                <w:color w:val="auto"/>
                <w:w w:val="79"/>
              </w:rPr>
              <w:t>2006</w:t>
            </w:r>
          </w:p>
        </w:tc>
        <w:tc>
          <w:tcPr>
            <w:tcW w:w="4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right"/>
              <w:ind w:right="4172"/>
              <w:spacing w:after="0"/>
              <w:rPr>
                <w:sz w:val="20"/>
                <w:szCs w:val="20"/>
                <w:color w:val="auto"/>
              </w:rPr>
            </w:pPr>
            <w:r>
              <w:rPr>
                <w:rFonts w:ascii="Arial" w:cs="Arial" w:eastAsia="Arial" w:hAnsi="Arial"/>
                <w:sz w:val="18"/>
                <w:szCs w:val="18"/>
                <w:color w:val="auto"/>
                <w:w w:val="79"/>
              </w:rPr>
              <w:t>2007</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600" w:type="dxa"/>
            <w:vAlign w:val="bottom"/>
          </w:tcPr>
          <w:p>
            <w:pPr>
              <w:jc w:val="right"/>
              <w:ind w:right="4172"/>
              <w:spacing w:after="0"/>
              <w:rPr>
                <w:sz w:val="20"/>
                <w:szCs w:val="20"/>
                <w:color w:val="auto"/>
              </w:rPr>
            </w:pPr>
            <w:r>
              <w:rPr>
                <w:rFonts w:ascii="Arial" w:cs="Arial" w:eastAsia="Arial" w:hAnsi="Arial"/>
                <w:sz w:val="18"/>
                <w:szCs w:val="18"/>
                <w:color w:val="auto"/>
                <w:w w:val="79"/>
              </w:rPr>
              <w:t>2008</w:t>
            </w:r>
          </w:p>
        </w:tc>
        <w:tc>
          <w:tcPr>
            <w:tcW w:w="4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right"/>
              <w:ind w:right="4172"/>
              <w:spacing w:after="0"/>
              <w:rPr>
                <w:sz w:val="20"/>
                <w:szCs w:val="20"/>
                <w:color w:val="auto"/>
              </w:rPr>
            </w:pPr>
            <w:r>
              <w:rPr>
                <w:rFonts w:ascii="Arial" w:cs="Arial" w:eastAsia="Arial" w:hAnsi="Arial"/>
                <w:sz w:val="18"/>
                <w:szCs w:val="18"/>
                <w:color w:val="auto"/>
                <w:w w:val="79"/>
              </w:rPr>
              <w:t>2009</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Payable and Accrued Expenses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7"/>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5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552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Accrued salaries, wages and vacation pay</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334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 and liabilities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Debt and Lines of Credit</w:t>
            </w: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02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7"/>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1300" w:type="dxa"/>
            <w:vAlign w:val="bottom"/>
            <w:gridSpan w:val="2"/>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020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 notes due 2004</w:t>
            </w: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Euro notes with various rates, due in 2005</w:t>
            </w: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2006</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8.75% notes due 2007</w:t>
            </w: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Less current portion long-term debt</w:t>
            </w: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-2524760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-2524760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-2524760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-2524760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-2524760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-2524760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3558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$400 million of 7.0% notes and the associated interest rate swap of $50 million matured in 2004.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1996, the coupon rates for the notes due 2006 were swapped for LIBOR-based variable rates through 2006, for an effective interest rate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1.52% and 0.52% as of December 31, 2004 and 2003. In 2001, the coupon rates for the notes due 2007 were swapped for LIBOR-based variable rates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for an effective interest rate of approximately 6.30% and 4.90% as of December 31, 2004 and 2003.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18</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100" w:type="dxa"/>
            <w:vAlign w:val="bottom"/>
          </w:tcPr>
          <w:p>
            <w:pPr>
              <w:ind w:left="28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 of these interest rate swaps was to reduce interest expense by $19 million, $20 million and $18 million in 2004, 2003 and 2002.</w:t>
      </w:r>
    </w:p>
    <w:p>
      <w:pPr>
        <w:spacing w:after="0" w:line="15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its 2000 pooling-of-interests acquisition of Burr-Brown Corporation (Burr-Brown), TI guaranteed payment of the principal and interest for the $250 million principal amount of 4.25% convertible subordinated notes due 2007 that were issued February 24, 2000, by Burr-Brown. The notes became eligible for redemption and were redeemed in February 2003 resulting in a $10 million charge recorded in other income (expense) net.</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incurred on loans in 2004, 2003 and 2002 was $24 million, $41 million and $60 million. Of these amounts, $3 million in 2004, $2 million in 2003 and $3 million in 2002 were capitalized as a component of capital asset construction costs. Interest paid on loans (net of amounts capitalized) was $21 million in 2004, $39 million in 2003 and $57 million in 2002.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40" w:type="dxa"/>
            <w:vAlign w:val="bottom"/>
            <w:gridSpan w:val="2"/>
          </w:tcPr>
          <w:p>
            <w:pPr>
              <w:spacing w:after="0"/>
              <w:rPr>
                <w:sz w:val="20"/>
                <w:szCs w:val="20"/>
                <w:color w:val="auto"/>
              </w:rPr>
            </w:pPr>
            <w:r>
              <w:rPr>
                <w:rFonts w:ascii="Arial" w:cs="Arial" w:eastAsia="Arial" w:hAnsi="Arial"/>
                <w:sz w:val="18"/>
                <w:szCs w:val="18"/>
                <w:color w:val="auto"/>
                <w:w w:val="99"/>
              </w:rPr>
              <w:t>Aggregate maturities of long-term debt due during the years subsequent to December 31, 2004, are as follows: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7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2006</w:t>
            </w:r>
          </w:p>
        </w:tc>
        <w:tc>
          <w:tcPr>
            <w:tcW w:w="14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2008</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2009 and thereafter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maintains lines of credit to support commercial paper borrowings and to provide additional liquidity through short-term bank loans. These lines of credit totaled $500 million at December 31, 2004 and 2003, but were not utilized in either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 and Risk Concentration</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u w:val="single" w:color="auto"/>
          <w:color w:val="auto"/>
        </w:rPr>
        <w:t>Financial Instruments:</w:t>
      </w:r>
      <w:r>
        <w:rPr>
          <w:rFonts w:ascii="Arial" w:cs="Arial" w:eastAsia="Arial" w:hAnsi="Arial"/>
          <w:sz w:val="18"/>
          <w:szCs w:val="18"/>
          <w:color w:val="auto"/>
        </w:rPr>
        <w:t xml:space="preserve"> The carrying amounts and related estimated fair values of the Company’s significant financial instruments at December 31, 2004 and 2003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December 31, 2004</w:t>
            </w:r>
          </w:p>
        </w:tc>
        <w:tc>
          <w:tcPr>
            <w:tcW w:w="160" w:type="dxa"/>
            <w:vAlign w:val="bottom"/>
          </w:tcPr>
          <w:p>
            <w:pPr>
              <w:spacing w:after="0"/>
              <w:rPr>
                <w:sz w:val="15"/>
                <w:szCs w:val="15"/>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Carrying</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Assets/(liabilities)</w:t>
            </w:r>
          </w:p>
        </w:tc>
        <w:tc>
          <w:tcPr>
            <w:tcW w:w="308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(a)</w:t>
            </w:r>
          </w:p>
        </w:tc>
        <w:tc>
          <w:tcPr>
            <w:tcW w:w="3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(379)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$(394)</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(826)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Forward purchase contract (b)</w:t>
            </w:r>
          </w:p>
        </w:tc>
        <w:tc>
          <w:tcPr>
            <w:tcW w:w="3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 (c)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long-term debt was determined primarily by calculating the net present value of the expected cash flows using current market interest rates.</w:t>
      </w:r>
    </w:p>
    <w:p>
      <w:pPr>
        <w:spacing w:after="0" w:line="55"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uses a forward purchase contract for shares of the Company’s common stock to minimize the adverse earnings impact from the effect of stock market value fluctuations on the portion of the Company’s deferred compensation obligations denominated in TI stock. Fair value was based on quoted market price of TI common stock. (See Note 14 for discussion of Deferred Compensation Arrangements.)</w:t>
      </w:r>
    </w:p>
    <w:p>
      <w:pPr>
        <w:spacing w:after="0" w:line="4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uses interest rate swaps on long-term debt to change the characteristics of the interest rate payments from fixed rates to short-term variable rates. Fair value was determined by calculating the net present value of the expected cash flows using current market interest rates and represents current market settlement values.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other derivative financial instruments such as call options embedded in a convertible note, investment warrants and forward currency exchange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contracts, the carrying value and fair values of which were not significant as of December 31, 2004 or 2003. The forward currency exchange contracts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2004 had a notional or face value of $270 million to hedge net balance sheet exposures (including $139 million to buy euros, $28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to buy Taiwan dollars and $28 million to sell Japanese yen). At December 31, 2003, the Company had forward currency exchange contracts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notional or face value of $315 million to hedge net balance sheet exposures (including $223 million to buy euros, $25 million to buy Taiwan dollars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to sell pound sterling). Short-term cash investments are carried at fair value. The carrying values for other current financial assets and liabilities,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accounts receivable and accounts payable, approximate fair value due to the short maturity of such instruments.</w:t>
      </w:r>
    </w:p>
    <w:p>
      <w:pPr>
        <w:spacing w:after="0" w:line="160"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80" w:right="239" w:bottom="1440" w:gutter="0" w:footer="0" w:header="0"/>
        </w:sectPr>
      </w:pPr>
    </w:p>
    <w:bookmarkStart w:id="50" w:name="page51"/>
    <w:bookmarkEnd w:id="50"/>
    <w:p>
      <w:pPr>
        <w:ind w:right="1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Concentration:</w:t>
      </w:r>
      <w:r>
        <w:rPr>
          <w:rFonts w:ascii="Arial" w:cs="Arial" w:eastAsia="Arial" w:hAnsi="Arial"/>
          <w:sz w:val="18"/>
          <w:szCs w:val="18"/>
          <w:color w:val="auto"/>
        </w:rPr>
        <w:t xml:space="preserve"> Financial instruments that potentially subject the Company to concentrations of credit risk are primarily cash investments, accounts receivable and equity investments. The Company places its cash investments in investment-grade debt securities and limits the amount of credit exposure to any one commercial issuer.</w:t>
      </w:r>
    </w:p>
    <w:p>
      <w:pPr>
        <w:spacing w:after="0" w:line="12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Concentrations of credit risk with respect to the receivables are limited due to the large number of customers in the Company’s customer base and their dispersion across different industries and geographic areas. The Company maintains an allowance for losses based upon the expected collectibility of accounts receivable.</w:t>
      </w:r>
    </w:p>
    <w:p>
      <w:pPr>
        <w:spacing w:after="0" w:line="4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order to minimize its exposure to credit risk, the Company limits its counterparties on the forward currency exchange contracts and interest rate swaps to investment-grade rated financial institutions.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10,000,000 shares of preferred stock. No preferred stock is currently outstanding.</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outstanding share of the Company’s common stock carries one-fourth of a stock purchase right. Under certain circumstances, each right may be exercised to purchase one one-thousandth of a share of the Company’s participating cumulative preferred stock for $200. Under certain circumstances following the acquisition of 20 percent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one cent per right, expire in June 2008.</w:t>
      </w:r>
    </w:p>
    <w:p>
      <w:pPr>
        <w:spacing w:after="0" w:line="10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2004, 2003 and 2002, the TI Board of Directors approved the repurchases of up to 21 million, 18 million and 14 million shares of the Company’s common stock. In the third quarter of 2004, TI’s Board of Directors authorized the Company to repurchase $1 billion of the Company’s common stock using existing cash holdings in addition to the previous authorizations. On January 25, 2005, the Company announced that the Board of Directors approved the repurchase of $2 billion of additional shares of TI common stock in addition to the previous authorizations. No expiration date has been specified for these authorizations.</w:t>
      </w:r>
    </w:p>
    <w:p>
      <w:pPr>
        <w:spacing w:after="0" w:line="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Treasury shares acquired in connection with the Board authorized stock repurchases in 2004, 2003 and 2002 were 30,102,546 shares, 13,877,932 shares and 14,740,369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Research and Development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(R&amp;D) expense totaled $1978 million in 2004, $1748 million in 2003 and $1619 million in 2002.</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Acquisition-related in-process R&amp;D (purchased R&amp;D) charges were zero in 2004, $23 million in 2003 and $1 million in 2002. These charges were for R&amp;D from business purchase acquisitions (2003 related to Radia) and were recorded in R&amp;D expense. Values for purchased R&amp;D were determined at the acquisition date based upon the appraised value of the related developmental projects. Purchased R&amp;D projects were assessed, analyzed and valued using the Exclusion Approach within the context and framework articulated by the Securities and Exchange Commission.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20</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00"/>
          </w:cols>
          <w:pgMar w:left="24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Other Income (Expense)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1"/>
              </w:rPr>
              <w:t>For 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Equity investment gains (losses), net</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-29210</wp:posOffset>
            </wp:positionV>
            <wp:extent cx="33845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070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Equity investment gains (losses) net in 2003 included investment gains of $203 million from the sale of Micron stock. Equity investment gains (losses) net in 2002 included investment write-downs of $808 million (including $638 million for Micron stock and $64 million for Hynix Semiconductor Inc. global depositary shares) for declines in value judged to be other-than-temporary.</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includes lease income from the purchaser of the Company’s former defense electronics business divested in 1997. The non-cancelable amount of future lease payments to be received through 2008 is about $86 million. These leases contain renewal options. Other for 2004 included the partial settlement of matters related to grants from the Italian government regarding TI’s former memory business operations. Also, in November 2004, the Company entered into a settlement with the State of Texas over claims for refund of state sales taxes relating to the Company’s former defense electronics business, which was divested in 1997. The Company recorded a pre-tax gain of $19 million, net of expenses. Other in 2002 included $64 million for the reversal of interest expense due to the resolution of open tax items.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has stock options outstanding to participants under the Texas Instruments 2000 Long-Term Incentive Plan and the Texas Instruments 2003 Long-Term Incentive Plan. Options are also outstanding under the 1996 Long-Term Incentive Plan and the Texas Instruments Long-Term Incentive Plan, but no further options may be granted under these plans. The Company also assumed stock options granted under the Burr-Brown 1993 Stock Incentive Plan and the Radia Communications, Inc. 2000 Stock Option/Stock Issuance Plan. Unless the options are acquisition-related replacement options, the option price per share may not be less than 100 percent of the fair market value on the date of the grant. Substantially all the options have a 10-year term. Except for options granted as part of a special retention grant in February 2003 (which vest beginning in the second year after grant at a rate of 50%/25%/25% per year), options granted subsequent to 1996 generally vest ratably over four years.</w:t>
      </w:r>
    </w:p>
    <w:p>
      <w:pPr>
        <w:spacing w:after="0" w:line="105"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Under the 2000 Long-Term Incentive Plan, the Company may grant stock options, including incentive stock options, restricted stock and restricted stock units, performance units and other stock-based awards. The plan provides for the issuance of 120,000,000 shares of the Company’s common stock. In addition, if any stock-based award under the 1996 Long-Term Incentive Plan or the Texas Instruments Long-Term Incentive Plan terminates, then any unissued shares subject to the terminated award become available for granting awards under the 2000 Long-Term Incentive Plan. No more than 13,400,000 shares of common stock may be awarded as restricted stock, restricted stock units or other stock-based awards under the plan.</w:t>
      </w:r>
    </w:p>
    <w:p>
      <w:pPr>
        <w:spacing w:after="0" w:line="10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Under the 2003 Long-Term Incentive Plan, the Company may grant stock options (other than incentive stock options), restricted stock and restricted stock units, performance units and other stock-based awards to non-management employees. The plan provides for the issuance of 240,000,000 shares of the Company’s common stock. Executive officers and approximately 250 managers are ineligible to receive awards under this plan.</w:t>
      </w:r>
    </w:p>
    <w:p>
      <w:pPr>
        <w:spacing w:after="0" w:line="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Under the Texas Instruments Stock Option Plan for Non-Employee Directors adopted in April 1998, the Company granted stock options to each non-employee director once per year, in the period beginning January 1999 and extending through January 2003. Each grant under the plan was an option to purchase 5,000 shares (10,000 shares beginning January 2001) with an option price equal to fair market value on the date of grant. In April 2003, the plan, together with the Texas Instruments Restricted Stock Unit Plan for Directors and the Texas Instruments Directors Deferred Compensation Plan, was replaced by the Texas Instruments 2003 Director Compensation Plan. Under this plan approved by stockholders in April 2003, the Company may grant stock options, restricted stock units and other</w:t>
      </w:r>
    </w:p>
    <w:p>
      <w:pPr>
        <w:spacing w:after="0" w:line="139"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74" w:right="239" w:bottom="1440" w:gutter="0" w:footer="0" w:header="0"/>
        </w:sectPr>
      </w:pPr>
    </w:p>
    <w:bookmarkStart w:id="52" w:name="page53"/>
    <w:bookmarkEnd w:id="5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stock-based awards to non-employee directors, as well as issue the Company’s common stock upon the distribution of stock units credited to deferred-compensation accounts established for such directors. The plan provides for the grant of a stock option to each non-employee director once per year in the period from January 2004 through 2010. Each grant is an option to purchase 15,000 shares with an option price equal to fair market value on the date of grant. Under the plan, the Company also grants 2,000 restricted stock units to each new non-employee director of the Company. The plan provides for the issuance of 2,000,000 shares of the Company’s common stock.</w:t>
      </w:r>
    </w:p>
    <w:p>
      <w:pPr>
        <w:spacing w:after="0" w:line="1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Stock option and restricted stock unit transactions under the above mentioned long-term incentive and director compensation plans during 2004, 2003 and 2002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and Restricted</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Stock Units</w:t>
            </w:r>
          </w:p>
        </w:tc>
        <w:tc>
          <w:tcPr>
            <w:tcW w:w="110" w:type="dxa"/>
            <w:vAlign w:val="bottom"/>
          </w:tcPr>
          <w:p>
            <w:pPr>
              <w:spacing w:after="0"/>
              <w:rPr>
                <w:sz w:val="15"/>
                <w:szCs w:val="15"/>
                <w:color w:val="auto"/>
              </w:rPr>
            </w:pPr>
          </w:p>
        </w:tc>
        <w:tc>
          <w:tcPr>
            <w:tcW w:w="51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164,430,601</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37,272,250</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25.76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(3,367,438)</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Expired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(7,925,503)</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190,409,910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54,514,310</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(4,338,768)</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Expired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(12,151,445)</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228,434,007</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b w:val="1"/>
                <w:bCs w:val="1"/>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29,323,920</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b w:val="1"/>
                <w:bCs w:val="1"/>
                <w:color w:val="auto"/>
              </w:rPr>
              <w:t>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Forfeited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(5,487,254)</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b w:val="1"/>
                <w:bCs w:val="1"/>
                <w:color w:val="auto"/>
              </w:rPr>
              <w:t>Expired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(11,181,293)</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241,089,380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currently records no compensation expense for its non-acquisition-related stock option awards. For restricted stock units (RSUs), compensation expense totaled $18 million, $15 million and $10 million in 2004, 2003 and 2002.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stock options and RSUs outstanding under the various long-term plans mentioned above at December 31, 2004,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3"/>
          </w:tcPr>
          <w:p>
            <w:pPr>
              <w:ind w:left="820"/>
              <w:spacing w:after="0"/>
              <w:rPr>
                <w:sz w:val="20"/>
                <w:szCs w:val="20"/>
                <w:color w:val="auto"/>
              </w:rPr>
            </w:pPr>
            <w:r>
              <w:rPr>
                <w:rFonts w:ascii="Arial" w:cs="Arial" w:eastAsia="Arial" w:hAnsi="Arial"/>
                <w:sz w:val="14"/>
                <w:szCs w:val="14"/>
                <w:b w:val="1"/>
                <w:bCs w:val="1"/>
                <w:color w:val="auto"/>
              </w:rPr>
              <w:t>Stock Options and RSUs Outstanding</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00" w:type="dxa"/>
            <w:vAlign w:val="bottom"/>
            <w:gridSpan w:val="2"/>
          </w:tcPr>
          <w:p>
            <w:pPr>
              <w:ind w:left="680"/>
              <w:spacing w:after="0"/>
              <w:rPr>
                <w:sz w:val="20"/>
                <w:szCs w:val="20"/>
                <w:color w:val="auto"/>
              </w:rPr>
            </w:pPr>
            <w:r>
              <w:rPr>
                <w:rFonts w:ascii="Arial" w:cs="Arial" w:eastAsia="Arial" w:hAnsi="Arial"/>
                <w:sz w:val="14"/>
                <w:szCs w:val="14"/>
                <w:b w:val="1"/>
                <w:bCs w:val="1"/>
                <w:color w:val="auto"/>
                <w:w w:val="89"/>
              </w:rPr>
              <w:t>Options Exercisable</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0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020" w:type="dxa"/>
            <w:vAlign w:val="bottom"/>
          </w:tcPr>
          <w:p>
            <w:pPr>
              <w:spacing w:after="0"/>
              <w:rPr>
                <w:sz w:val="12"/>
                <w:szCs w:val="12"/>
                <w:color w:val="auto"/>
              </w:rPr>
            </w:pPr>
          </w:p>
        </w:tc>
        <w:tc>
          <w:tcPr>
            <w:tcW w:w="19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0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020" w:type="dxa"/>
            <w:vAlign w:val="bottom"/>
          </w:tcPr>
          <w:p>
            <w:pPr>
              <w:spacing w:after="0"/>
              <w:rPr>
                <w:sz w:val="12"/>
                <w:szCs w:val="12"/>
                <w:color w:val="auto"/>
              </w:rPr>
            </w:pPr>
          </w:p>
        </w:tc>
        <w:tc>
          <w:tcPr>
            <w:tcW w:w="19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right"/>
              <w:ind w:right="76"/>
              <w:spacing w:after="0" w:line="149" w:lineRule="exact"/>
              <w:rPr>
                <w:sz w:val="20"/>
                <w:szCs w:val="20"/>
                <w:color w:val="auto"/>
              </w:rPr>
            </w:pPr>
            <w:r>
              <w:rPr>
                <w:rFonts w:ascii="Arial" w:cs="Arial" w:eastAsia="Arial" w:hAnsi="Arial"/>
                <w:sz w:val="14"/>
                <w:szCs w:val="14"/>
                <w:b w:val="1"/>
                <w:bCs w:val="1"/>
                <w:color w:val="auto"/>
                <w:w w:val="98"/>
              </w:rPr>
              <w:t>Range of Exercise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at Dec. 31,</w:t>
            </w:r>
          </w:p>
        </w:tc>
        <w:tc>
          <w:tcPr>
            <w:tcW w:w="700" w:type="dxa"/>
            <w:vAlign w:val="bottom"/>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tcPr>
          <w:p>
            <w:pPr>
              <w:spacing w:after="0"/>
              <w:rPr>
                <w:sz w:val="12"/>
                <w:szCs w:val="12"/>
                <w:color w:val="auto"/>
              </w:rPr>
            </w:pPr>
          </w:p>
        </w:tc>
        <w:tc>
          <w:tcPr>
            <w:tcW w:w="19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at Dec. 31,</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236"/>
              <w:spacing w:after="0"/>
              <w:rPr>
                <w:sz w:val="20"/>
                <w:szCs w:val="20"/>
                <w:color w:val="auto"/>
              </w:rPr>
            </w:pPr>
            <w:r>
              <w:rPr>
                <w:rFonts w:ascii="Arial" w:cs="Arial" w:eastAsia="Arial" w:hAnsi="Arial"/>
                <w:sz w:val="14"/>
                <w:szCs w:val="14"/>
                <w:b w:val="1"/>
                <w:bCs w:val="1"/>
                <w:color w:val="auto"/>
                <w:w w:val="94"/>
              </w:rPr>
              <w:t>Share Prices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4"/>
              </w:rPr>
              <w:t>2004 (shares)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tcPr>
          <w:p>
            <w:pPr>
              <w:spacing w:after="0"/>
              <w:rPr>
                <w:sz w:val="15"/>
                <w:szCs w:val="15"/>
                <w:color w:val="auto"/>
              </w:rPr>
            </w:pPr>
          </w:p>
        </w:tc>
        <w:tc>
          <w:tcPr>
            <w:tcW w:w="19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4"/>
              </w:rPr>
              <w:t>2004 (shares)</w:t>
            </w:r>
          </w:p>
        </w:tc>
        <w:tc>
          <w:tcPr>
            <w:tcW w:w="12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.00 to 16.00</w:t>
            </w:r>
          </w:p>
        </w:tc>
        <w:tc>
          <w:tcPr>
            <w:tcW w:w="2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50,112,571</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1"/>
              </w:rPr>
              <w:t>2.8 years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46,707,703</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w w:val="85"/>
              </w:rPr>
              <w:t>16.01 to 26.00</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rPr>
              <w:t>79,516,284</w:t>
            </w:r>
          </w:p>
        </w:tc>
        <w:tc>
          <w:tcPr>
            <w:tcW w:w="10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31,938,212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5"/>
              </w:rPr>
              <w:t>26.01 to 50.00</w:t>
            </w:r>
          </w:p>
        </w:tc>
        <w:tc>
          <w:tcPr>
            <w:tcW w:w="2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77,283,595</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34,117,242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w w:val="85"/>
              </w:rPr>
              <w:t>50.01 to 84.32</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rPr>
              <w:t>34,176,930</w:t>
            </w:r>
          </w:p>
        </w:tc>
        <w:tc>
          <w:tcPr>
            <w:tcW w:w="10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6.5</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54.17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30,015,250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.00 to 84.32</w:t>
            </w:r>
          </w:p>
        </w:tc>
        <w:tc>
          <w:tcPr>
            <w:tcW w:w="2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241,089,380</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1"/>
              </w:rPr>
              <w:t>6.2 years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142,778,407</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3898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also has stock options outstanding under the TI Employees 2002 Stock Purchase Plan. Under the plan, options are offered to all eligible employees in amounts based on a percentage of the employee’s compensation. The option price per share is 85% of the fair market value on the date of grant or on the exercise date, whichever is lower.</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December 31, 2004, the stock options outstanding under the TI Employees 2002 Stock Purchase Plan have an exercise price of $16.81 per share or 85% of the fair market value of the Company’s common stock on April 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22</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2005 (the date of automatic exercise), whichever is lower. Of the total outstanding options, none were exercisable at year-end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transactions during 2004, 2003 and 2002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Employee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Purchase</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Plan</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1,659,665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5,330,427*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(537,504)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(3,604,121)</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2,848,467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6,468,277*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(449,163)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(6,220,699)</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2,646,882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b w:val="1"/>
                <w:bCs w:val="1"/>
                <w:color w:val="auto"/>
              </w:rPr>
              <w:t>Granted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6,068,959*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Forfeited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(346,382)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b w:val="1"/>
                <w:bCs w:val="1"/>
                <w:color w:val="auto"/>
              </w:rPr>
              <w:t>Exercised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(4,724,025)</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3,645,434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Excludes options offered but not accepted.</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Stock option and Employee Stock Purchase Plan exercises include previously unissued shares and treasury shares of 416,961 and 15,488,357; 113,939 and 18,258,205; and, 34,833 and 11,494,791; for 2004, 2003 and 2002.</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year-end 2004, 258,758,802 shares were available for future grants under the Company’s various long-term incentive plans and director compensation plans mentioned above, and 5,409,842 shares under the TI Employees 2002 Stock Purchase Plan. As of year-end 2004, 499,912,958 shares were reserved for issuance under the Company’s various long-term incentive plans and director compensation plans, and 9,055,276 shares were reserved for issuance under the TI Employees 2002 Stock Purchase Plan.</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Previously unissued common shares issued for restricted stock units under the 1996 Long-Term Incentive Plan and predecessor long-term incentive plans in 2004, 2003 and 2002 were 402,009 shares, 108,619 shares and 32,733 shares. No treasury shares were issued upon vesting of restricted stock units issued under the Texas Instruments Restricted Stock Unit Plan for Directors in 2004, 2003 and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Post-Employment Benefit Plans</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provides various retirement plans for employees including defined benefit, defined contribution and retiree health care benefit plans, as well as deferred compensation arrangements for qualifying employees.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Retirement Plans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principal retirement plans in the U.S. include a qualified defined benefit pension plan (which is closed to new participants hired after November 1997), a defined contribution plan and an enhanced defined contribution plan. Employees participate in one of the two defined contribution savings plans based upon their date of hire or their election during a previous retirement choice program. Employees who participate in the enhanced defined contribution plan receive a fixed employer contribution of 2 percent of their annual eligible earnings, which may be invested at the employees’ discretion in various investment choices, including a TI common stock fund. Employees hired after December 31, 2003, are not eligible to receive the 2 percent company contribution.</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Both defined contribution plans offer an employer-matching savings option that allows employees to make pre-tax contributions to various investment choices, including a TI common stock fund. Both plans provide an employer-</w:t>
      </w:r>
    </w:p>
    <w:p>
      <w:pPr>
        <w:spacing w:after="0" w:line="127"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280" w:right="239" w:bottom="1440" w:gutter="0" w:footer="0" w:header="0"/>
        </w:sectPr>
      </w:pPr>
    </w:p>
    <w:bookmarkStart w:id="54" w:name="page55"/>
    <w:bookmarkEnd w:id="54"/>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matching cash contribution based on an employee’s contributions and annual eligible earnings. The employer-matching contribution ranges from 2 percent to 4 percent depending on a number of factors including the date the employee was hired and whether the employee participates in the defined benefit pension plan or the enhanced defined contribution plan. Employees hired after November 30, 1997, receive a maximum 4 percent employer-matching contribution.</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At December 31, 2004 and 2003, in accordance with the election of employees, TI’s U.S. defined contribution plans held shares of TI common stock totaling 61 million shares and 66 million shares valued at $1514 million and $1925 million. Dividends received on these shares for 2004 and 2003 totaled $6 million and $6 million.</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Company’s aggregate expense for U.S. employees under the defined contribution plans was $55 million in 2004, $50 million in 2003, and $46 million in 2002.</w:t>
      </w:r>
    </w:p>
    <w:p>
      <w:pPr>
        <w:spacing w:after="0" w:line="11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benefits under the non-contributory defined benefit pension plan are determined using a formula based upon years of service and the highest five consecutive years of compensation. The Company intends to contribute amounts to this plan to meet the minimum funding requirements of federal laws and regulations plus such additional amounts as the Company deems appropriate. During 2004 the Company made the maximum allowable tax deductible contribution of $127 million to the defined benefit plan. The Company also sponsors a number of smaller plans that are closed to new participants and are unfunded.</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Retiree Health Care Benefit Plans</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offers access to group medical coverage during retirement to most of its U.S. employees. The Company makes a contribution toward the cost of those retiree medical benefits for certain retirees and their dependents. The contribution rates are based upon varying factors, the most important of which are an employee’s date of hire, date of retirement, years of service and qualification for Medicare benefits. The balance of the cost is borne by the participants in the plan. Employees hired after January 1, 2001, are responsible for the full cost of their medical benefits during retirement.</w:t>
      </w:r>
    </w:p>
    <w:p>
      <w:pPr>
        <w:spacing w:after="0" w:line="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December 2003, the Medicare Prescription Drug, Improvement and Modernization Act of 2003 (the Prescription Drug Act) was enacted. The Prescription Drug Act introduced a prescription drug benefit under Medicare as well as a nontaxable federal subsidy to sponsors of retiree health care benefit plans that provide a benefit that is at least actuarially equivalent to the Medicare prescription drug benefit (Medicare Part D). In May 2004, the FASB issued Staff Position No. 106-2, </w:t>
      </w:r>
      <w:r>
        <w:rPr>
          <w:rFonts w:ascii="Arial" w:cs="Arial" w:eastAsia="Arial" w:hAnsi="Arial"/>
          <w:sz w:val="16"/>
          <w:szCs w:val="16"/>
          <w:i w:val="1"/>
          <w:iCs w:val="1"/>
          <w:color w:val="auto"/>
        </w:rPr>
        <w:t>“Accounting and Disclosure Requirements Related to the Medicare Prescription Drug, Improvement and Modernization Act of 2003”</w:t>
      </w:r>
      <w:r>
        <w:rPr>
          <w:rFonts w:ascii="Arial" w:cs="Arial" w:eastAsia="Arial" w:hAnsi="Arial"/>
          <w:sz w:val="16"/>
          <w:szCs w:val="16"/>
          <w:color w:val="auto"/>
        </w:rPr>
        <w:t xml:space="preserve"> (FSP No. 106-2), which addresses the accounting and disclosure requirements associated with the effects of the Prescription Drug Act.</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concluded, based on information provided by its actuaries, that its retiree health care benefit plan providing prescription drug benefits is currently actuarially equivalent to Medicare Part D and has therefore elected to recognize the effects of the Prescription Drug Act on this plan by implementing the provisions of FSP 106-2 prospectively as of July 1, 2004. The Company has reduced its accumulated postretirement benefit obligation (APBO) by $53 million for the effect of the subsidy related to benefits attributed to prior service. This is reflected as an actuarial experience gain and will be amortized over future periods. In addition, the subsidy will reduce current period service costs and related interest costs on the APBO. The estimated total effect of the subsidy is expected to reduce annual retiree health care benefit expense by approximately $7 million.</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Following the recognition of the effects of the Prescription Drug Act described above, the Company approved certain additional changes to the existing retiree health care benefit plan that increased certain benefits to employees and retirees. These changes were not the direct result of the Medicare legislation. The effects of these changes were accounted for as plan amendments to the Company’s retiree health care benefit plan and resulted in an increase of $107 million to the APBO. This is expected to increase annual expense by about $16 million.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24</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00"/>
          </w:cols>
          <w:pgMar w:left="240" w:top="280" w:right="259" w:bottom="1440" w:gutter="0" w:footer="0" w:header="0"/>
        </w:sectPr>
      </w:pPr>
    </w:p>
    <w:bookmarkStart w:id="55" w:name="page56"/>
    <w:bookmarkEnd w:id="5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Non-U.S. Retirement Plans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Retirement coverage for non-U.S. employees of the Company is provided, to the extent deemed appropriate, through separate defined benefit and defined contribution plans. Retirement benefits are generally based on an employee’s years of service and compensation. Funding requirements are determined on an individual country and plan basis and subject to local country practices and market circumstances. A substantial majority of the non-U.S. pension obligations and assets are associated with the defined benefit plan in Japan.</w:t>
      </w:r>
    </w:p>
    <w:p>
      <w:pPr>
        <w:spacing w:after="0" w:line="130"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As of December 31, 2004 and 2003, in accordance with the election of employees, TI’s non-U.S. defined contribution plans held shares of TI common stock totaling 0.9 million shares and 1.5 million shares valued at $21 million and $45 million. Dividends received on these shares for 2004 and 2003 totaled $105 thousand and $132 thousand.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Effect on the Statement of Operations and Balance Sheet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of the defined benefit and retiree health care benefit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Non-U.S.</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780" w:type="dxa"/>
            <w:vAlign w:val="bottom"/>
            <w:gridSpan w:val="8"/>
          </w:tcPr>
          <w:p>
            <w:pPr>
              <w:jc w:val="right"/>
              <w:ind w:right="492"/>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5"/>
                <w:szCs w:val="15"/>
                <w:color w:val="auto"/>
              </w:rPr>
            </w:pPr>
          </w:p>
        </w:tc>
        <w:tc>
          <w:tcPr>
            <w:tcW w:w="1680" w:type="dxa"/>
            <w:vAlign w:val="bottom"/>
            <w:gridSpan w:val="11"/>
          </w:tcPr>
          <w:p>
            <w:pPr>
              <w:jc w:val="right"/>
              <w:ind w:right="440"/>
              <w:spacing w:after="0"/>
              <w:rPr>
                <w:sz w:val="20"/>
                <w:szCs w:val="20"/>
                <w:color w:val="auto"/>
              </w:rPr>
            </w:pPr>
            <w:r>
              <w:rPr>
                <w:rFonts w:ascii="Arial" w:cs="Arial" w:eastAsia="Arial" w:hAnsi="Arial"/>
                <w:sz w:val="14"/>
                <w:szCs w:val="14"/>
                <w:b w:val="1"/>
                <w:bCs w:val="1"/>
                <w:color w:val="auto"/>
                <w:w w:val="94"/>
              </w:rPr>
              <w:t>Retiree Health Care</w:t>
            </w:r>
          </w:p>
        </w:tc>
        <w:tc>
          <w:tcPr>
            <w:tcW w:w="16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7"/>
              </w:rPr>
              <w:t>Defined 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22"/>
                <w:szCs w:val="22"/>
                <w:color w:val="auto"/>
              </w:rPr>
            </w:pPr>
          </w:p>
        </w:tc>
        <w:tc>
          <w:tcPr>
            <w:tcW w:w="480" w:type="dxa"/>
            <w:vAlign w:val="bottom"/>
            <w:gridSpan w:val="3"/>
          </w:tcPr>
          <w:p>
            <w:pPr>
              <w:jc w:val="center"/>
              <w:ind w:left="57"/>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w:t>
            </w: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$ 52</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(21)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$ 44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w:t>
            </w: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$ 76</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50825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08250" cy="29845"/>
                    </a:xfrm>
                    <a:prstGeom prst="rect">
                      <a:avLst/>
                    </a:prstGeom>
                    <a:noFill/>
                  </pic:spPr>
                </pic:pic>
              </a:graphicData>
            </a:graphic>
          </wp:anchor>
        </w:drawing>
      </w:r>
    </w:p>
    <w:p>
      <w:pPr>
        <w:spacing w:after="0" w:line="225"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For the U.S. plans, the expected return on plan assets component of net periodic benefit expense is based upon the market-related value of assets. The market-related value of assets utilizes a smoothing technique whereby certain gains and losses in excess of assumptions are phased into the value over a period of 3 years.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Settlement and curtailment (gains)/losses and special termination benefit costs were not significant for any of the periods presented.</w:t>
      </w:r>
    </w:p>
    <w:p>
      <w:pPr>
        <w:spacing w:after="0" w:line="166"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80" w:right="239" w:bottom="1440" w:gutter="0" w:footer="0" w:header="0"/>
        </w:sectPr>
      </w:pPr>
    </w:p>
    <w:bookmarkStart w:id="56" w:name="page57"/>
    <w:bookmarkEnd w:id="56"/>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measurement date for the U.S. plans was December 31. The measurement date for the non-U.S. plans was September 30. Obligation and asset data for the defined benefit and retiree health care benefit plans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1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5"/>
                <w:szCs w:val="15"/>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Retiree Health Care</w:t>
            </w:r>
          </w:p>
        </w:tc>
        <w:tc>
          <w:tcPr>
            <w:tcW w:w="100" w:type="dxa"/>
            <w:vAlign w:val="bottom"/>
          </w:tcPr>
          <w:p>
            <w:pPr>
              <w:spacing w:after="0"/>
              <w:rPr>
                <w:sz w:val="15"/>
                <w:szCs w:val="15"/>
                <w:color w:val="auto"/>
              </w:rPr>
            </w:pPr>
          </w:p>
        </w:tc>
        <w:tc>
          <w:tcPr>
            <w:tcW w:w="12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Defined 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Change in projected benefit obligation:</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8"/>
                <w:szCs w:val="18"/>
                <w:color w:val="auto"/>
                <w:w w:val="96"/>
              </w:rPr>
              <w:t>Benefit obligation at beginning of year</w:t>
            </w:r>
          </w:p>
        </w:tc>
        <w:tc>
          <w:tcPr>
            <w:tcW w:w="4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742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699</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(46)</w:t>
            </w:r>
          </w:p>
        </w:tc>
        <w:tc>
          <w:tcPr>
            <w:tcW w:w="1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Actuarial (gain)/loss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Curtailments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1,391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652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446</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Employer contribution</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Participant contribution</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(45)</w:t>
            </w:r>
          </w:p>
        </w:tc>
        <w:tc>
          <w:tcPr>
            <w:tcW w:w="1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Benefits payable</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Actuarial losses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Fair value of plan assets at end of year</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Funded status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w w:val="99"/>
              </w:rPr>
              <w:t>Unrecognized net actuarial loss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Unrecognized prior service cost</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w w:val="92"/>
              </w:rPr>
              <w:t>Unrecognized transition obligation</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Adjustments from Sept. 30 to Dec. 31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Accrued retirement costs at end of year</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Amounts recognized in the balance sheet consist of:</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Accrued retirement, current</w:t>
            </w:r>
          </w:p>
        </w:tc>
        <w:tc>
          <w:tcPr>
            <w:tcW w:w="4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Accrued retirement, noncurrent</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Prepaid benefit cost</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202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0" w:type="dxa"/>
            <w:vAlign w:val="bottom"/>
            <w:gridSpan w:val="4"/>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32"/>
        </w:trPr>
        <w:tc>
          <w:tcPr>
            <w:tcW w:w="400" w:type="dxa"/>
            <w:vAlign w:val="bottom"/>
            <w:gridSpan w:val="2"/>
          </w:tcPr>
          <w:p>
            <w:pPr>
              <w:spacing w:after="0"/>
              <w:rPr>
                <w:sz w:val="11"/>
                <w:szCs w:val="11"/>
                <w:color w:val="auto"/>
              </w:rPr>
            </w:pPr>
          </w:p>
        </w:tc>
        <w:tc>
          <w:tcPr>
            <w:tcW w:w="24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00" w:type="dxa"/>
            <w:vAlign w:val="bottom"/>
            <w:gridSpan w:val="2"/>
            <w:vMerge w:val="restart"/>
          </w:tcPr>
          <w:p>
            <w:pPr>
              <w:spacing w:after="0"/>
              <w:rPr>
                <w:sz w:val="20"/>
                <w:szCs w:val="20"/>
                <w:color w:val="auto"/>
              </w:rPr>
            </w:pPr>
            <w:r>
              <w:rPr>
                <w:rFonts w:ascii="Arial" w:cs="Arial" w:eastAsia="Arial" w:hAnsi="Arial"/>
                <w:sz w:val="18"/>
                <w:szCs w:val="18"/>
                <w:color w:val="auto"/>
              </w:rPr>
              <w:t>26</w:t>
            </w:r>
          </w:p>
        </w:tc>
        <w:tc>
          <w:tcPr>
            <w:tcW w:w="24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vMerge w:val="restart"/>
          </w:tcPr>
          <w:p>
            <w:pPr>
              <w:spacing w:after="0"/>
              <w:rPr>
                <w:sz w:val="22"/>
                <w:szCs w:val="22"/>
                <w:color w:val="auto"/>
              </w:rPr>
            </w:pPr>
          </w:p>
        </w:tc>
        <w:tc>
          <w:tcPr>
            <w:tcW w:w="4240" w:type="dxa"/>
            <w:vAlign w:val="bottom"/>
            <w:vMerge w:val="restart"/>
          </w:tcPr>
          <w:p>
            <w:pPr>
              <w:ind w:left="60"/>
              <w:spacing w:after="0"/>
              <w:rPr>
                <w:sz w:val="20"/>
                <w:szCs w:val="20"/>
                <w:color w:val="auto"/>
              </w:rPr>
            </w:pPr>
            <w:r>
              <w:rPr>
                <w:rFonts w:ascii="Arial" w:cs="Arial" w:eastAsia="Arial" w:hAnsi="Arial"/>
                <w:sz w:val="18"/>
                <w:szCs w:val="18"/>
                <w:color w:val="auto"/>
              </w:rPr>
              <w:t>2004 ANNUAL REPORT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0" w:type="dxa"/>
            <w:vAlign w:val="bottom"/>
            <w:gridSpan w:val="2"/>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vMerge w:val="continue"/>
          </w:tcPr>
          <w:p>
            <w:pPr>
              <w:spacing w:after="0"/>
              <w:rPr>
                <w:sz w:val="18"/>
                <w:szCs w:val="18"/>
                <w:color w:val="auto"/>
              </w:rPr>
            </w:pPr>
          </w:p>
        </w:tc>
        <w:tc>
          <w:tcPr>
            <w:tcW w:w="4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-4692650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-4692650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-4692650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-4692650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-4692650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-4692650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-4692650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-4692650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-4692650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-4692650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-4692650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-4692650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-4692650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-4692650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-4692650</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-4692650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-4692650</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-4692650</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-4392295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-4392295</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-4392295</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-4392295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-4392295</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-4392295</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-4392295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-4392295</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-4392295</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-4392295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-4392295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-4392295</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-4392295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-4392295</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-4392295</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-4392295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-4392295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-4392295</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-1596390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-1596390</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-1596390</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-1596390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-1596390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-1596390</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-1596390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-1596390</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-1596390</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-1596390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-1596390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-1596390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-1596390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-1596390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-1596390</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-1596390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-1596390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-1596390</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-327025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-327025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-327025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-327025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-327025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-327025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-327025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-327025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-327025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-327025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-327025</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-327025</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-327025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-327025</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-327025</wp:posOffset>
            </wp:positionV>
            <wp:extent cx="3873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-327025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-327025</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-327025</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7" w:name="page58"/>
    <w:bookmarkEnd w:id="57"/>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preceding table presents aggregate information for all plans reported. The following presents the obligation and asset information for only those plans that have projected benefit obligations in excess of plan assets or plans that have accumulated benefit obligations in excess of plan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U.S.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Defined Benefit</w:t>
            </w:r>
          </w:p>
        </w:tc>
        <w:tc>
          <w:tcPr>
            <w:tcW w:w="220" w:type="dxa"/>
            <w:vAlign w:val="bottom"/>
          </w:tcPr>
          <w:p>
            <w:pPr>
              <w:spacing w:after="0"/>
              <w:rPr>
                <w:sz w:val="15"/>
                <w:szCs w:val="15"/>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Defined 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9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2003</w:t>
            </w: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Plans with projected benefit obligations greater than assets: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Projected benefit obligations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1"/>
              </w:rPr>
              <w:t>$ 22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742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$1,609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assets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322"/>
        </w:trPr>
        <w:tc>
          <w:tcPr>
            <w:tcW w:w="8940" w:type="dxa"/>
            <w:vAlign w:val="bottom"/>
            <w:gridSpan w:val="2"/>
          </w:tcPr>
          <w:p>
            <w:pPr>
              <w:spacing w:after="0"/>
              <w:rPr>
                <w:sz w:val="20"/>
                <w:szCs w:val="20"/>
                <w:color w:val="auto"/>
              </w:rPr>
            </w:pPr>
            <w:r>
              <w:rPr>
                <w:rFonts w:ascii="Arial" w:cs="Arial" w:eastAsia="Arial" w:hAnsi="Arial"/>
                <w:sz w:val="18"/>
                <w:szCs w:val="18"/>
                <w:color w:val="auto"/>
              </w:rPr>
              <w:t>Plans with accumulated benefit obligations greater than assets: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benefit obligations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$ 17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Plan assets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Assumptions and Investment Policies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order to select a discount rate for purposes of fiscal year-end disclosure, the Company looks first at high-quality bond indices in each country. The discount rate selected is based upon a combination of methodologies that include reviewing these indices, a yield curve analysis developed from the universe of available Aa (or higher-rated) bonds with which future plan cash flows could be settled according to rates along the yield curve, and a bond analysis in which a portfolio of available Aa (or higher-rated) bonds is modeled so that the bond cash flows settle the future plan cash flows. One or more of these methodologies is used to develop an appropriate rate. The result of the discount rate analysis is rounded to the nearest .25%.</w:t>
      </w:r>
    </w:p>
    <w:p>
      <w:pPr>
        <w:spacing w:after="0" w:line="10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range of assumptions used for the non-U.S. defined benefit plans reflects the different economic environments within the various countries. The assumptions for the non-U.S plans were determined at September 30 and the assumptions for the U.S. plans were determined at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Retiree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Defined Benefit</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Health Care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Pr>
          <w:p>
            <w:pPr>
              <w:spacing w:after="0"/>
              <w:rPr>
                <w:sz w:val="22"/>
                <w:szCs w:val="22"/>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2004</w:t>
            </w:r>
          </w:p>
        </w:tc>
        <w:tc>
          <w:tcPr>
            <w:tcW w:w="5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2003</w:t>
            </w:r>
          </w:p>
        </w:tc>
        <w:tc>
          <w:tcPr>
            <w:tcW w:w="4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U.S. assumed discount rate</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5.75%</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6.00%</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5.50%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Non-U.S. assumed discount rate:</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High</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5.50%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Low</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2.25%</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U.S. average long-term pay progression</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4.00%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Non-U.S. average long-term pay progression:</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High</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4.50%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Low</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U.S. assumed discount rate</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5.98%</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6.29%</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5.94%</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Non-U.S. assumed discount rate: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5.50%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Low</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2.25%</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U.S. assumed long-term rate of return on plan assets</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8.00%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8.00%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7.56%</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Non-U.S. assumed long-term rate of return on plan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6.00%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Low</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3.50%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U.S. average long-term pay progression</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4.35%</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Non-U.S. average long-term pay progression: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4.50%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Low</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500" w:type="dxa"/>
            <w:vAlign w:val="bottom"/>
            <w:vMerge w:val="restart"/>
          </w:tcPr>
          <w:p>
            <w:pPr>
              <w:ind w:left="6520"/>
              <w:spacing w:after="0"/>
              <w:rPr>
                <w:sz w:val="20"/>
                <w:szCs w:val="20"/>
                <w:color w:val="auto"/>
              </w:rPr>
            </w:pPr>
            <w:r>
              <w:rPr>
                <w:rFonts w:ascii="Arial" w:cs="Arial" w:eastAsia="Arial" w:hAnsi="Arial"/>
                <w:sz w:val="18"/>
                <w:szCs w:val="18"/>
                <w:b w:val="1"/>
                <w:bCs w:val="1"/>
                <w:color w:val="auto"/>
              </w:rPr>
              <w:t>TEXAS INSTRUMENTS</w:t>
            </w:r>
          </w:p>
        </w:tc>
        <w:tc>
          <w:tcPr>
            <w:tcW w:w="120" w:type="dxa"/>
            <w:vAlign w:val="bottom"/>
          </w:tcPr>
          <w:p>
            <w:pPr>
              <w:spacing w:after="0"/>
              <w:rPr>
                <w:sz w:val="11"/>
                <w:szCs w:val="11"/>
                <w:color w:val="auto"/>
              </w:rPr>
            </w:pPr>
          </w:p>
        </w:tc>
        <w:tc>
          <w:tcPr>
            <w:tcW w:w="2320" w:type="dxa"/>
            <w:vAlign w:val="bottom"/>
            <w:gridSpan w:val="6"/>
            <w:vMerge w:val="restart"/>
          </w:tcPr>
          <w:p>
            <w:pPr>
              <w:ind w:left="200"/>
              <w:spacing w:after="0"/>
              <w:rPr>
                <w:sz w:val="20"/>
                <w:szCs w:val="20"/>
                <w:color w:val="auto"/>
              </w:rPr>
            </w:pPr>
            <w:r>
              <w:rPr>
                <w:rFonts w:ascii="Arial" w:cs="Arial" w:eastAsia="Arial" w:hAnsi="Arial"/>
                <w:sz w:val="18"/>
                <w:szCs w:val="18"/>
                <w:color w:val="auto"/>
              </w:rPr>
              <w:t>2004 ANNUAL REPORT</w:t>
            </w:r>
          </w:p>
        </w:tc>
        <w:tc>
          <w:tcPr>
            <w:tcW w:w="460" w:type="dxa"/>
            <w:vAlign w:val="bottom"/>
            <w:gridSpan w:val="2"/>
            <w:vMerge w:val="restart"/>
          </w:tcPr>
          <w:p>
            <w:pPr>
              <w:ind w:lef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320" w:type="dxa"/>
            <w:vAlign w:val="bottom"/>
            <w:gridSpan w:val="6"/>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8" w:name="page59"/>
    <w:bookmarkEnd w:id="5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expected long-term rate of return on plan assets assumptions are based upon actual historical returns, future expectations for returns for each asset class and the effect of periodic target asset allocation rebalancing. The results are adjusted for the payment of reasonable expenses of the plan from plan assets. The historical long-term return on the plans’ assets has exceeded the selected rates and management believes these assumptions are appropriate based upon the mix of the investments and the long-term nature of the plans’ investments.</w:t>
      </w:r>
    </w:p>
    <w:p>
      <w:pPr>
        <w:spacing w:after="0" w:line="13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For 2005, management is reducing the rate of return assumption for both the U.S. defined benefit and retiree health care benefit plans to 7.0%, based upon revised expectations for returns for each asset class and reflecting a decision to move gradually over several years to an asset allocation policy for the U.S. defined benefit plan with less emphasis on equity investments. This allocation move is designed to better match the plan’s assets with the liability structure as the plan matures.</w:t>
      </w:r>
    </w:p>
    <w:p>
      <w:pPr>
        <w:spacing w:after="0" w:line="7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 The asset allocations for the retiree health care benefit plan are intended to represent the long-term targeted mix rather than a current mix.</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vMerge w:val="restart"/>
          </w:tcPr>
          <w:p>
            <w:pPr>
              <w:spacing w:after="0"/>
              <w:rPr>
                <w:sz w:val="8"/>
                <w:szCs w:val="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Defined</w:t>
            </w: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Retiree</w:t>
            </w:r>
          </w:p>
        </w:tc>
        <w:tc>
          <w:tcPr>
            <w:tcW w:w="40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Defined</w:t>
            </w:r>
          </w:p>
        </w:tc>
        <w:tc>
          <w:tcPr>
            <w:tcW w:w="0" w:type="dxa"/>
            <w:vAlign w:val="bottom"/>
          </w:tcPr>
          <w:p>
            <w:pPr>
              <w:spacing w:after="0"/>
              <w:rPr>
                <w:sz w:val="1"/>
                <w:szCs w:val="1"/>
                <w:color w:val="auto"/>
              </w:rPr>
            </w:pPr>
          </w:p>
        </w:tc>
      </w:tr>
      <w:tr>
        <w:trPr>
          <w:trHeight w:val="174"/>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Benefit</w:t>
            </w:r>
          </w:p>
        </w:tc>
        <w:tc>
          <w:tcPr>
            <w:tcW w:w="3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Health Care</w:t>
            </w:r>
          </w:p>
        </w:tc>
        <w:tc>
          <w:tcPr>
            <w:tcW w:w="4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50%–75%</w:t>
            </w:r>
          </w:p>
        </w:tc>
        <w:tc>
          <w:tcPr>
            <w:tcW w:w="1100" w:type="dxa"/>
            <w:vAlign w:val="bottom"/>
            <w:gridSpan w:val="2"/>
            <w:shd w:val="clear" w:color="auto" w:fill="CCEEFF"/>
          </w:tcPr>
          <w:p>
            <w:pPr>
              <w:jc w:val="center"/>
              <w:ind w:left="299"/>
              <w:spacing w:after="0"/>
              <w:rPr>
                <w:sz w:val="20"/>
                <w:szCs w:val="20"/>
                <w:color w:val="auto"/>
              </w:rPr>
            </w:pPr>
            <w:r>
              <w:rPr>
                <w:rFonts w:ascii="Arial" w:cs="Arial" w:eastAsia="Arial" w:hAnsi="Arial"/>
                <w:sz w:val="18"/>
                <w:szCs w:val="18"/>
                <w:color w:val="auto"/>
                <w:w w:val="88"/>
              </w:rPr>
              <w:t>75%</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50%–90%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Fixed income securities and cash</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0"/>
              </w:rPr>
              <w:t>25%–50%</w:t>
            </w:r>
          </w:p>
        </w:tc>
        <w:tc>
          <w:tcPr>
            <w:tcW w:w="1100" w:type="dxa"/>
            <w:vAlign w:val="bottom"/>
            <w:gridSpan w:val="2"/>
          </w:tcPr>
          <w:p>
            <w:pPr>
              <w:jc w:val="center"/>
              <w:ind w:left="299"/>
              <w:spacing w:after="0"/>
              <w:rPr>
                <w:sz w:val="20"/>
                <w:szCs w:val="20"/>
                <w:color w:val="auto"/>
              </w:rPr>
            </w:pPr>
            <w:r>
              <w:rPr>
                <w:rFonts w:ascii="Arial" w:cs="Arial" w:eastAsia="Arial" w:hAnsi="Arial"/>
                <w:sz w:val="18"/>
                <w:szCs w:val="18"/>
                <w:color w:val="auto"/>
                <w:w w:val="88"/>
              </w:rPr>
              <w:t>25%</w:t>
            </w:r>
          </w:p>
        </w:tc>
        <w:tc>
          <w:tcPr>
            <w:tcW w:w="40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87"/>
              </w:rPr>
              <w:t>10%–50%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defined benefit plans, it is intended that the investments will be rebalanced when the allocation is not within the target range. Additional contributions are invested consistent with the target ranges and may be used to rebalance the portfolio. The investment allocations and individual investments are chosen with regard to the duration of the obligations of the plan. A small portion of the retiree health care benefit plan assets are invested in an account within the pension trust and are invested in a like manner as the other pension assets. The majority of the assets in the retiree health care benefit plan are invested in a series of Voluntary Employee Benefit Association (VEBA) trusts. For tax efficiency, the investments in the VEBAs are not rebalanced but additional contributions to the trusts may be used to rebalance the portfolio.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for U.S. plans at December 31 and non-U.S. plans at September 30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Non-U.S.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Defined</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Retiree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Defined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8"/>
              </w:rPr>
              <w:t>Benefit</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Health Care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4"/>
              </w:rPr>
              <w:t>Benefit</w:t>
            </w:r>
          </w:p>
        </w:tc>
        <w:tc>
          <w:tcPr>
            <w:tcW w:w="0" w:type="dxa"/>
            <w:vAlign w:val="bottom"/>
          </w:tcPr>
          <w:p>
            <w:pPr>
              <w:spacing w:after="0"/>
              <w:rPr>
                <w:sz w:val="1"/>
                <w:szCs w:val="1"/>
                <w:color w:val="auto"/>
              </w:rPr>
            </w:pPr>
          </w:p>
        </w:tc>
      </w:tr>
      <w:tr>
        <w:trPr>
          <w:trHeight w:val="95"/>
        </w:trPr>
        <w:tc>
          <w:tcPr>
            <w:tcW w:w="1260" w:type="dxa"/>
            <w:vAlign w:val="bottom"/>
            <w:gridSpan w:val="2"/>
          </w:tcPr>
          <w:p>
            <w:pPr>
              <w:spacing w:after="0"/>
              <w:rPr>
                <w:sz w:val="8"/>
                <w:szCs w:val="8"/>
                <w:color w:val="auto"/>
              </w:rPr>
            </w:pPr>
          </w:p>
        </w:tc>
        <w:tc>
          <w:tcPr>
            <w:tcW w:w="39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35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400" w:type="dxa"/>
            <w:vAlign w:val="bottom"/>
          </w:tcPr>
          <w:p>
            <w:pPr>
              <w:spacing w:after="0"/>
              <w:rPr>
                <w:sz w:val="22"/>
                <w:szCs w:val="22"/>
                <w:color w:val="auto"/>
              </w:rPr>
            </w:pPr>
          </w:p>
        </w:tc>
        <w:tc>
          <w:tcPr>
            <w:tcW w:w="78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w w:val="96"/>
              </w:rPr>
              <w:t>2004</w:t>
            </w:r>
          </w:p>
        </w:tc>
        <w:tc>
          <w:tcPr>
            <w:tcW w:w="7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3"/>
              </w:rPr>
              <w:t>2003</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5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69%</w:t>
            </w:r>
          </w:p>
        </w:tc>
        <w:tc>
          <w:tcPr>
            <w:tcW w:w="6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74%</w:t>
            </w:r>
          </w:p>
        </w:tc>
        <w:tc>
          <w:tcPr>
            <w:tcW w:w="7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65%</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Fixed income securities and cash</w:t>
            </w:r>
          </w:p>
        </w:tc>
        <w:tc>
          <w:tcPr>
            <w:tcW w:w="356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rPr>
              <w:t>31%</w:t>
            </w:r>
          </w:p>
        </w:tc>
        <w:tc>
          <w:tcPr>
            <w:tcW w:w="660" w:type="dxa"/>
            <w:vAlign w:val="bottom"/>
            <w:gridSpan w:val="2"/>
          </w:tcPr>
          <w:p>
            <w:pPr>
              <w:jc w:val="right"/>
              <w:ind w:right="172"/>
              <w:spacing w:after="0"/>
              <w:rPr>
                <w:sz w:val="20"/>
                <w:szCs w:val="20"/>
                <w:color w:val="auto"/>
              </w:rPr>
            </w:pPr>
            <w:r>
              <w:rPr>
                <w:rFonts w:ascii="Arial" w:cs="Arial" w:eastAsia="Arial" w:hAnsi="Arial"/>
                <w:sz w:val="18"/>
                <w:szCs w:val="18"/>
                <w:color w:val="auto"/>
              </w:rPr>
              <w:t>26%</w:t>
            </w:r>
          </w:p>
        </w:tc>
        <w:tc>
          <w:tcPr>
            <w:tcW w:w="78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rPr>
              <w:t>35%</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45%</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99"/>
              </w:rPr>
              <w:t>24%</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There are no significant restrictions on the amount or nature of the investments that may be acquired or held by the plans. In addition, none of the plan assets related to the defined benefit pension plans and retiree health care benefit plan are directly invested in TI common stock.</w:t>
      </w:r>
    </w:p>
    <w:p>
      <w:pPr>
        <w:spacing w:after="0" w:line="7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made discretionary contributions to the U.S. defined benefit pension plan of $127 million and $137 million and to the retiree health care benefit plan of $95 million and $13 million in 2004 and 2003. The Company’s objective is to, at a minimum, fully fund the accumulated benefit obligation of the U.S. defined benefit pension plan subject to tax deductibility limits. Contributions to each plan meet or exceed minimum funding requirements, if applicable. The Company expects to contribute approximately $300 million to its non-U.S. defined benefit pension plans in 2005.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28</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59" w:name="page60"/>
    <w:bookmarkEnd w:id="59"/>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projects the benefits expected to be paid to participants from the plans in each of the following years. The majority of the payments will be paid from plan assets and not Company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Retiree</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Non-U.S.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Defined</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Health</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2"/>
                <w:szCs w:val="12"/>
                <w:color w:val="auto"/>
              </w:rPr>
            </w:pP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Defined</w:t>
            </w:r>
          </w:p>
        </w:tc>
        <w:tc>
          <w:tcPr>
            <w:tcW w:w="0" w:type="dxa"/>
            <w:vAlign w:val="bottom"/>
          </w:tcPr>
          <w:p>
            <w:pPr>
              <w:spacing w:after="0"/>
              <w:rPr>
                <w:sz w:val="1"/>
                <w:szCs w:val="1"/>
                <w:color w:val="auto"/>
              </w:rPr>
            </w:pPr>
          </w:p>
        </w:tc>
      </w:tr>
      <w:tr>
        <w:trPr>
          <w:trHeight w:val="174"/>
        </w:trPr>
        <w:tc>
          <w:tcPr>
            <w:tcW w:w="7020" w:type="dxa"/>
            <w:vAlign w:val="bottom"/>
            <w:gridSpan w:val="3"/>
          </w:tcPr>
          <w:p>
            <w:pPr>
              <w:spacing w:after="0"/>
              <w:rPr>
                <w:sz w:val="20"/>
                <w:szCs w:val="20"/>
                <w:color w:val="auto"/>
              </w:rPr>
            </w:pPr>
            <w:r>
              <w:rPr>
                <w:rFonts w:ascii="Arial" w:cs="Arial" w:eastAsia="Arial" w:hAnsi="Arial"/>
                <w:sz w:val="14"/>
                <w:szCs w:val="14"/>
                <w:b w:val="1"/>
                <w:bCs w:val="1"/>
                <w:color w:val="auto"/>
              </w:rPr>
              <w:t>Expected Benefit Payments</w:t>
            </w:r>
          </w:p>
        </w:tc>
        <w:tc>
          <w:tcPr>
            <w:tcW w:w="920" w:type="dxa"/>
            <w:vAlign w:val="bottom"/>
          </w:tcPr>
          <w:p>
            <w:pPr>
              <w:spacing w:after="0"/>
              <w:rPr>
                <w:sz w:val="15"/>
                <w:szCs w:val="15"/>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Benefit</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Care</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Subsidy</w:t>
            </w:r>
          </w:p>
        </w:tc>
        <w:tc>
          <w:tcPr>
            <w:tcW w:w="100" w:type="dxa"/>
            <w:vAlign w:val="bottom"/>
          </w:tcPr>
          <w:p>
            <w:pPr>
              <w:spacing w:after="0"/>
              <w:rPr>
                <w:sz w:val="15"/>
                <w:szCs w:val="15"/>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9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78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33</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2006</w:t>
            </w:r>
          </w:p>
        </w:tc>
        <w:tc>
          <w:tcPr>
            <w:tcW w:w="4920" w:type="dxa"/>
            <w:vAlign w:val="bottom"/>
          </w:tcPr>
          <w:p>
            <w:pPr>
              <w:spacing w:after="0"/>
              <w:rPr>
                <w:sz w:val="18"/>
                <w:szCs w:val="18"/>
                <w:color w:val="auto"/>
              </w:rPr>
            </w:pP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69</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9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2008</w:t>
            </w:r>
          </w:p>
        </w:tc>
        <w:tc>
          <w:tcPr>
            <w:tcW w:w="4920" w:type="dxa"/>
            <w:vAlign w:val="bottom"/>
          </w:tcPr>
          <w:p>
            <w:pPr>
              <w:spacing w:after="0"/>
              <w:rPr>
                <w:sz w:val="18"/>
                <w:szCs w:val="18"/>
                <w:color w:val="auto"/>
              </w:rPr>
            </w:pP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73</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9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2010-2014</w:t>
            </w:r>
          </w:p>
        </w:tc>
        <w:tc>
          <w:tcPr>
            <w:tcW w:w="4920" w:type="dxa"/>
            <w:vAlign w:val="bottom"/>
          </w:tcPr>
          <w:p>
            <w:pPr>
              <w:spacing w:after="0"/>
              <w:rPr>
                <w:sz w:val="19"/>
                <w:szCs w:val="19"/>
                <w:color w:val="auto"/>
              </w:rPr>
            </w:pP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335</w:t>
            </w:r>
          </w:p>
        </w:tc>
        <w:tc>
          <w:tcPr>
            <w:tcW w:w="420" w:type="dxa"/>
            <w:vAlign w:val="bottom"/>
          </w:tcPr>
          <w:p>
            <w:pPr>
              <w:jc w:val="right"/>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(25)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020" w:type="dxa"/>
            <w:vAlign w:val="bottom"/>
            <w:gridSpan w:val="3"/>
          </w:tcPr>
          <w:p>
            <w:pPr>
              <w:spacing w:after="0"/>
              <w:rPr>
                <w:sz w:val="20"/>
                <w:szCs w:val="20"/>
                <w:color w:val="auto"/>
              </w:rPr>
            </w:pPr>
            <w:r>
              <w:rPr>
                <w:rFonts w:ascii="Arial" w:cs="Arial" w:eastAsia="Arial" w:hAnsi="Arial"/>
                <w:sz w:val="18"/>
                <w:szCs w:val="18"/>
                <w:color w:val="auto"/>
                <w:w w:val="99"/>
              </w:rPr>
              <w:t>Assumed health care cost trend rates for U.S. retiree health care plans at December 31:</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Retiree Health Care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4"/>
          </w:tcPr>
          <w:p>
            <w:pPr>
              <w:ind w:left="52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health care trend rate for next year</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Attributed to less than age 65</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11.0%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Attributed to age 65 or greater</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6"/>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Ultimate trend rate</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5.0%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in which ultimate trend rate is reached</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Attributed to less than age 65</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5"/>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Attributed to age 65 or greater</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4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Increasing or decreasing health care cost trend rates by one percentage point would have increased (decreased) the accumulated post retirement benefit obligation at December 31, 2004, by $18 million/$(19) million and the service cost and interest cost components of 2004 plan expense by $1 million/$(1) million.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a non-qualified deferred compensation plan, which allows certain highly-compensated employees the option to defer the receipt of a portion of their salary, bonus, profit sharing and non-qualified pension benefits. Employees who participate in the deferred compensation plan can select one of five distribution options offered by the plan. Payments are made after the employee terminates, based on their distribution election and plan balance. Participants can earn a return on their deferred compensation that is based on hypothetical investments in the same mutual funds and TI common stock offered in the Company’s 401(k) plan. Changes in the market value of these participant investments are reflected as an adjustment to the deferred compensation liability of the Company with an offset to compensation expense.</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December 31, 2004, the liability of the Company to the participants of the deferred compensation plan was $166 million and is recorded in noncurrent liabilities. This amount reflects the accumulated participant deferrals and earnings thereon as of that date. The Company makes no contributions to the deferred compensation plan and so remains contingently liable to the participants. However, to serve as an economic hedge of the financial impact of changes in market values of these hypothetical investments, the Company invests in similar mutual funds and has entered into a forward purchase contract. Changes in the fair value of these mutual fund investments are recognized as an offset to compensation expense. (See Note 5 for discussion of related investments.)</w:t>
      </w:r>
    </w:p>
    <w:p>
      <w:pPr>
        <w:spacing w:after="0" w:line="10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 shares of TI common stock are actually held for the account of participants. The Company has a forward purchase contract with a commercial bank to acquire 1,180,000 shares of the Company’s common stock at a set fixed price at the end of the contract term or, at the Company’s option, to settle in cash with the bank. The contract is intended to be an economic hedge to minimize the earnings impact from the effect of fluctuations in stock market prices on the portion of the Company’s deferred compensation plan obligations that are denominated in TI stock. The forward contract is marked-to-market with any changes reflected in compensation expense. The contract is renewed on an annual basis.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80" w:right="239" w:bottom="1440" w:gutter="0" w:footer="0" w:header="0"/>
        </w:sectPr>
      </w:pPr>
    </w:p>
    <w:bookmarkStart w:id="60" w:name="page61"/>
    <w:bookmarkEnd w:id="60"/>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2004, as a result of certain provisions within the recently enacted Jobs Creation Act, the existing deferred compensation plan was closed to deferral elections for compensation earned after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Profit Sharing Plans</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sponsors various profit sharing plans, the largest of which is the TI employee profit sharing plan. Profit sharing benefits are generally formulaic and determined by one or more business or company-wide financial metrics. The Company recognized $243 million of profit sharing expense under the TI employee profit sharing plan in 2004 but no expenses under this plan were recognized in 2003 or 2002.</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profit sharing plans worldwide provide that, depending upon the individual plan, a portion of the profit sharing earned by employees may be contributed to a deferred plan. Several investment options are made available to employees for deferred amounts, including investing in TI common stock. The Board of Directors of the Company has authorized the issuance of 36.9 million shares of previously unissued TI common shares for deferred profit sharing and savings plans worldwide. None has been issued in the three years ended December 31, 2004. Instead, the trustees of these plans worldwide have purchased outstanding TI common shares from the open market to fund the requirements of these plans: 3.0 million shares in 2004, 12.3 million shares in 2003 and 12.6 million shares in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Effective January 1, 2003, the Company adopted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which requires companies to record restructuring charges as they are incurred. (Prior periods are still covered by EITF 94-3.)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2003 Restructuring Programs</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915 jobs through voluntary retirement and involuntary termination programs through 2005, primarily in manufacturing operations at the Attleboro headquarters of the Sensors &amp; Controls business. The total cost of this restructuring action is expected to be about $63 million.</w:t>
      </w:r>
    </w:p>
    <w:p>
      <w:pPr>
        <w:spacing w:after="0" w:line="99"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During 2004 and 2003, the Company recorded net pretax charges of $13 million and $40 million, primarily for severance costs. As of December 31, 2004, a total of 627 employees have been terminated, primarily at the Attleboro and Japan locations. The remaining charges are expected to be completed by the end of 2006.</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Semiconductor Restructuring Action: In the second quarter of 2003, the Company announced a restructuring action that is expected to affect about 900 jobs in Semiconductor manufacturing operations in the U.S. and international locations, as those operations continue to become more productive with fewer people. The total cost of this restructuring action is expected to be about $82 million.</w:t>
      </w:r>
    </w:p>
    <w:p>
      <w:pPr>
        <w:spacing w:after="0" w:line="12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During 2004 and 2003, the Company recorded net pretax charges of $4 million and $78 million, primarily for severance costs. As of December 31, 2004, a total of 875 employees have been terminated, primarily at locations in the U.S., Japan and Germany. The remaining charges are expected to be completed in 2005.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2002 and Prior Years Restructuring Programs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2002 Semiconductor Action: In late 2002, the Company announced a plan to involuntarily terminate about 500 employees, primarily in manufacturing operations, to align resources with market demand. The Company recorded net pretax charges of $17 million in severance and benefit costs. As of December 31, 2004, all employees have been terminated and a balance of $1 million of severance and benefit costs remains to be paid through 2005. Most of the employees terminated were in U.S. locations while the remaining employees were in some of the Company’s international locations.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30</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00"/>
          </w:cols>
          <w:pgMar w:left="240" w:top="280" w:right="259" w:bottom="1440" w:gutter="0" w:footer="0" w:header="0"/>
        </w:sectPr>
      </w:pPr>
    </w:p>
    <w:bookmarkStart w:id="61" w:name="page62"/>
    <w:bookmarkEnd w:id="61"/>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2001 Semiconductor Action: In 2001, the Company began an aggressive worldwide cost-reduction plan to limit the impact of reduced revenue on profitability. The elements of the cost-reduction plan, described below, were a voluntary retirement program, involuntary terminations and the consolidation of certain manufacturing operations including the closing of three Semiconductor facilities in Santa Cruz, California; Merrimack, New Hampshire; and Tustin, California. Employees affected by this plan, primarily in manufacturing operations, totaled 5724. Beginning in 2001, the Company recorded net pretax charges of $357 million for the elements of this plan as detailed below. As of December 31, 2004, all employees affected have been terminated and a balance of $17 million of severance and benefit costs remained to be paid under the Semiconductor international restructuring portion of the program through 2008.</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this plan, the Company announced a voluntary retirement program and a plan to involuntarily terminate employees at some of its U.S. locations. The number of employees affected was 329 in Massachusetts and 2038 in other U.S. locations, primarily in Texas. The Company recorded net pretax charges of $153 million in severance and benefit costs.</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also announced a plan to consolidate certain manufacturing operations resulting in the closing of the three Semiconductor facilities discussed above. The total number of employees affected by this plan was 1159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One of the facilities was sold in 2001, one of the facilities was sold in 2003, and the remaining facility was sold in the third quarter of 2004.</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Additionally, the Company announced a voluntary retirement program and a plan to involuntarily terminate employees in some of its international locations. The number of employees affected was 471 in the Company’s locations in Europe, 1075 in the Company’s locations in Asia and 652 in the Company’s locations in Japan. The Company recorded net pretax charges of $116 million of severance and benefit costs. As of December 31, 2004, all employees have been terminated and a balance of $17 million of severance and benefit costs remained to be paid. Payments are expected to continue through 2008, of which $7 million will be paid in 2005, $5 million in 2006, $3 million in 2007 and $2 million in 2008. The extended payment dates reflect the requirements of various foreign government regulations for benefits due to terminated employees.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Prior Actions: In years prior to 2001, actions were taken to terminate employees primarily in the Company’s European locations. There were also restructuring reserves booked for the closing of a facility in Texas and for a warranty associated with the sale of the Company’s software business unit. At the beginning of 2002, this reserve balance was $37 million. In 2002, the Texas facility was sold and the warranty period expired. As a result, the $8 million Texas facility reserve was reversed, the $20 million warranty reserve was reversed and $6 million of severance was paid. As of December 31, 2004, a balance of $1 million in severance and benefit costs remained to be paid. Payments are expected to be completed in 2005.</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320"/>
          </w:cols>
          <w:pgMar w:left="240" w:top="28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the above mentioned restructuring accruals: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S&amp;C</w:t>
            </w:r>
          </w:p>
        </w:tc>
        <w:tc>
          <w:tcPr>
            <w:tcW w:w="160" w:type="dxa"/>
            <w:vAlign w:val="bottom"/>
          </w:tcPr>
          <w:p>
            <w:pPr>
              <w:spacing w:after="0"/>
              <w:rPr>
                <w:sz w:val="20"/>
                <w:szCs w:val="20"/>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SC</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Restructuring</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100" w:type="dxa"/>
            <w:vAlign w:val="bottom"/>
          </w:tcPr>
          <w:p>
            <w:pPr>
              <w:spacing w:after="0"/>
              <w:rPr>
                <w:sz w:val="12"/>
                <w:szCs w:val="12"/>
                <w:color w:val="auto"/>
              </w:rPr>
            </w:pPr>
          </w:p>
        </w:tc>
        <w:tc>
          <w:tcPr>
            <w:tcW w:w="7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SC</w:t>
            </w:r>
          </w:p>
        </w:tc>
        <w:tc>
          <w:tcPr>
            <w:tcW w:w="100" w:type="dxa"/>
            <w:vAlign w:val="bottom"/>
          </w:tcPr>
          <w:p>
            <w:pPr>
              <w:spacing w:after="0"/>
              <w:rPr>
                <w:sz w:val="12"/>
                <w:szCs w:val="12"/>
                <w:color w:val="auto"/>
              </w:rPr>
            </w:pPr>
          </w:p>
        </w:tc>
        <w:tc>
          <w:tcPr>
            <w:tcW w:w="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SC</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Balance,</w:t>
            </w:r>
          </w:p>
        </w:tc>
        <w:tc>
          <w:tcPr>
            <w:tcW w:w="0" w:type="dxa"/>
            <w:vAlign w:val="bottom"/>
          </w:tcPr>
          <w:p>
            <w:pPr>
              <w:spacing w:after="0"/>
              <w:rPr>
                <w:sz w:val="1"/>
                <w:szCs w:val="1"/>
                <w:color w:val="auto"/>
              </w:rPr>
            </w:pPr>
          </w:p>
        </w:tc>
      </w:tr>
      <w:tr>
        <w:trPr>
          <w:trHeight w:val="174"/>
        </w:trPr>
        <w:tc>
          <w:tcPr>
            <w:tcW w:w="292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Action</w:t>
            </w:r>
          </w:p>
        </w:tc>
        <w:tc>
          <w:tcPr>
            <w:tcW w:w="16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Action</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Action</w:t>
            </w:r>
          </w:p>
        </w:tc>
        <w:tc>
          <w:tcPr>
            <w:tcW w:w="18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3"/>
              </w:rPr>
              <w:t>Prior Actions</w:t>
            </w:r>
          </w:p>
        </w:tc>
        <w:tc>
          <w:tcPr>
            <w:tcW w:w="0" w:type="dxa"/>
            <w:vAlign w:val="bottom"/>
          </w:tcPr>
          <w:p>
            <w:pPr>
              <w:spacing w:after="0"/>
              <w:rPr>
                <w:sz w:val="1"/>
                <w:szCs w:val="1"/>
                <w:color w:val="auto"/>
              </w:rPr>
            </w:pPr>
          </w:p>
        </w:tc>
      </w:tr>
      <w:tr>
        <w:trPr>
          <w:trHeight w:val="95"/>
        </w:trPr>
        <w:tc>
          <w:tcPr>
            <w:tcW w:w="1020" w:type="dxa"/>
            <w:vAlign w:val="bottom"/>
            <w:tcBorders>
              <w:bottom w:val="single" w:sz="8" w:color="auto"/>
            </w:tcBorders>
            <w:gridSpan w:val="2"/>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920" w:type="dxa"/>
            <w:vAlign w:val="bottom"/>
            <w:gridSpan w:val="5"/>
          </w:tcPr>
          <w:p>
            <w:pPr>
              <w:spacing w:after="0"/>
              <w:rPr>
                <w:sz w:val="20"/>
                <w:szCs w:val="20"/>
                <w:color w:val="auto"/>
              </w:rPr>
            </w:pPr>
            <w:r>
              <w:rPr>
                <w:rFonts w:ascii="Arial" w:cs="Arial" w:eastAsia="Arial" w:hAnsi="Arial"/>
                <w:sz w:val="18"/>
                <w:szCs w:val="18"/>
                <w:color w:val="auto"/>
              </w:rPr>
              <w:t>BALANCE</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DECEMBER 31, 2001</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20" w:type="dxa"/>
            <w:vAlign w:val="bottom"/>
            <w:gridSpan w:val="5"/>
          </w:tcPr>
          <w:p>
            <w:pPr>
              <w:spacing w:after="0"/>
              <w:rPr>
                <w:sz w:val="20"/>
                <w:szCs w:val="20"/>
                <w:color w:val="auto"/>
              </w:rPr>
            </w:pPr>
            <w:r>
              <w:rPr>
                <w:rFonts w:ascii="Arial" w:cs="Arial" w:eastAsia="Arial" w:hAnsi="Arial"/>
                <w:sz w:val="18"/>
                <w:szCs w:val="18"/>
                <w:color w:val="auto"/>
              </w:rPr>
              <w:t>CHARGES: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920" w:type="dxa"/>
            <w:vAlign w:val="bottom"/>
            <w:gridSpan w:val="5"/>
          </w:tcPr>
          <w:p>
            <w:pPr>
              <w:spacing w:after="0"/>
              <w:rPr>
                <w:sz w:val="20"/>
                <w:szCs w:val="20"/>
                <w:color w:val="auto"/>
              </w:rPr>
            </w:pPr>
            <w:r>
              <w:rPr>
                <w:rFonts w:ascii="Arial" w:cs="Arial" w:eastAsia="Arial" w:hAnsi="Arial"/>
                <w:sz w:val="18"/>
                <w:szCs w:val="18"/>
                <w:color w:val="auto"/>
                <w:w w:val="95"/>
              </w:rPr>
              <w:t>Non-cash acceleration of depreciation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20" w:type="dxa"/>
            <w:vAlign w:val="bottom"/>
            <w:gridSpan w:val="5"/>
          </w:tcPr>
          <w:p>
            <w:pPr>
              <w:spacing w:after="0"/>
              <w:rPr>
                <w:sz w:val="20"/>
                <w:szCs w:val="20"/>
                <w:color w:val="auto"/>
              </w:rPr>
            </w:pPr>
            <w:r>
              <w:rPr>
                <w:rFonts w:ascii="Arial" w:cs="Arial" w:eastAsia="Arial" w:hAnsi="Arial"/>
                <w:sz w:val="18"/>
                <w:szCs w:val="18"/>
                <w:color w:val="auto"/>
              </w:rPr>
              <w:t>DISPOSITIONS: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20" w:type="dxa"/>
            <w:vAlign w:val="bottom"/>
            <w:gridSpan w:val="5"/>
          </w:tcPr>
          <w:p>
            <w:pPr>
              <w:spacing w:after="0"/>
              <w:rPr>
                <w:sz w:val="20"/>
                <w:szCs w:val="20"/>
                <w:color w:val="auto"/>
              </w:rPr>
            </w:pPr>
            <w:r>
              <w:rPr>
                <w:rFonts w:ascii="Arial" w:cs="Arial" w:eastAsia="Arial" w:hAnsi="Arial"/>
                <w:sz w:val="18"/>
                <w:szCs w:val="18"/>
                <w:color w:val="auto"/>
              </w:rPr>
              <w:t>Sale of facility</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5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Non-cash transfer to accumulated depreciation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20" w:type="dxa"/>
            <w:vAlign w:val="bottom"/>
            <w:gridSpan w:val="5"/>
          </w:tcPr>
          <w:p>
            <w:pPr>
              <w:spacing w:after="0"/>
              <w:rPr>
                <w:sz w:val="20"/>
                <w:szCs w:val="20"/>
                <w:color w:val="auto"/>
              </w:rPr>
            </w:pPr>
            <w:r>
              <w:rPr>
                <w:rFonts w:ascii="Arial" w:cs="Arial" w:eastAsia="Arial" w:hAnsi="Arial"/>
                <w:sz w:val="18"/>
                <w:szCs w:val="18"/>
                <w:color w:val="auto"/>
              </w:rPr>
              <w:t>Non-cash change in estimates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920" w:type="dxa"/>
            <w:vAlign w:val="bottom"/>
            <w:gridSpan w:val="5"/>
            <w:vMerge w:val="restart"/>
          </w:tcPr>
          <w:p>
            <w:pPr>
              <w:spacing w:after="0"/>
              <w:rPr>
                <w:sz w:val="20"/>
                <w:szCs w:val="20"/>
                <w:color w:val="auto"/>
              </w:rPr>
            </w:pPr>
            <w:r>
              <w:rPr>
                <w:rFonts w:ascii="Arial" w:cs="Arial" w:eastAsia="Arial" w:hAnsi="Arial"/>
                <w:sz w:val="18"/>
                <w:szCs w:val="18"/>
                <w:color w:val="auto"/>
              </w:rPr>
              <w:t>BALANCE</w:t>
            </w: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920" w:type="dxa"/>
            <w:vAlign w:val="bottom"/>
            <w:gridSpan w:val="5"/>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920" w:type="dxa"/>
            <w:vAlign w:val="bottom"/>
            <w:gridSpan w:val="5"/>
            <w:vMerge w:val="restart"/>
          </w:tcPr>
          <w:p>
            <w:pPr>
              <w:spacing w:after="0"/>
              <w:rPr>
                <w:sz w:val="20"/>
                <w:szCs w:val="20"/>
                <w:color w:val="auto"/>
              </w:rPr>
            </w:pPr>
            <w:r>
              <w:rPr>
                <w:rFonts w:ascii="Arial" w:cs="Arial" w:eastAsia="Arial" w:hAnsi="Arial"/>
                <w:sz w:val="18"/>
                <w:szCs w:val="18"/>
                <w:color w:val="auto"/>
              </w:rPr>
              <w:t>CHARGES:</w:t>
            </w: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20" w:type="dxa"/>
            <w:vAlign w:val="bottom"/>
            <w:gridSpan w:val="5"/>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5"/>
          </w:tcPr>
          <w:p>
            <w:pPr>
              <w:spacing w:after="0"/>
              <w:rPr>
                <w:sz w:val="20"/>
                <w:szCs w:val="20"/>
                <w:color w:val="auto"/>
              </w:rPr>
            </w:pPr>
            <w:r>
              <w:rPr>
                <w:rFonts w:ascii="Arial" w:cs="Arial" w:eastAsia="Arial" w:hAnsi="Arial"/>
                <w:sz w:val="18"/>
                <w:szCs w:val="18"/>
                <w:color w:val="auto"/>
                <w:w w:val="95"/>
              </w:rPr>
              <w:t>Non-cash acceleration of depreciation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5"/>
          </w:tcPr>
          <w:p>
            <w:pPr>
              <w:spacing w:after="0"/>
              <w:rPr>
                <w:sz w:val="20"/>
                <w:szCs w:val="20"/>
                <w:color w:val="auto"/>
              </w:rPr>
            </w:pPr>
            <w:r>
              <w:rPr>
                <w:rFonts w:ascii="Arial" w:cs="Arial" w:eastAsia="Arial" w:hAnsi="Arial"/>
                <w:sz w:val="18"/>
                <w:szCs w:val="18"/>
                <w:color w:val="auto"/>
              </w:rPr>
              <w:t>DISPOSITIONS: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40" w:type="dxa"/>
            <w:vAlign w:val="bottom"/>
            <w:gridSpan w:val="6"/>
          </w:tcPr>
          <w:p>
            <w:pPr>
              <w:spacing w:after="0"/>
              <w:rPr>
                <w:sz w:val="20"/>
                <w:szCs w:val="20"/>
                <w:color w:val="auto"/>
              </w:rPr>
            </w:pPr>
            <w:r>
              <w:rPr>
                <w:rFonts w:ascii="Arial" w:cs="Arial" w:eastAsia="Arial" w:hAnsi="Arial"/>
                <w:sz w:val="18"/>
                <w:szCs w:val="18"/>
                <w:color w:val="auto"/>
              </w:rPr>
              <w:t>Non-cash transfer to accumulated depreciation</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920" w:type="dxa"/>
            <w:vAlign w:val="bottom"/>
            <w:gridSpan w:val="5"/>
            <w:vMerge w:val="restart"/>
          </w:tcPr>
          <w:p>
            <w:pPr>
              <w:spacing w:after="0"/>
              <w:rPr>
                <w:sz w:val="20"/>
                <w:szCs w:val="20"/>
                <w:color w:val="auto"/>
              </w:rPr>
            </w:pPr>
            <w:r>
              <w:rPr>
                <w:rFonts w:ascii="Arial" w:cs="Arial" w:eastAsia="Arial" w:hAnsi="Arial"/>
                <w:sz w:val="18"/>
                <w:szCs w:val="18"/>
                <w:color w:val="auto"/>
              </w:rPr>
              <w:t>BALANCE</w:t>
            </w: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20" w:type="dxa"/>
            <w:vAlign w:val="bottom"/>
            <w:gridSpan w:val="5"/>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9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CHARGES:</w:t>
            </w: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20" w:type="dxa"/>
            <w:vAlign w:val="bottom"/>
            <w:gridSpan w:val="5"/>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Severance charges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920" w:type="dxa"/>
            <w:vAlign w:val="bottom"/>
            <w:gridSpan w:val="5"/>
          </w:tcPr>
          <w:p>
            <w:pPr>
              <w:spacing w:after="0" w:line="201" w:lineRule="exact"/>
              <w:rPr>
                <w:sz w:val="20"/>
                <w:szCs w:val="20"/>
                <w:color w:val="auto"/>
              </w:rPr>
            </w:pPr>
            <w:r>
              <w:rPr>
                <w:rFonts w:ascii="Arial" w:cs="Arial" w:eastAsia="Arial" w:hAnsi="Arial"/>
                <w:sz w:val="18"/>
                <w:szCs w:val="18"/>
                <w:b w:val="1"/>
                <w:bCs w:val="1"/>
                <w:color w:val="auto"/>
                <w:w w:val="88"/>
              </w:rPr>
              <w:t>Non-cash acceleration of depreciation</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0"/>
              <w:spacing w:after="0" w:line="20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DISPOSITIONS: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Severance payments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8"/>
        </w:trPr>
        <w:tc>
          <w:tcPr>
            <w:tcW w:w="5540" w:type="dxa"/>
            <w:vAlign w:val="bottom"/>
            <w:gridSpan w:val="6"/>
          </w:tcPr>
          <w:p>
            <w:pPr>
              <w:spacing w:after="0"/>
              <w:rPr>
                <w:sz w:val="20"/>
                <w:szCs w:val="20"/>
                <w:color w:val="auto"/>
              </w:rPr>
            </w:pPr>
            <w:r>
              <w:rPr>
                <w:rFonts w:ascii="Arial" w:cs="Arial" w:eastAsia="Arial" w:hAnsi="Arial"/>
                <w:sz w:val="18"/>
                <w:szCs w:val="18"/>
                <w:b w:val="1"/>
                <w:bCs w:val="1"/>
                <w:color w:val="auto"/>
              </w:rPr>
              <w:t>Non-cash transfer to accumulated depreciation</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6"/>
        </w:trPr>
        <w:tc>
          <w:tcPr>
            <w:tcW w:w="29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BALANCE</w:t>
            </w: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920" w:type="dxa"/>
            <w:vAlign w:val="bottom"/>
            <w:gridSpan w:val="5"/>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920" w:type="dxa"/>
            <w:vAlign w:val="bottom"/>
            <w:gridSpan w:val="5"/>
            <w:vMerge w:val="restart"/>
          </w:tcPr>
          <w:p>
            <w:pPr>
              <w:spacing w:after="0"/>
              <w:rPr>
                <w:sz w:val="20"/>
                <w:szCs w:val="20"/>
                <w:color w:val="auto"/>
              </w:rPr>
            </w:pPr>
            <w:r>
              <w:rPr>
                <w:rFonts w:ascii="Arial" w:cs="Arial" w:eastAsia="Arial" w:hAnsi="Arial"/>
                <w:sz w:val="18"/>
                <w:szCs w:val="18"/>
                <w:color w:val="auto"/>
              </w:rPr>
              <w:t>2002 charges classified to:</w:t>
            </w:r>
          </w:p>
        </w:tc>
        <w:tc>
          <w:tcPr>
            <w:tcW w:w="2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2920" w:type="dxa"/>
            <w:vAlign w:val="bottom"/>
            <w:gridSpan w:val="5"/>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gridSpan w:val="4"/>
          </w:tcPr>
          <w:p>
            <w:pPr>
              <w:ind w:left="240"/>
              <w:spacing w:after="0"/>
              <w:rPr>
                <w:sz w:val="20"/>
                <w:szCs w:val="20"/>
                <w:color w:val="auto"/>
              </w:rPr>
            </w:pPr>
            <w:r>
              <w:rPr>
                <w:rFonts w:ascii="Arial" w:cs="Arial" w:eastAsia="Arial" w:hAnsi="Arial"/>
                <w:sz w:val="18"/>
                <w:szCs w:val="18"/>
                <w:color w:val="auto"/>
              </w:rPr>
              <w:t>R&amp;D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SG&amp;A</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5"/>
          </w:tcPr>
          <w:p>
            <w:pPr>
              <w:spacing w:after="0"/>
              <w:rPr>
                <w:sz w:val="20"/>
                <w:szCs w:val="20"/>
                <w:color w:val="auto"/>
              </w:rPr>
            </w:pPr>
            <w:r>
              <w:rPr>
                <w:rFonts w:ascii="Arial" w:cs="Arial" w:eastAsia="Arial" w:hAnsi="Arial"/>
                <w:sz w:val="18"/>
                <w:szCs w:val="18"/>
                <w:color w:val="auto"/>
              </w:rPr>
              <w:t>2003 charges classified to:</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gridSpan w:val="4"/>
          </w:tcPr>
          <w:p>
            <w:pPr>
              <w:ind w:left="240"/>
              <w:spacing w:after="0"/>
              <w:rPr>
                <w:sz w:val="20"/>
                <w:szCs w:val="20"/>
                <w:color w:val="auto"/>
              </w:rPr>
            </w:pPr>
            <w:r>
              <w:rPr>
                <w:rFonts w:ascii="Arial" w:cs="Arial" w:eastAsia="Arial" w:hAnsi="Arial"/>
                <w:sz w:val="18"/>
                <w:szCs w:val="18"/>
                <w:color w:val="auto"/>
              </w:rPr>
              <w:t>R&amp;D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SG&amp;A</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2004 charges classified to:</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Cost of revenue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gridSpan w:val="4"/>
          </w:tcPr>
          <w:p>
            <w:pPr>
              <w:ind w:left="240"/>
              <w:spacing w:after="0"/>
              <w:rPr>
                <w:sz w:val="20"/>
                <w:szCs w:val="20"/>
                <w:color w:val="auto"/>
              </w:rPr>
            </w:pPr>
            <w:r>
              <w:rPr>
                <w:rFonts w:ascii="Arial" w:cs="Arial" w:eastAsia="Arial" w:hAnsi="Arial"/>
                <w:sz w:val="18"/>
                <w:szCs w:val="18"/>
                <w:b w:val="1"/>
                <w:bCs w:val="1"/>
                <w:color w:val="auto"/>
              </w:rPr>
              <w:t>R&amp;D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SG&amp;A</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720" w:type="dxa"/>
            <w:vAlign w:val="bottom"/>
            <w:gridSpan w:val="4"/>
            <w:shd w:val="clear" w:color="auto" w:fill="CCEEFF"/>
          </w:tcPr>
          <w:p>
            <w:pPr>
              <w:ind w:left="680"/>
              <w:spacing w:after="0"/>
              <w:rPr>
                <w:sz w:val="20"/>
                <w:szCs w:val="20"/>
                <w:color w:val="auto"/>
              </w:rPr>
            </w:pPr>
            <w:r>
              <w:rPr>
                <w:rFonts w:ascii="Arial" w:cs="Arial" w:eastAsia="Arial" w:hAnsi="Arial"/>
                <w:sz w:val="18"/>
                <w:szCs w:val="18"/>
                <w:b w:val="1"/>
                <w:bCs w:val="1"/>
                <w:color w:val="auto"/>
              </w:rPr>
              <w:t>Total</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5540" w:type="dxa"/>
            <w:vAlign w:val="bottom"/>
            <w:gridSpan w:val="6"/>
          </w:tcPr>
          <w:p>
            <w:pPr>
              <w:spacing w:after="0"/>
              <w:rPr>
                <w:sz w:val="20"/>
                <w:szCs w:val="20"/>
                <w:color w:val="auto"/>
              </w:rPr>
            </w:pPr>
            <w:r>
              <w:rPr>
                <w:rFonts w:ascii="Arial" w:cs="Arial" w:eastAsia="Arial" w:hAnsi="Arial"/>
                <w:sz w:val="18"/>
                <w:szCs w:val="18"/>
                <w:color w:val="auto"/>
              </w:rPr>
              <w:t>Employees terminated as of December 31, 2004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7,714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488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5,724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5540" w:type="dxa"/>
            <w:vAlign w:val="bottom"/>
            <w:gridSpan w:val="6"/>
          </w:tcPr>
          <w:p>
            <w:pPr>
              <w:spacing w:after="0"/>
              <w:rPr>
                <w:sz w:val="20"/>
                <w:szCs w:val="20"/>
                <w:color w:val="auto"/>
              </w:rPr>
            </w:pPr>
            <w:r>
              <w:rPr>
                <w:rFonts w:ascii="Arial" w:cs="Arial" w:eastAsia="Arial" w:hAnsi="Arial"/>
                <w:sz w:val="18"/>
                <w:szCs w:val="18"/>
                <w:color w:val="auto"/>
                <w:w w:val="99"/>
              </w:rPr>
              <w:t>Note: All charges/dispositions are cash items unless otherwise noted.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4"/>
          </w:tcPr>
          <w:p>
            <w:pPr>
              <w:ind w:left="20"/>
              <w:spacing w:after="0"/>
              <w:rPr>
                <w:sz w:val="20"/>
                <w:szCs w:val="20"/>
                <w:color w:val="auto"/>
              </w:rPr>
            </w:pPr>
            <w:r>
              <w:rPr>
                <w:rFonts w:ascii="Arial" w:cs="Arial" w:eastAsia="Arial" w:hAnsi="Arial"/>
                <w:sz w:val="18"/>
                <w:szCs w:val="18"/>
                <w:color w:val="auto"/>
              </w:rPr>
              <w:t>Abbreviations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2720" w:type="dxa"/>
            <w:vAlign w:val="bottom"/>
            <w:gridSpan w:val="4"/>
          </w:tcPr>
          <w:p>
            <w:pPr>
              <w:ind w:left="260"/>
              <w:spacing w:after="0"/>
              <w:rPr>
                <w:sz w:val="20"/>
                <w:szCs w:val="20"/>
                <w:color w:val="auto"/>
              </w:rPr>
            </w:pPr>
            <w:r>
              <w:rPr>
                <w:rFonts w:ascii="Arial" w:cs="Arial" w:eastAsia="Arial" w:hAnsi="Arial"/>
                <w:sz w:val="18"/>
                <w:szCs w:val="18"/>
                <w:color w:val="auto"/>
              </w:rPr>
              <w:t>SC   = Semiconductor</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2720" w:type="dxa"/>
            <w:vAlign w:val="bottom"/>
            <w:gridSpan w:val="4"/>
          </w:tcPr>
          <w:p>
            <w:pPr>
              <w:ind w:left="260"/>
              <w:spacing w:after="0"/>
              <w:rPr>
                <w:sz w:val="20"/>
                <w:szCs w:val="20"/>
                <w:color w:val="auto"/>
              </w:rPr>
            </w:pPr>
            <w:r>
              <w:rPr>
                <w:rFonts w:ascii="Arial" w:cs="Arial" w:eastAsia="Arial" w:hAnsi="Arial"/>
                <w:sz w:val="18"/>
                <w:szCs w:val="18"/>
                <w:color w:val="auto"/>
              </w:rPr>
              <w:t>S&amp;C = Sensors &amp; Controls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0" w:type="dxa"/>
            <w:vAlign w:val="bottom"/>
            <w:vMerge w:val="restart"/>
          </w:tcPr>
          <w:p>
            <w:pPr>
              <w:spacing w:after="0"/>
              <w:rPr>
                <w:sz w:val="20"/>
                <w:szCs w:val="20"/>
                <w:color w:val="auto"/>
              </w:rPr>
            </w:pPr>
            <w:r>
              <w:rPr>
                <w:rFonts w:ascii="Arial" w:cs="Arial" w:eastAsia="Arial" w:hAnsi="Arial"/>
                <w:sz w:val="18"/>
                <w:szCs w:val="18"/>
                <w:color w:val="auto"/>
                <w:w w:val="89"/>
              </w:rPr>
              <w:t>32</w:t>
            </w:r>
          </w:p>
        </w:tc>
        <w:tc>
          <w:tcPr>
            <w:tcW w:w="260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2620" w:type="dxa"/>
            <w:vAlign w:val="bottom"/>
            <w:vMerge w:val="restart"/>
          </w:tcPr>
          <w:p>
            <w:pPr>
              <w:ind w:left="100"/>
              <w:spacing w:after="0"/>
              <w:rPr>
                <w:sz w:val="20"/>
                <w:szCs w:val="20"/>
                <w:color w:val="auto"/>
              </w:rPr>
            </w:pPr>
            <w:r>
              <w:rPr>
                <w:rFonts w:ascii="Arial" w:cs="Arial" w:eastAsia="Arial" w:hAnsi="Arial"/>
                <w:sz w:val="18"/>
                <w:szCs w:val="18"/>
                <w:color w:val="auto"/>
              </w:rPr>
              <w:t>2004 ANNUAL REPORT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260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-3731895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-3731895</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-3731895</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-3731895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-3731895</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-3731895</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-3731895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-3731895</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-3731895</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-3731895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-3731895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-3731895</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-3731895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-3731895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-3731895</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-3731895</wp:posOffset>
            </wp:positionV>
            <wp:extent cx="51879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280" w:right="239" w:bottom="846"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 Business Segment and Geographic Area Data</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Texas Instruments makes, markets and sells high-technology components; more than 30,000 customers all over the world buy TI products. TI has three separate business segments: 1) Semiconductor; 2) Sensors &amp; Controls; and 3) Educational &amp; Productivity Solutions.</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Semiconductor is by far the largest of these business segments. It accounted for over 85 percent of revenue in 2004, and over time it averages a higher growth rate than the other two business segments, although the semiconductor market is characterized by wide swings in growth rates from year to year. TI was the world’s third-largest semiconductor company in 2004 in terms of revenue, according to Gartner, Inc., an industry analyst.</w:t>
      </w:r>
    </w:p>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Semiconductor designs, manufactures and sells integrated circuits. Its core products include analog integrated circuits and digital signal processors, which are used in a broad range of electronic systems. These systems include cellular telephones, personal computers, servers, communications infrastructure equipment, motor controls, automotive equipment and digital imaging systems such as front projectors and high-definition digital televisions. Semiconductor products are sold to original-equipment manufacturers (OEMs), original-design manufacturers (ODMs), contract manufacturers and distributors. An OEM designs and sells products under its own brand that it manufacturers in-house or has contracted to other manufacturers. An ODM designs and manufacturers products for other companies to sell under their brands. Distributors sell TI products directly to a wide range of customers. The semiconductor market is intensely competitive and is subject to rapid technological change, pricing pressures, and the requirement of high rates of investment for research and development (R&amp;D) and for the manufacturing factories and equipment needed to produce advanced semiconductors. TI faces significant competition in this segment.</w:t>
      </w:r>
    </w:p>
    <w:p>
      <w:pPr>
        <w:spacing w:after="0" w:line="1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Sensors &amp; Controls sells sensors, electrical and electronic controls, and radio frequency identification (RFID) systems. TI’s sensor products include pressure sensors and transducers for automotive systems (such as fuel injection and vehicle stability systems) and heating, ventilation and air conditioning equipment. TI’s control products include motor protectors, circuit breakers, arc-fault circuit protectors and thermostats for aircraft, air conditioning, appliance, lighting and industrial applications. TI’s RFID systems consist of a transponder, receiver and other components; applications include automotive security, logistics tracking, inventory control and wireless commerce at retail outlets. Typically the top supplier in targeted product areas, Sensors &amp; Controls faces strong multinational and regional competitors. The primary competitive factors in this business are product reliability, manufacturing costs and engineering expertise. The products of the business are sold to OEMs and distributors. This business segment represented about 10 percent of revenue in 2004.</w:t>
      </w:r>
    </w:p>
    <w:p>
      <w:pPr>
        <w:spacing w:after="0" w:line="10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Educational &amp; Productivity Solutions is a leading supplier of graphing handheld calculators. It also provides other calculators, advanced classroom tools and professional development. Technology expertise, price and an understanding of the education market are primary competitive factors in this business. TI’s principal competitors in the business are U.S.- and Japan-based companies. This business sells primarily through retailers and to schools through instructional dealers. This business segment represented about 5 percent of revenue in 2004.</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profits of the three principal businesses exclude the effects of special charges and gains, which are included in corporate activities, and acquisition-related amortization. The results for Semiconductor include the effects of all royalty revenue from semiconductor-related license agreements. Business assets are the owned or allocated assets used by each business.</w:t>
      </w:r>
    </w:p>
    <w:p>
      <w:pPr>
        <w:spacing w:after="0" w:line="12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Included in corporate activities are general corporate expenses, elimination of intersegment transactions (which are generally intended to approximate market prices), royalty revenue from computer-related license agreements, special charges and gains, and acquisition-related amortization. Assets of corporate activities include unallocated cash, short-term investments, noncurrent investments and deferred income taxes.</w:t>
      </w:r>
    </w:p>
    <w:p>
      <w:pPr>
        <w:spacing w:after="0" w:line="101"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00"/>
          </w:cols>
          <w:pgMar w:left="240" w:top="274" w:right="259" w:bottom="1440" w:gutter="0" w:footer="0" w:header="0"/>
        </w:sectPr>
      </w:pPr>
    </w:p>
    <w:bookmarkStart w:id="64" w:name="page65"/>
    <w:bookmarkEnd w:id="64"/>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Information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Educational</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3"/>
              </w:rPr>
              <w:t>Sensors &amp;</w:t>
            </w:r>
          </w:p>
        </w:tc>
        <w:tc>
          <w:tcPr>
            <w:tcW w:w="2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&amp; Productivity</w:t>
            </w:r>
          </w:p>
        </w:tc>
        <w:tc>
          <w:tcPr>
            <w:tcW w:w="4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4"/>
              </w:rPr>
              <w:t>Semiconductor</w:t>
            </w:r>
          </w:p>
        </w:tc>
        <w:tc>
          <w:tcPr>
            <w:tcW w:w="46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Controls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w w:val="84"/>
              </w:rPr>
              <w:t>Solutions</w:t>
            </w:r>
          </w:p>
        </w:tc>
        <w:tc>
          <w:tcPr>
            <w:tcW w:w="48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Activities</w:t>
            </w:r>
          </w:p>
        </w:tc>
        <w:tc>
          <w:tcPr>
            <w:tcW w:w="24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Revenue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b w:val="1"/>
                <w:bCs w:val="1"/>
                <w:color w:val="auto"/>
              </w:rPr>
              <w:t>2004</w:t>
            </w:r>
          </w:p>
        </w:tc>
        <w:tc>
          <w:tcPr>
            <w:tcW w:w="1640" w:type="dxa"/>
            <w:vAlign w:val="bottom"/>
            <w:gridSpan w:val="2"/>
          </w:tcPr>
          <w:p>
            <w:pPr>
              <w:ind w:left="14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10,938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$ 1,124</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62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b w:val="1"/>
                <w:bCs w:val="1"/>
                <w:color w:val="auto"/>
              </w:rPr>
              <w:t>2004</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b w:val="1"/>
                <w:bCs w:val="1"/>
                <w:color w:val="auto"/>
              </w:rPr>
              <w:t>2004</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10,941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1,127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from Operations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b w:val="1"/>
                <w:bCs w:val="1"/>
                <w:color w:val="auto"/>
              </w:rPr>
              <w:t>2004</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2,050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(300)</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b w:val="1"/>
                <w:bCs w:val="1"/>
                <w:color w:val="auto"/>
              </w:rPr>
              <w:t>2004</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6,459</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9,336</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8,844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7,949</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14,679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Additions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b w:val="1"/>
                <w:bCs w:val="1"/>
                <w:color w:val="auto"/>
              </w:rPr>
              <w:t>2004</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1,216</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b w:val="1"/>
                <w:bCs w:val="1"/>
                <w:color w:val="auto"/>
              </w:rPr>
              <w:t>2004</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1,391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geographic area data includes trade revenue, based on product shipment destination and royalty payor location, and property, plant and equipment based on physical location: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Geographic Area Information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Asia-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States</w:t>
            </w:r>
          </w:p>
        </w:tc>
        <w:tc>
          <w:tcPr>
            <w:tcW w:w="120" w:type="dxa"/>
            <w:vAlign w:val="bottom"/>
          </w:tcPr>
          <w:p>
            <w:pPr>
              <w:spacing w:after="0"/>
              <w:rPr>
                <w:sz w:val="15"/>
                <w:szCs w:val="15"/>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Pacific</w:t>
            </w: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Europe</w:t>
            </w:r>
          </w:p>
        </w:tc>
        <w:tc>
          <w:tcPr>
            <w:tcW w:w="100" w:type="dxa"/>
            <w:vAlign w:val="bottom"/>
          </w:tcPr>
          <w:p>
            <w:pPr>
              <w:spacing w:after="0"/>
              <w:rPr>
                <w:sz w:val="15"/>
                <w:szCs w:val="15"/>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Japan</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Trade Revenue</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right"/>
              <w:ind w:right="4132"/>
              <w:spacing w:after="0"/>
              <w:rPr>
                <w:sz w:val="20"/>
                <w:szCs w:val="20"/>
                <w:color w:val="auto"/>
              </w:rPr>
            </w:pPr>
            <w:r>
              <w:rPr>
                <w:rFonts w:ascii="Arial" w:cs="Arial" w:eastAsia="Arial" w:hAnsi="Arial"/>
                <w:sz w:val="18"/>
                <w:szCs w:val="18"/>
                <w:b w:val="1"/>
                <w:bCs w:val="1"/>
                <w:color w:val="auto"/>
              </w:rPr>
              <w:t>2004</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$2,042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5,709</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2,265</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2,033</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531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jc w:val="right"/>
              <w:ind w:right="4132"/>
              <w:spacing w:after="0"/>
              <w:rPr>
                <w:sz w:val="20"/>
                <w:szCs w:val="20"/>
                <w:color w:val="auto"/>
              </w:rPr>
            </w:pPr>
            <w:r>
              <w:rPr>
                <w:rFonts w:ascii="Arial" w:cs="Arial" w:eastAsia="Arial" w:hAnsi="Arial"/>
                <w:sz w:val="18"/>
                <w:szCs w:val="18"/>
                <w:color w:val="auto"/>
              </w:rPr>
              <w:t>2003</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1,658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jc w:val="right"/>
              <w:ind w:right="4132"/>
              <w:spacing w:after="0"/>
              <w:rPr>
                <w:sz w:val="20"/>
                <w:szCs w:val="20"/>
                <w:color w:val="auto"/>
              </w:rPr>
            </w:pPr>
            <w:r>
              <w:rPr>
                <w:rFonts w:ascii="Arial" w:cs="Arial" w:eastAsia="Arial" w:hAnsi="Arial"/>
                <w:sz w:val="18"/>
                <w:szCs w:val="18"/>
                <w:color w:val="auto"/>
              </w:rPr>
              <w:t>2002</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1,649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1,429</w:t>
            </w: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right"/>
              <w:ind w:right="4132"/>
              <w:spacing w:after="0"/>
              <w:rPr>
                <w:sz w:val="20"/>
                <w:szCs w:val="20"/>
                <w:color w:val="auto"/>
              </w:rPr>
            </w:pPr>
            <w:r>
              <w:rPr>
                <w:rFonts w:ascii="Arial" w:cs="Arial" w:eastAsia="Arial" w:hAnsi="Arial"/>
                <w:sz w:val="18"/>
                <w:szCs w:val="18"/>
                <w:b w:val="1"/>
                <w:bCs w:val="1"/>
                <w:color w:val="auto"/>
              </w:rPr>
              <w:t>2004</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$2,577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jc w:val="right"/>
              <w:ind w:right="4132"/>
              <w:spacing w:after="0"/>
              <w:rPr>
                <w:sz w:val="20"/>
                <w:szCs w:val="20"/>
                <w:color w:val="auto"/>
              </w:rPr>
            </w:pPr>
            <w:r>
              <w:rPr>
                <w:rFonts w:ascii="Arial" w:cs="Arial" w:eastAsia="Arial" w:hAnsi="Arial"/>
                <w:sz w:val="18"/>
                <w:szCs w:val="18"/>
                <w:color w:val="auto"/>
              </w:rPr>
              <w:t>2003</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jc w:val="right"/>
              <w:ind w:right="4132"/>
              <w:spacing w:after="0"/>
              <w:rPr>
                <w:sz w:val="20"/>
                <w:szCs w:val="20"/>
                <w:color w:val="auto"/>
              </w:rPr>
            </w:pPr>
            <w:r>
              <w:rPr>
                <w:rFonts w:ascii="Arial" w:cs="Arial" w:eastAsia="Arial" w:hAnsi="Arial"/>
                <w:sz w:val="18"/>
                <w:szCs w:val="18"/>
                <w:color w:val="auto"/>
              </w:rPr>
              <w:t>2002</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Major Customer</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2004, direct sales to Nokia were slightly less than 10 percent of TI revenue, although if indirect sales are included, Nokia accounted for more than 10 percent of revenue. In 2003 and 2002, Nokia accounted for 14 percent and 12 percent of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34</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 Income Taxes</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2004, the Jobs Creation Act was enacted. One of the provisions of this act provides a deduction for income from qualified domestic production activities (“qualified production income” or QPI). The deduction, which cannot exceed 50 percent of annual wages paid, is phased in as follows: 3 percent of QPI in 2005-2006, 6 percent in 2007-2009, and 9 percent in 2010 and thereafter. The Jobs Creation Act also provides for a two-year phase-out of the existing extra-territorial income exclusion (ETI) for foreign sales with a 20 percent phase-out in 2005, 40 percent in 2006 and 100 percent thereafter. The ETI benefit reduced the Company’s effective tax rate in 2004 by about 3 percent. The effect of the new manufacturing deduction at a fully phased-in rate of 9 percent would have reduced the Company’s tax rate by about 1 percent.</w:t>
      </w:r>
    </w:p>
    <w:p>
      <w:pPr>
        <w:spacing w:after="0" w:line="10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Jobs Creation Act also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Jobs Creation Act.</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Provision has previously been made for deferred taxes on undistributed earnings of non-U.S. subsidiaries to the extent that dividend payments from such companies are expected to result in additional tax liability. The remaining undistributed earnings (approximately $2034 million at December 31, 2004) have been indefinitely reinvested; therefore, no provision has been made for taxes due upon remittance of these earnings. Determination of the amount of unrecognized deferred tax liability on these unremitted earnings is not practicable.</w:t>
      </w:r>
    </w:p>
    <w:p>
      <w:pPr>
        <w:spacing w:after="0" w:line="13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of December 31, 2004, the Company was not in a position to decide on whether, and to what extent, foreign earnings that have not yet been remitted to the U.S. may be repatriated. Based on analysis to date, however, it is reasonably possible that the Company may repatriate some amount up to $1.6 billion, with the respective tax liability ranging up to $0.2 billion. The Company’s analysis was based on the statute as currently enacted. Technical corrections, clarifications and regulations related to the statute could impact the Company’s estimate of the tax liability associated with the repatriation.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(Loss) before Provision (Benefit) for Income 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7"/>
          </w:tcPr>
          <w:p>
            <w:pPr>
              <w:spacing w:after="0"/>
              <w:rPr>
                <w:sz w:val="20"/>
                <w:szCs w:val="20"/>
                <w:color w:val="auto"/>
              </w:rPr>
            </w:pPr>
            <w:r>
              <w:rPr>
                <w:rFonts w:ascii="Arial" w:cs="Arial" w:eastAsia="Arial" w:hAnsi="Arial"/>
                <w:sz w:val="14"/>
                <w:szCs w:val="14"/>
                <w:b w:val="1"/>
                <w:bCs w:val="1"/>
                <w:color w:val="auto"/>
              </w:rPr>
              <w:t>Non-U.S.</w:t>
            </w:r>
          </w:p>
        </w:tc>
        <w:tc>
          <w:tcPr>
            <w:tcW w:w="5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5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9"/>
              </w:rPr>
              <w:t>$  952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2003</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ind w:left="260"/>
              <w:spacing w:after="0"/>
              <w:rPr>
                <w:sz w:val="20"/>
                <w:szCs w:val="20"/>
                <w:color w:val="auto"/>
              </w:rPr>
            </w:pPr>
            <w:r>
              <w:rPr>
                <w:rFonts w:ascii="Arial" w:cs="Arial" w:eastAsia="Arial" w:hAnsi="Arial"/>
                <w:sz w:val="18"/>
                <w:szCs w:val="18"/>
                <w:color w:val="auto"/>
                <w:w w:val="79"/>
              </w:rPr>
              <w:t>665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5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w w:val="79"/>
              </w:rPr>
              <w:t>272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Federal</w:t>
            </w:r>
          </w:p>
        </w:tc>
        <w:tc>
          <w:tcPr>
            <w:tcW w:w="24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Non-U.S.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1"/>
              </w:rPr>
              <w:t>State</w:t>
            </w:r>
          </w:p>
        </w:tc>
        <w:tc>
          <w:tcPr>
            <w:tcW w:w="120" w:type="dxa"/>
            <w:vAlign w:val="bottom"/>
          </w:tcPr>
          <w:p>
            <w:pPr>
              <w:spacing w:after="0"/>
              <w:rPr>
                <w:sz w:val="15"/>
                <w:szCs w:val="15"/>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5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w w:val="93"/>
              </w:rPr>
              <w:t>$ 227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258</w:t>
            </w:r>
          </w:p>
        </w:tc>
        <w:tc>
          <w:tcPr>
            <w:tcW w:w="10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5"/>
                <w:szCs w:val="15"/>
                <w:b w:val="1"/>
                <w:bCs w:val="1"/>
                <w:color w:val="auto"/>
                <w:w w:val="71"/>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$ 347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208</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80"/>
              <w:spacing w:after="0"/>
              <w:rPr>
                <w:sz w:val="20"/>
                <w:szCs w:val="20"/>
                <w:color w:val="auto"/>
              </w:rPr>
            </w:pPr>
            <w:r>
              <w:rPr>
                <w:rFonts w:ascii="Arial" w:cs="Arial" w:eastAsia="Arial" w:hAnsi="Arial"/>
                <w:sz w:val="15"/>
                <w:szCs w:val="15"/>
                <w:b w:val="1"/>
                <w:bCs w:val="1"/>
                <w:color w:val="auto"/>
                <w:w w:val="71"/>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5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580" w:type="dxa"/>
            <w:vAlign w:val="bottom"/>
            <w:gridSpan w:val="4"/>
          </w:tcPr>
          <w:p>
            <w:pPr>
              <w:spacing w:after="0"/>
              <w:rPr>
                <w:sz w:val="20"/>
                <w:szCs w:val="20"/>
                <w:color w:val="auto"/>
              </w:rPr>
            </w:pPr>
            <w:r>
              <w:rPr>
                <w:rFonts w:ascii="Arial" w:cs="Arial" w:eastAsia="Arial" w:hAnsi="Arial"/>
                <w:sz w:val="18"/>
                <w:szCs w:val="18"/>
                <w:color w:val="auto"/>
                <w:w w:val="98"/>
              </w:rPr>
              <w:t>$ (260)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233</w:t>
            </w:r>
          </w:p>
        </w:tc>
        <w:tc>
          <w:tcPr>
            <w:tcW w:w="10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7"/>
              </w:rPr>
              <w:t>(14)</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 (178)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w:t>
            </w:r>
          </w:p>
        </w:tc>
        <w:tc>
          <w:tcPr>
            <w:tcW w:w="100" w:type="dxa"/>
            <w:vAlign w:val="bottom"/>
            <w:shd w:val="clear" w:color="auto" w:fill="CCEEFF"/>
          </w:tcPr>
          <w:p>
            <w:pPr>
              <w:spacing w:after="0"/>
              <w:rPr>
                <w:sz w:val="18"/>
                <w:szCs w:val="18"/>
                <w:color w:val="auto"/>
              </w:rPr>
            </w:pPr>
          </w:p>
        </w:tc>
        <w:tc>
          <w:tcPr>
            <w:tcW w:w="86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$(10)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5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580" w:type="dxa"/>
            <w:vAlign w:val="bottom"/>
            <w:gridSpan w:val="4"/>
          </w:tcPr>
          <w:p>
            <w:pPr>
              <w:spacing w:after="0"/>
              <w:rPr>
                <w:sz w:val="20"/>
                <w:szCs w:val="20"/>
                <w:color w:val="auto"/>
              </w:rPr>
            </w:pPr>
            <w:r>
              <w:rPr>
                <w:rFonts w:ascii="Arial" w:cs="Arial" w:eastAsia="Arial" w:hAnsi="Arial"/>
                <w:sz w:val="18"/>
                <w:szCs w:val="18"/>
                <w:color w:val="auto"/>
                <w:w w:val="98"/>
              </w:rPr>
              <w:t>$ (165)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156</w:t>
            </w:r>
          </w:p>
        </w:tc>
        <w:tc>
          <w:tcPr>
            <w:tcW w:w="10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500" w:type="dxa"/>
            <w:vAlign w:val="bottom"/>
            <w:gridSpan w:val="4"/>
          </w:tcPr>
          <w:p>
            <w:pPr>
              <w:jc w:val="right"/>
              <w:ind w:right="200"/>
              <w:spacing w:after="0"/>
              <w:rPr>
                <w:sz w:val="20"/>
                <w:szCs w:val="20"/>
                <w:color w:val="auto"/>
              </w:rPr>
            </w:pPr>
            <w:r>
              <w:rPr>
                <w:rFonts w:ascii="Arial" w:cs="Arial" w:eastAsia="Arial" w:hAnsi="Arial"/>
                <w:sz w:val="18"/>
                <w:szCs w:val="18"/>
                <w:color w:val="auto"/>
              </w:rPr>
              <w:t>(6)</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5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 (187)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spacing w:after="0"/>
              <w:rPr>
                <w:sz w:val="11"/>
                <w:szCs w:val="11"/>
                <w:color w:val="auto"/>
              </w:rPr>
            </w:pPr>
          </w:p>
        </w:tc>
        <w:tc>
          <w:tcPr>
            <w:tcW w:w="360" w:type="dxa"/>
            <w:vAlign w:val="bottom"/>
            <w:gridSpan w:val="2"/>
          </w:tcPr>
          <w:p>
            <w:pPr>
              <w:spacing w:after="0"/>
              <w:rPr>
                <w:sz w:val="11"/>
                <w:szCs w:val="11"/>
                <w:color w:val="auto"/>
              </w:rPr>
            </w:pPr>
          </w:p>
        </w:tc>
        <w:tc>
          <w:tcPr>
            <w:tcW w:w="540" w:type="dxa"/>
            <w:vAlign w:val="bottom"/>
            <w:tcBorders>
              <w:bottom w:val="single" w:sz="8" w:color="auto"/>
            </w:tcBorders>
            <w:gridSpan w:val="3"/>
          </w:tcPr>
          <w:p>
            <w:pPr>
              <w:spacing w:after="0"/>
              <w:rPr>
                <w:sz w:val="11"/>
                <w:szCs w:val="11"/>
                <w:color w:val="auto"/>
              </w:rPr>
            </w:pPr>
          </w:p>
        </w:tc>
        <w:tc>
          <w:tcPr>
            <w:tcW w:w="380" w:type="dxa"/>
            <w:vAlign w:val="bottom"/>
            <w:gridSpan w:val="3"/>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620" w:type="dxa"/>
            <w:vAlign w:val="bottom"/>
            <w:vMerge w:val="restart"/>
          </w:tcPr>
          <w:p>
            <w:pPr>
              <w:spacing w:after="0"/>
              <w:rPr>
                <w:sz w:val="22"/>
                <w:szCs w:val="22"/>
                <w:color w:val="auto"/>
              </w:rPr>
            </w:pPr>
          </w:p>
        </w:tc>
        <w:tc>
          <w:tcPr>
            <w:tcW w:w="5900" w:type="dxa"/>
            <w:vAlign w:val="bottom"/>
            <w:vMerge w:val="restart"/>
          </w:tcPr>
          <w:p>
            <w:pPr>
              <w:ind w:left="3900"/>
              <w:spacing w:after="0"/>
              <w:rPr>
                <w:sz w:val="20"/>
                <w:szCs w:val="20"/>
                <w:color w:val="auto"/>
              </w:rPr>
            </w:pPr>
            <w:r>
              <w:rPr>
                <w:rFonts w:ascii="Arial" w:cs="Arial" w:eastAsia="Arial" w:hAnsi="Arial"/>
                <w:sz w:val="18"/>
                <w:szCs w:val="18"/>
                <w:b w:val="1"/>
                <w:bCs w:val="1"/>
                <w:color w:val="auto"/>
              </w:rPr>
              <w:t>TEXAS INSTRUMENTS</w:t>
            </w:r>
          </w:p>
        </w:tc>
        <w:tc>
          <w:tcPr>
            <w:tcW w:w="100" w:type="dxa"/>
            <w:vAlign w:val="bottom"/>
          </w:tcPr>
          <w:p>
            <w:pPr>
              <w:spacing w:after="0"/>
              <w:rPr>
                <w:sz w:val="22"/>
                <w:szCs w:val="22"/>
                <w:color w:val="auto"/>
              </w:rPr>
            </w:pPr>
          </w:p>
        </w:tc>
        <w:tc>
          <w:tcPr>
            <w:tcW w:w="2220" w:type="dxa"/>
            <w:vAlign w:val="bottom"/>
            <w:gridSpan w:val="15"/>
            <w:vMerge w:val="restart"/>
          </w:tcPr>
          <w:p>
            <w:pPr>
              <w:jc w:val="right"/>
              <w:ind w:right="200"/>
              <w:spacing w:after="0"/>
              <w:rPr>
                <w:sz w:val="20"/>
                <w:szCs w:val="20"/>
                <w:color w:val="auto"/>
              </w:rPr>
            </w:pPr>
            <w:r>
              <w:rPr>
                <w:rFonts w:ascii="Arial" w:cs="Arial" w:eastAsia="Arial" w:hAnsi="Arial"/>
                <w:sz w:val="18"/>
                <w:szCs w:val="18"/>
                <w:color w:val="auto"/>
              </w:rPr>
              <w:t>2004 ANNUAL REPORT</w:t>
            </w:r>
          </w:p>
        </w:tc>
        <w:tc>
          <w:tcPr>
            <w:tcW w:w="5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59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20" w:type="dxa"/>
            <w:vAlign w:val="bottom"/>
            <w:gridSpan w:val="15"/>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-2042160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-2042160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-2042160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-2042160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-2042160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-2042160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-2042160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-2042160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-2042160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-2042160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-2042160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-2042160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-1184910</wp:posOffset>
            </wp:positionV>
            <wp:extent cx="181356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81356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-327025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-327025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-327025</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-327025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-327025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-327025</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-327025</wp:posOffset>
            </wp:positionV>
            <wp:extent cx="2444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-327025</wp:posOffset>
            </wp:positionV>
            <wp:extent cx="26162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reconciling items from income tax computed at the statutory federal rate follow: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12"/>
          </w:tcPr>
          <w:p>
            <w:pPr>
              <w:jc w:val="right"/>
              <w:ind w:right="340"/>
              <w:spacing w:after="0"/>
              <w:rPr>
                <w:sz w:val="20"/>
                <w:szCs w:val="20"/>
                <w:color w:val="auto"/>
              </w:rPr>
            </w:pPr>
            <w:r>
              <w:rPr>
                <w:rFonts w:ascii="Arial" w:cs="Arial" w:eastAsia="Arial" w:hAnsi="Arial"/>
                <w:sz w:val="14"/>
                <w:szCs w:val="14"/>
                <w:b w:val="1"/>
                <w:bCs w:val="1"/>
                <w:color w:val="auto"/>
                <w:w w:val="94"/>
              </w:rPr>
              <w:t>For 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22"/>
                <w:szCs w:val="22"/>
                <w:color w:val="auto"/>
              </w:rPr>
            </w:pPr>
          </w:p>
        </w:tc>
        <w:tc>
          <w:tcPr>
            <w:tcW w:w="52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Computed tax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Non-deductible acquisition-related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non-U.S. rates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Research and experimentation tax credits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U.S. state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Valuation allowance for Micron investment</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(223)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U.S. tax benefits on foreign sales (ETI for 2004 and 2003)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2"/>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The primary components of deferred income tax assets and liabilities at December 31 were as follows:</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Accrued retirement costs (defined benefit and retiree health care)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34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Inventories and related reserves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loss and tax credits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1,374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1,322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3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-3912235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-3912235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-3912235</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-3912235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-3912235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-3912235</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-3912235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-3912235</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-3912235</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-27305</wp:posOffset>
            </wp:positionV>
            <wp:extent cx="91313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22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December 31, 2004 and 2003, the net deferred income tax asset of $963 million and $1016 million was presented in the balance sheet, based on tax jurisdiction, as deferred income tax assets of $1003 million and $1075 million and deferred income tax liabilities of $40 million and $59 million. The Company makes an ongoing assessment regarding the realization of U.S. and non-U.S. deferred tax assets. While these assets are not assured of realization, the Company’s assessment is that a valuation allowance is not required for the remaining balance of the deferred tax assets. This assessment is based on the Company’s evaluation of relevant criteria including the existence of (i) deferred tax liabilities that can be used to absorb deferred tax assets, (ii) taxable income in prior carryback years, and (iii) future taxable income. As a result of the sale of Micron stock in 2003, $223 million of the valuation allowance recorded in 2002 was reversed in 2003.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aggregate U.S. and non-U.S. tax loss carryforwards of approximately $91 million that expire through the year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$261 million, $243 million and $(42) million for 2004, 2003 and 2002.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36</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 Commitments and Contingencies</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u w:val="single" w:color="auto"/>
          <w:color w:val="auto"/>
        </w:rPr>
        <w:t>Italian Grants:</w:t>
      </w:r>
      <w:r>
        <w:rPr>
          <w:rFonts w:ascii="Arial" w:cs="Arial" w:eastAsia="Arial" w:hAnsi="Arial"/>
          <w:sz w:val="16"/>
          <w:szCs w:val="16"/>
          <w:b w:val="1"/>
          <w:bCs w:val="1"/>
          <w:color w:val="auto"/>
        </w:rPr>
        <w:t xml:space="preserve"> </w:t>
      </w:r>
      <w:r>
        <w:rPr>
          <w:rFonts w:ascii="Arial" w:cs="Arial" w:eastAsia="Arial" w:hAnsi="Arial"/>
          <w:sz w:val="16"/>
          <w:szCs w:val="16"/>
          <w:color w:val="auto"/>
        </w:rPr>
        <w:t>Italian government auditors have substantially completed a review, conducted in the ordinary course, of approximately $250 million of grants</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Italian government to TI’s former memory operations in Italy for 13 separate projects. The auditors have raised a number of issues relating to compliance with grant requirements and the eligibility of specific expenses for the grants. As of December 31, 2004, the auditors have issued audit reports on 12 of the 13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In the third quarter of 2004, agreement was reached on the partial settlement of matters relating to one of the more significant grants. As of December 31, 2004, the Ministry has published final decrees on 10 of the projects representing approximately $135 million of grants. TI does not expect the outcome to have a material adverse impact on the Company’s financial condition, results of operations or liquidity.</w:t>
      </w:r>
    </w:p>
    <w:p>
      <w:pPr>
        <w:spacing w:after="0" w:line="99"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u w:val="single" w:color="auto"/>
          <w:color w:val="auto"/>
        </w:rPr>
        <w:t>Venture Capital Contingencies: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investments in certain venture capital funds. TI has committed to provide additional capital to those funds.</w:t>
      </w:r>
      <w:r>
        <w:rPr>
          <w:rFonts w:ascii="Arial" w:cs="Arial" w:eastAsia="Arial" w:hAnsi="Arial"/>
          <w:sz w:val="16"/>
          <w:szCs w:val="16"/>
          <w:b w:val="1"/>
          <w:bCs w:val="1"/>
          <w:color w:val="auto"/>
        </w:rPr>
        <w:t xml:space="preserve"> </w:t>
      </w:r>
      <w:r>
        <w:rPr>
          <w:rFonts w:ascii="Arial" w:cs="Arial" w:eastAsia="Arial" w:hAnsi="Arial"/>
          <w:sz w:val="16"/>
          <w:szCs w:val="16"/>
          <w:color w:val="auto"/>
        </w:rPr>
        <w:t>As appropriate investments are entered into, the venture capital general partners may draw upon those committed funds from TI. As of December 31, 2004, TI may be required to provide an additional $35 million when the committed funds are called by the venture capital funds’ general partners.</w:t>
      </w:r>
    </w:p>
    <w:p>
      <w:pPr>
        <w:spacing w:after="0" w:line="8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u w:val="single" w:color="auto"/>
          <w:color w:val="auto"/>
        </w:rPr>
        <w:t>Leases: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conducts certain operations in leased facilities and also leases a portion of its data processing and other equipment. The lease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frequently include purchase and renewal provisions and require the Company to pay taxes, insurance and maintenance costs. Rental and lease expense was $127 million in 2004, $136 million in 2003 and $135 million in 2002.</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mid-2004, the Company entered into a long-term supply agreement to purchase industrial gases. This agreement is accounted for as an operating lease.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2004, the Company completed a sale-leaseback of its facilities in Attleboro, Massachusetts. The terms include a 20-year lease agreement that will become effective in the fourth quarter of 2005 upon the completion of a new facility at the site for consolidation of the operations remaining there. The Company expects to account for this as a capital lease.</w:t>
      </w:r>
    </w:p>
    <w:p>
      <w:pPr>
        <w:spacing w:after="0" w:line="121"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u w:val="single" w:color="auto"/>
          <w:color w:val="auto"/>
        </w:rPr>
        <w:t>Software Licenses: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licenses for certain electronic design automation (EDA) software that are accounted for in accordance with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98-1. The related liabilities are apportioned between current liabilities (accounts payable) and long-term liabilities (other liabilities) on the balance sheet.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capitalized software licenses was $102 million in 2004, $108 million in 2003 and $104 million in 2002.</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u w:val="single" w:color="auto"/>
          <w:color w:val="auto"/>
        </w:rPr>
        <w:t>Purchase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certain purchase commitments that are for normal usage, some of which contain provisions for minimum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These purchase commitments include two utility contracts of $70 million total with a contract price lower than market price. Also included are the maximum authorized expenditures for construction of a new wafer fab.</w:t>
      </w:r>
    </w:p>
    <w:p>
      <w:pPr>
        <w:spacing w:after="0" w:line="119"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u w:val="single" w:color="auto"/>
          <w:color w:val="auto"/>
        </w:rPr>
        <w:t>Summary:</w:t>
      </w:r>
      <w:r>
        <w:rPr>
          <w:rFonts w:ascii="Arial" w:cs="Arial" w:eastAsia="Arial" w:hAnsi="Arial"/>
          <w:sz w:val="18"/>
          <w:szCs w:val="18"/>
          <w:b w:val="1"/>
          <w:bCs w:val="1"/>
          <w:color w:val="auto"/>
        </w:rPr>
        <w:t xml:space="preserve"> </w:t>
      </w:r>
      <w:r>
        <w:rPr>
          <w:rFonts w:ascii="Arial" w:cs="Arial" w:eastAsia="Arial" w:hAnsi="Arial"/>
          <w:sz w:val="18"/>
          <w:szCs w:val="18"/>
          <w:color w:val="auto"/>
        </w:rPr>
        <w:t>At December 31, 2004, the Company was committed under noncancelable leases, capitalized software licenses and purchase commitments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payments in succeeding years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Capitalized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Software</w:t>
            </w:r>
          </w:p>
        </w:tc>
        <w:tc>
          <w:tcPr>
            <w:tcW w:w="1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0"/>
              </w:rPr>
              <w:t>Licenses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7"/>
              </w:rPr>
              <w:t>Commitments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2006</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2008</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92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TEXAS INSTRUMENTS</w:t>
            </w:r>
          </w:p>
        </w:tc>
        <w:tc>
          <w:tcPr>
            <w:tcW w:w="80" w:type="dxa"/>
            <w:vAlign w:val="bottom"/>
          </w:tcPr>
          <w:p>
            <w:pPr>
              <w:spacing w:after="0"/>
              <w:rPr>
                <w:sz w:val="12"/>
                <w:szCs w:val="12"/>
                <w:color w:val="auto"/>
              </w:rPr>
            </w:pPr>
          </w:p>
        </w:tc>
        <w:tc>
          <w:tcPr>
            <w:tcW w:w="2080" w:type="dxa"/>
            <w:vAlign w:val="bottom"/>
            <w:gridSpan w:val="5"/>
            <w:vMerge w:val="restart"/>
          </w:tcPr>
          <w:p>
            <w:pPr>
              <w:ind w:left="200"/>
              <w:spacing w:after="0"/>
              <w:rPr>
                <w:sz w:val="20"/>
                <w:szCs w:val="20"/>
                <w:color w:val="auto"/>
              </w:rPr>
            </w:pPr>
            <w:r>
              <w:rPr>
                <w:rFonts w:ascii="Arial" w:cs="Arial" w:eastAsia="Arial" w:hAnsi="Arial"/>
                <w:sz w:val="18"/>
                <w:szCs w:val="18"/>
                <w:color w:val="auto"/>
                <w:w w:val="93"/>
              </w:rPr>
              <w:t>2004 ANNUAL REPORT</w:t>
            </w:r>
          </w:p>
        </w:tc>
        <w:tc>
          <w:tcPr>
            <w:tcW w:w="700" w:type="dxa"/>
            <w:vAlign w:val="bottom"/>
            <w:vMerge w:val="restart"/>
          </w:tcPr>
          <w:p>
            <w:pPr>
              <w:jc w:val="right"/>
              <w:ind w:right="15"/>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080" w:type="dxa"/>
            <w:vAlign w:val="bottom"/>
            <w:gridSpan w:val="5"/>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8" w:name="page69"/>
    <w:bookmarkEnd w:id="68"/>
    <w:p>
      <w:pPr>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Letters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At December 31, 2004, the Company had $176 million of unused documentary letters of credit to enable manufacturers of certain products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E&amp;PS segment to receive payment upon shipment to the Company.</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Indemnification Guarantees: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routinely sells products with a limited intellectual property indemnification included in the terms of sale.</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the Company has had only minimal and infrequent losses associated with these indemnities. Consequently, any future liabilities brought about by the intellectual property indemnities cannot reasonably be estimated or accrued for.</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u w:val="single" w:color="auto"/>
          <w:color w:val="auto"/>
        </w:rPr>
        <w:t>Warranty Costs/Product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accrues for known product-related claims if a loss is probable and can be reasonably estimated.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presented, there have been no material accruals or payments regarding product warranty or product liability, and historically the Company has experienced a low rate of payments on product claims. Consistent with general industry practice, the Company enters formal contracts with certain customers in which the parties define warranty remedies. Typically, the Company’s warranty for semiconductor products covers three years, an obligation to repair, replace or refund, and a maximum payment obligation tied to the price paid for the Company’s products. In some cases, product claims may be disproportionate to the price of the Company’s products.</w:t>
      </w:r>
    </w:p>
    <w:p>
      <w:pPr>
        <w:spacing w:after="0" w:line="126" w:lineRule="exact"/>
        <w:rPr>
          <w:sz w:val="20"/>
          <w:szCs w:val="20"/>
          <w:color w:val="auto"/>
        </w:rPr>
      </w:pPr>
    </w:p>
    <w:p>
      <w:pPr>
        <w:ind w:right="460"/>
        <w:spacing w:after="0" w:line="378" w:lineRule="auto"/>
        <w:rPr>
          <w:sz w:val="20"/>
          <w:szCs w:val="20"/>
          <w:color w:val="auto"/>
        </w:rPr>
      </w:pPr>
      <w:r>
        <w:rPr>
          <w:rFonts w:ascii="Arial" w:cs="Arial" w:eastAsia="Arial" w:hAnsi="Arial"/>
          <w:sz w:val="15"/>
          <w:szCs w:val="15"/>
          <w:b w:val="1"/>
          <w:bCs w:val="1"/>
          <w:u w:val="single" w:color="auto"/>
          <w:color w:val="auto"/>
        </w:rPr>
        <w:t>General:</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is subject to various legal and administrative proceedings. Although it is not possible to predict the outcome of these matters,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believes that the results of these proceedings will not have a material adverse effect upon its financial condition, results of operations or liquidity.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38</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380"/>
          </w:cols>
          <w:pgMar w:left="240" w:top="274"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2004 and 2003, and the related consolidated statements of operations, comprehensive income (loss), stockholders’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2004 and 2003, and the consolidated results of their operations and their cash flows for each of the three years in the period ended December 31, 2004, in conformity with U.S. generally accepted accounting principles.</w:t>
      </w:r>
    </w:p>
    <w:p>
      <w:pPr>
        <w:spacing w:after="0" w:line="12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effectiveness of the Company’s internal control over financial reporting as of December 31, 2004, based on criteria established in Internal Control-Integrated Framework issued by the Committee of Sponsoring Organizations of the Treadway Commission and our report dated February 17, 2005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101600</wp:posOffset>
            </wp:positionV>
            <wp:extent cx="2015490" cy="5232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0154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20"/>
          </w:cols>
          <w:pgMar w:left="240" w:top="27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Management on Internal Control over Financial Reporting</w:t>
      </w:r>
    </w:p>
    <w:p>
      <w:pPr>
        <w:spacing w:after="0" w:line="8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management of TI is responsible for establishing and maintaining adequate internal control over financial reporting as defined in Rules 13a-15(f) and 15d-15(f) under the Securities Exchange Act of 1934. TI’s internal control system was designed to provide reasonable assurance to the Company’s management and Board of Directors regarding the reliability of financial reporting and the preparation and fair presentation of financial statements issued for external purposes in accordance with generally accepted accounting principles.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Therefore even those systems determined to be effective can only provide reasonable assurance with respect to financial reporting reliability and financial statement preparation and presentation.</w:t>
      </w:r>
    </w:p>
    <w:p>
      <w:pPr>
        <w:spacing w:after="0" w:line="12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TI management assessed the effectiveness of the Company’s internal control over financial reporting as of December 31, 2004. In making this assessment, it used the criteria set forth by the Committee of Sponsoring Organizations (COSO) of the Treadway Commission in Internal Control—Integrated Framework. Based on our assessment we believe that, as of December 31, 2004, the Company’s internal control over financial reporting is effective based on the COSO criteria.</w:t>
      </w:r>
    </w:p>
    <w:p>
      <w:pPr>
        <w:spacing w:after="0" w:line="7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our assessment of the Company’s internal control over financial reporting which immediately follows this report.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40</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360"/>
          </w:cols>
          <w:pgMar w:left="240" w:top="274"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audited management’s assessment, included in the accompanying Report of Management on Internal Control over Financial Reporting, that Texas Instruments Incorporated and subsidiaries maintained effective internal control over financial reporting as of December 31, 2004, based on criteria established in Internal Control—Integrated Framework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our opinion, management’s assessment that Texas Instruments Incorporated maintained effective internal control over financial reporting as of December 31, 2004, is fairly stated, in all material respects, based on the COSO criteria. Also, in our opinion, Texas Instruments Incorporated maintained, in all material respects, effective internal control over financial reporting as of December 31, 2004, based on the COSO criteria.</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2004 and 2003, and the related consolidated statements of operations, comprehensive income (loss), stockholders’ equity, and cash flows for each of the three years in the period ended December 31, 2004 of Texas Instruments Incorporated and our report dated February 17, 2005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87630</wp:posOffset>
            </wp:positionV>
            <wp:extent cx="2015490" cy="523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0154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2005</w:t>
      </w:r>
    </w:p>
    <w:p>
      <w:pPr>
        <w:spacing w:after="0" w:line="160"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27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Selected Financial Data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(Millions of dollars, except share and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12,580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9,834</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10,373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8,869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w w:val="97"/>
              </w:rPr>
              <w:t>Average common and dilutive potential common shares outstanding during</w:t>
            </w:r>
          </w:p>
        </w:tc>
        <w:tc>
          <w:tcPr>
            <w:tcW w:w="1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1,768,073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ind w:left="200"/>
              <w:spacing w:after="0"/>
              <w:rPr>
                <w:sz w:val="20"/>
                <w:szCs w:val="20"/>
                <w:color w:val="auto"/>
              </w:rPr>
            </w:pPr>
            <w:r>
              <w:rPr>
                <w:rFonts w:ascii="Arial" w:cs="Arial" w:eastAsia="Arial" w:hAnsi="Arial"/>
                <w:sz w:val="18"/>
                <w:szCs w:val="18"/>
                <w:color w:val="auto"/>
              </w:rPr>
              <w:t>year, in thousands*</w:t>
            </w: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1,766,400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1,733,343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1,734,506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1,791,630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-1106170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-1106170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-1106170</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-1106170</wp:posOffset>
            </wp:positionV>
            <wp:extent cx="50990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-1106170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-1106170</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-1106170</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-1106170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-1106170</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-1106170</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-1106170</wp:posOffset>
            </wp:positionV>
            <wp:extent cx="50990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-806450</wp:posOffset>
            </wp:positionV>
            <wp:extent cx="352869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528695"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-506095</wp:posOffset>
            </wp:positionV>
            <wp:extent cx="50990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-506095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-506095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-506095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-506095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-506095</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-506095</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-506095</wp:posOffset>
            </wp:positionV>
            <wp:extent cx="53594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-506095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-506095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-506095</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  For the years ended December 31, 2002 and 2001, dilutive potential common shares outstanding have been excluded due to the net loss for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5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$ 8,265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$ 4,195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w w:val="97"/>
              </w:rPr>
              <w:t>Property, plant and equipment (net)</w:t>
            </w:r>
          </w:p>
        </w:tc>
        <w:tc>
          <w:tcPr>
            <w:tcW w:w="5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3,918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4,794</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5,589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5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16,299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5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833</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10,734</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Employees</w:t>
            </w:r>
          </w:p>
        </w:tc>
        <w:tc>
          <w:tcPr>
            <w:tcW w:w="5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35,472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34,589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Stockholders of record</w:t>
            </w:r>
          </w:p>
        </w:tc>
        <w:tc>
          <w:tcPr>
            <w:tcW w:w="5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27,496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28,058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26,884</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29,985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100" w:type="dxa"/>
            <w:vAlign w:val="bottom"/>
            <w:gridSpan w:val="11"/>
          </w:tcPr>
          <w:p>
            <w:pPr>
              <w:spacing w:after="0"/>
              <w:rPr>
                <w:sz w:val="20"/>
                <w:szCs w:val="20"/>
                <w:color w:val="auto"/>
              </w:rPr>
            </w:pPr>
            <w:r>
              <w:rPr>
                <w:rFonts w:ascii="Arial" w:cs="Arial" w:eastAsia="Arial" w:hAnsi="Arial"/>
                <w:sz w:val="18"/>
                <w:szCs w:val="18"/>
                <w:color w:val="auto"/>
                <w:w w:val="88"/>
              </w:rPr>
              <w:t>See Notes to Financial Statements and Management’s Discussion and Analysis of Financial Condition and Results of Operations.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0" w:type="dxa"/>
            <w:vAlign w:val="bottom"/>
            <w:gridSpan w:val="2"/>
            <w:vMerge w:val="restart"/>
          </w:tcPr>
          <w:p>
            <w:pPr>
              <w:spacing w:after="0"/>
              <w:rPr>
                <w:sz w:val="20"/>
                <w:szCs w:val="20"/>
                <w:color w:val="auto"/>
              </w:rPr>
            </w:pPr>
            <w:r>
              <w:rPr>
                <w:rFonts w:ascii="Arial" w:cs="Arial" w:eastAsia="Arial" w:hAnsi="Arial"/>
                <w:sz w:val="18"/>
                <w:szCs w:val="18"/>
                <w:color w:val="auto"/>
              </w:rPr>
              <w:t>42</w:t>
            </w:r>
          </w:p>
        </w:tc>
        <w:tc>
          <w:tcPr>
            <w:tcW w:w="23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5140" w:type="dxa"/>
            <w:vAlign w:val="bottom"/>
            <w:gridSpan w:val="3"/>
            <w:vMerge w:val="restart"/>
          </w:tcPr>
          <w:p>
            <w:pPr>
              <w:jc w:val="right"/>
              <w:ind w:right="3120"/>
              <w:spacing w:after="0"/>
              <w:rPr>
                <w:sz w:val="20"/>
                <w:szCs w:val="20"/>
                <w:color w:val="auto"/>
              </w:rPr>
            </w:pPr>
            <w:r>
              <w:rPr>
                <w:rFonts w:ascii="Arial" w:cs="Arial" w:eastAsia="Arial" w:hAnsi="Arial"/>
                <w:sz w:val="18"/>
                <w:szCs w:val="18"/>
                <w:color w:val="auto"/>
              </w:rPr>
              <w:t>2004 ANNUAL REPORT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gridSpan w:val="2"/>
            <w:vMerge w:val="continue"/>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unless otherwise indicated.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Texas Instruments makes, markets and sells high-technology components; more than 30,000 customers all over the world buy our products. We have three separate business segments: 1) Semiconductor; 2) Sensors &amp; Controls; and 3) Educational &amp; Productivity Solutions. Semiconductor is by far the largest of these business segments. It accounted for over 85 percent of our revenue in 2004, and historically it averages a higher growth rate than the other two business segments, although the semiconductor market is characterized by wide swings in growth rates from year to year. We were the world’s third-largest semiconductor company in 2004 in terms of revenue, according to Gartner, Inc., an industry analyst.</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12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Many standard analog products tend to have long life spans. Both custom and standard products are proprietary and difficult for competitors to imitate. Analog products also include commodity products, which are sold in high volume and into a broad range of applications, and generally are differentiated by price and availability. We are one of the world’s largest suppliers of analog semiconductors.</w:t>
      </w:r>
    </w:p>
    <w:p>
      <w:pPr>
        <w:spacing w:after="0" w:line="10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analog signals that have been converted into digital form. Their power efficiency is important for battery-powered devices.</w:t>
      </w:r>
    </w:p>
    <w:p>
      <w:pPr>
        <w:spacing w:after="0" w:line="72"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Our DSPs include both custom and standard products. Custom products are designed for specific applications (such as wireless cell phones, very fast modems that connect users to the Internet via cable or phone lines, or consumer electronics such as digital music players and digital cameras). Standard products are sold into a broad range of applications, and like custom products, are difficult for competitors to imitate. We are the world’s largest supplier of DSPs.</w:t>
      </w:r>
    </w:p>
    <w:p>
      <w:pPr>
        <w:spacing w:after="0" w:line="7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addition to analog semiconductors and DSPs, Digital Light Processing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(DLP</w:t>
      </w:r>
      <w:r>
        <w:rPr>
          <w:rFonts w:ascii="Arial" w:cs="Arial" w:eastAsia="Arial" w:hAnsi="Arial"/>
          <w:sz w:val="22"/>
          <w:szCs w:val="22"/>
          <w:color w:val="auto"/>
          <w:vertAlign w:val="superscript"/>
        </w:rPr>
        <w:t>™</w:t>
      </w:r>
      <w:r>
        <w:rPr>
          <w:rFonts w:ascii="Arial" w:cs="Arial" w:eastAsia="Arial" w:hAnsi="Arial"/>
          <w:sz w:val="18"/>
          <w:szCs w:val="18"/>
          <w:color w:val="auto"/>
        </w:rPr>
        <w:t>) products have become strong contributors to our Semiconductor segment. DLP products are micro-electromechanical systems that use optical semiconductors to digitally manipulate light. In 2004, DLP products accounted for more than 5 percent of TI’s revenue.</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own and operate semiconductor manufacturing sites in the Americas, Japan, Europe and Asia. During 2004, we broke ground on a new semiconductor manufacturing complex in Texas. We plan to construct the building and infrastructure ahead of market demand, followed by stages of equipment installation as demand</w:t>
      </w:r>
    </w:p>
    <w:p>
      <w:pPr>
        <w:spacing w:after="0" w:line="135"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increases. When completed, the new facility will build some of the world’s most advanced semiconductor devices on 300-millimeter wafers.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facilities require substantial investment to construct and are largely fixed-cost assets once in operation. Because we own most of our manufacturing capacity, a significant portion of our operating costs are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13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the amount of capital expenditures and subsequent depreciation required to meet customer demands, as well as fluctuations in profit margins. Outside foundries provided about 20 percent of our total capacity needs in 2004.</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semiconductor market is characterized by constant and typically incremental innovation in product design and manufacturing technologies. We make significant investments in research and development (R&amp;D). Products resulting from our R&amp;D investments in 2004 did not contribute materially to revenue in the year, but should benefit us in future years. In general, new semiconductor products are shipped in limited quantities initially, and will then ramp into high volumes over time. Prices and manufacturing costs tend to decline over time as products and technologies mature.</w:t>
      </w:r>
    </w:p>
    <w:p>
      <w:pPr>
        <w:spacing w:after="0" w:line="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our Sensors &amp; Controls segment, products include sensors, electrical and electronic controls, and radio frequency identification (RFID) systems. Our primary markets are automotive and industrial. Other targeted markets include heating, ventilation, air conditioning, refrigeration and industrial control systems. This business segment represented about 10 percent of our revenue in 2004.</w:t>
      </w:r>
    </w:p>
    <w:p>
      <w:pPr>
        <w:spacing w:after="0" w:line="12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Educational &amp; Productivity Solutions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about 5 percent of our revenue in 2004.</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discussed more fully below, one factor affecting our financial results in 2004 was the accrual for the TI employee profit sharing plan. For 2004, the accrual was determined by a formula that considers both revenue growth rate and operating margin. For the years 2001 through 2003, our profit sharing formula did not result in any profit sharing.</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expect profit sharing accruals in 2005 to decline. In 2005, payment for the TI employee profit sharing plan will be determined based on a different formula than was used in 2004. The 2005 plan provides for profit sharing to be paid based solely upon our operating margin for the full calendar year. This new formula more closely aligns with industry practices and is expected to result in more consistent profit sharing accruals. We will continue to accrue profit sharing based on how we expect the Company to perform for the year in total. The accrual in a given quarter is based on our expectations at that time as to annual performance. Under the new plan, a minimum threshold of 10 percent operating margin must be achieved before any profit sharing is paid. Profit sharing at 10 percent operating margin will be 2 percent of eligible payroll. The maximum amount of profit sharing available under the plan is 20 percent of eligible payroll, and would only be paid when our operating margin meets or exceeds 35 percent for a full calendar year. By way of example, if the new formula were the basis for the 2004 accrual, we would have accrued about $100 million in profit sharing in 2004 compared with the $243 million that was actually accrued.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44</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Selected Items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8"/>
              </w:rPr>
              <w:t>For 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Revenues by 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Semiconductor</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10,941</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8,360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Sensors &amp; Controls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E&amp;PS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elimination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12,580</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9,834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6,954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5,872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3,962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1,748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R&amp;D % of revenue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SG&amp;A % of revenue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560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-329565</wp:posOffset>
            </wp:positionV>
            <wp:extent cx="39878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34734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4734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2004 Results Compared with 2003</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delivered excellent growth and improved profitability in 2004 despite a second half that was dampened by inventory adjustments. In the third and fourth quarters of 2004, distributors and other customers adjusted their semiconductor inventories. In response, we took action beginning in the third quarter to sharply reduce factory loadings, which has resulted in exiting the year with $100 million lower inventory levels than in the third quarter.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our revenue was $12,580 million, up $2746 million or 28 percent due to broad-based growth in the Semiconductor segment.</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Sensors &amp; Controls segment, revenue for 2004 increased 12 percent from 2003 due to higher broad-based demand. In the E&amp;PS segment, revenue for 2004 increased 7 percent from 2003 on the strength of higher shipments for new graphing calculator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(EPS) for the year were $1.05 compared with $0.68 in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separate discussion of operating results by segment is presented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Details of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Gross profit of $5626 million, or 44.7 percent of revenue, increased 42 percent from 2003 primarily due to higher revenue.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R&amp;D expense of $1978 million, or 15.7 percent of revenue, increased 13 percent primarily due to increased product development in Semiconductor, especially for wireless.</w:t>
      </w:r>
    </w:p>
    <w:p>
      <w:pPr>
        <w:spacing w:after="0" w:line="127"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274" w:right="239" w:bottom="1440" w:gutter="0" w:footer="0" w:header="0"/>
        </w:sectPr>
      </w:pPr>
    </w:p>
    <w:bookmarkStart w:id="76" w:name="page77"/>
    <w:bookmarkEnd w:id="7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general and administrative (SG&amp;A) expense of $1441 million, or 11.5 percent of revenue, increased 15 percent due to increased levels of marketing, especially for Semiconductor products and, to a lesser degree, higher profit sharing accruals.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operating profit of $2207 million, or 17.5 percent of revenue, increased 129 percent due to higher gross profit.</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2004, $243 million was accrued for the TI employee profit sharing plan, including $90 million in cost of revenue, $81 million in SG&amp;A and $72 million in R&amp;D. No profit sharing was accrued in 2003.</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income (expense) net (OI&amp;E) of $235 million decreased by $89 million due to lower investment gains that were partially offset, in descending order, by the partial settlement of matters related to grants from the Italian government regarding our former memory business operations, higher interest income generated from higher cash balances and higher interest rates, and the resolution of an open sales-tax item associated with our divested defense electronics business. In 2003, OI&amp;E included pre-tax investment gains of $203 million from the sale of our remaining 57 million shares of Micron Technologies, Inc. (Micron) common stock.</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 interest expense of $21 million decreased $18 million due to our lower debt level, which primarily resulted from our redemption of $400 million of notes that matured in the third quarter of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net income was $1861 million, or $1.05 per share, as compared with $1198 million, or $0.68 per share for 2003.</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effective annual tax rate for 2004 of 23 percent differs from the 35 percent corporate statutory rate due to the effect of non-U.S. tax rates and, to a lesser extent, various tax benefits such as for export sales and research activities. The rate reflects the reinstatement of the federal research tax credit that was signed into law on October 4, 2004. The rate does not reflect the impact of any potential repatriation of cash under the American Jobs Creation Act of 2004 (the Jobs Creation Act). (See Note 18 to financial statements for the current status of our assessment of the impact of this new tax law.)</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 annual tax rate in 2003 was 4 percent compared with 23 percent in 2004. This difference was primarily due to the reversal in 2003 of the $223 million valuation allowance on deferred tax assets generated in 2002 by the write-down of the investment in Micron stock. The tax rate impact of higher profit was mostly offset by increases in tax benefits and credits.</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not recorded a deferred U.S. tax liability in connection with the Jobs Creation Act. This is because our annual financial statements are presented based upon the tax laws in effect as of December 31, 2004, and at that time, it was our intention to continue to indefinitely reinvest a portion of our undistributed earnings of non-U.S. subsidiaries.</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year, our orders of $12,447 million increased 20 percent due to Semiconductor. Semiconductor orders of $10,788 million increased 22 percent, reflecting broad-based demand.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46</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Operations—Semiconductor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41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$10,941</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revenue</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5,974</w:t>
            </w:r>
          </w:p>
        </w:tc>
        <w:tc>
          <w:tcPr>
            <w:tcW w:w="5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4,967</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46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2,050</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46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Semiconductor revenue of $10,941 million increased 31 percent from 2003, due to increased shipments resulting from broad-based demand, led by 40 percent growth in wireless revenue, 40 percent growth in high-performance analog revenue and 79 percent growth in DLP product revenue. Revenue from analog products and DSPs represents 75 percent of total Semiconductor revenue for both 2004 and 2003. From an end-equipment perspective, higher shipments into the wireless market provided the most significant source of growth, as wireless revenue increased more than $1 billion to a record $3.8 billion for the year. Almost $500 million of the wireless revenue growth came from the emerging market for third-generation (3G) cell phones. Higher DLP shipments reflect the significant share gains in both of its primary markets—front projectors and high-definition televisions.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Semiconductor gross profit of $4967 million, or 45.4 percent of revenue, increased $1495 million primarily due to higher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year, operating profit was $2050 million, or 18.7 percent of revenue, up $1081 million due to higher gross profit.</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Analog revenue increased 28 percent from 2003 primarily due to higher shipments as a result of growth in demand for high-performance analog products and wireless products. High-performance analog revenue for the year grew 40 percent due to broad-based demand. In 2004, about 40 percent of total Semiconductor revenue came from analog.</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DSP revenue increased 35 percent from 2003 primarily due to strong demand for wireless products, and, to a lesser extent, catalog and broadband products. The emerging market for 3G handsets was a major contributor to the growth in demand for DSP products for wireless. In 2004, about 35 percent of total Semiconductor revenue came from DSP.</w:t>
      </w:r>
    </w:p>
    <w:p>
      <w:pPr>
        <w:spacing w:after="0" w:line="12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Our remaining Semiconductor revenue increased 30 percent primarily due to demand for DLP products. Revenue from DLP products increased 79 percent for the year. In 2004, DLP products were more than 5 percent of Semiconductor revenue, while reduced instruction set computing (RISC) microprocessors (designed to provide very fast computing, typically for a specialized application such as servers), standard logic, microcontrollers and royalties were under 5 percent each.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Semiconductor products sold into key end equipments were as follows:</w:t>
      </w:r>
    </w:p>
    <w:p>
      <w:pPr>
        <w:spacing w:after="0" w:line="77" w:lineRule="exact"/>
        <w:rPr>
          <w:sz w:val="20"/>
          <w:szCs w:val="20"/>
          <w:color w:val="auto"/>
        </w:rPr>
      </w:pPr>
    </w:p>
    <w:p>
      <w:pPr>
        <w:ind w:left="900" w:hanging="446"/>
        <w:spacing w:after="0" w:line="26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Wireless revenue grew 40 percent primarily due to more than 40 percent growth in 2.5G products and almost 300 percent growth in 3G products. Growth in revenue was due to higher shipments reflecting increased demand from manufacturers of cell phones, primarily for advanced processors for both the modem function and applications processing. We have continued our leadership in the 3G market referred to as the universal mobile telecommunications system (UMTS). UMTS is widely expected to be the prevalent global standard for 3G cell phones. We believe a strong majority of 3G cell phones using the UMTS standard are based on our DSPs and OMAP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 processors. (OMAP processors are high-performance processors that enable multimedia applications in cell phones and other electronic devices.) In 2004, about 35 percent of total Semiconductor revenue came from the wireless market.</w:t>
      </w:r>
    </w:p>
    <w:p>
      <w:pPr>
        <w:spacing w:after="0" w:line="137"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280" w:right="239" w:bottom="1440" w:gutter="0" w:footer="0" w:header="0"/>
        </w:sectPr>
      </w:pPr>
    </w:p>
    <w:bookmarkStart w:id="78" w:name="page79"/>
    <w:bookmarkEnd w:id="78"/>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Broadband communications revenue, which includes DSL and cable modems, Voice over Internet Protocol (VoIP) and wireless LAN (WLAN), grew 46 percent due to higher shipments from increased demand in all product areas. In 2004, about 5 percent of total Semiconductor revenue came from the broadband communications market.</w:t>
      </w:r>
    </w:p>
    <w:p>
      <w:pPr>
        <w:spacing w:after="0" w:line="127"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In total, we estimate that our Semiconductor revenue came from the following broad markets: communications (including wireless and broadband communications) was about 50 percent of Semiconductor revenue in 2004; computing (including computers and peripherals) was about 30 percent; digital consumer was about 10 percent; automotive was about 5 percent; and industrial and other was about 5 percent.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Semiconductor orders for 2004 increased 22 percent to $10,788 million due to broad-based demand.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Operations—Sensors &amp; Controls Segment</w:t>
      </w:r>
    </w:p>
    <w:p>
      <w:pPr>
        <w:spacing w:after="0" w:line="159"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60325</wp:posOffset>
            </wp:positionV>
            <wp:extent cx="9347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$1,127</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of revenue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4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Sensors &amp; Controls revenue for 2004 was a record $1127 million, up 12 percent due to higher shipments resulting from broad-based demand.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year, gross profit was $423 million, or 37.5 percent of revenue, an increase of $50 million due to higher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a record $281 million, or 24.9 percent of revenue, an increase of $30 million due to higher gross profit.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 (E&amp;PS)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Operations—E&amp;PS Segment</w:t>
      </w:r>
    </w:p>
    <w:p>
      <w:pPr>
        <w:spacing w:after="0" w:line="159"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60325</wp:posOffset>
            </wp:positionV>
            <wp:extent cx="79756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4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$ 518</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revenue</w:t>
            </w:r>
          </w:p>
        </w:tc>
        <w:tc>
          <w:tcPr>
            <w:tcW w:w="44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226</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292</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4420" w:type="dxa"/>
            <w:vAlign w:val="bottom"/>
            <w:gridSpan w:val="3"/>
          </w:tcPr>
          <w:p>
            <w:pPr>
              <w:jc w:val="right"/>
              <w:ind w:right="160"/>
              <w:spacing w:after="0"/>
              <w:rPr>
                <w:sz w:val="20"/>
                <w:szCs w:val="20"/>
                <w:color w:val="auto"/>
              </w:rPr>
            </w:pPr>
            <w:r>
              <w:rPr>
                <w:rFonts w:ascii="Arial" w:cs="Arial" w:eastAsia="Arial" w:hAnsi="Arial"/>
                <w:sz w:val="18"/>
                <w:szCs w:val="18"/>
                <w:color w:val="auto"/>
              </w:rPr>
              <w:t>56%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176</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442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E&amp;PS revenue for 2004 was a record $518 million, up 7 percent primarily due to increased shipments resulting from higher demand for new graphing calculator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gross profit of $292 million, or 56.4 percent of revenue, increased $25 million primarily due to higher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a record $176 million, or 34.0 percent of revenue, an increase of $19 million due to higher gross profit.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48</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2003 Compared with 2002</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2003, our revenue was $9834 million, up 17 percent from 2002 due to growth in Semiconductor that was led by demand for DSPs across the wireless, digital consumer and broadband markets. Revenue increased throughout the year, accelerating in the second half particularly in Semiconductor as demand increased for a broad range of DSP and analog products.</w:t>
      </w:r>
    </w:p>
    <w:p>
      <w:pPr>
        <w:spacing w:after="0" w:line="12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2003, Semiconductor revenue increased 20 percent from 2002, primarily due to strong demand for DSP products and TI market-share gains in both DSP and analog. From an end-equipment perspective, higher shipments into the wireless market provided the most significant source of growth as wireless revenue increased 32 percent for the year. In Sensors &amp; Controls, revenue for 2003 increased 5 percent from 2002 due to higher demand for sensor products in the automotive market. In E&amp;PS, revenue for 2003 decreased 2 percent from 2002 as customers reduced their inventories.</w:t>
      </w:r>
    </w:p>
    <w:p>
      <w:pPr>
        <w:spacing w:after="0" w:line="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Cost of revenue for 2003 was $5872 million or 59.7 percent of revenue, compared with $5313 million or 63.4 percent of revenue in 2002. Cost of revenue as a percent of revenue decreased due to greater utilization of our fixed-cost manufacturing assets in our Semiconductor operations.</w:t>
      </w:r>
    </w:p>
    <w:p>
      <w:pPr>
        <w:spacing w:after="0" w:line="72"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Gross profit was $3962 million, or 40.3 percent of revenue, an increase of 29 percent from 2002 due to the impact of higher revenue and, to a lesser extent, greater utilization of our fixed-cost manufacturing assets in our Semiconductor operations, partially offset by increased restructuring charges of $77 million relating to manufacturing efficiencies in the Semiconductor business and moving certain production lines in the Sensors &amp; Controls business from Attleboro, Massachusetts, to other sites located closer to our customers. The restructuring charges were primarily for severance and benefit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R&amp;D expense of $1748 million increased 8 percent from 2002 due to increased product development in Semiconductor, primarily for wireless.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SG&amp;A expense of $1249 million increased 7 percent from 2002 primarily due to higher Semiconductor marketing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2003, operating profit of $965 million, or 9.8 percent of revenue, increased 235 percent from 2002 due to higher gross profit.</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Other income (expense) net (OI&amp;E) of $324 million increased by $901 million from 2002. Of the increase, $841 million was related to our investment in Micron stock, which we received in connection with the sale of our memory business unit to Micron in 1998. In the fourth quarter of 2002, we recorded a $638 million impairment write-down of our holdings of Micron stock. As previously noted, we sold a portion of our Micron stock in the third quarter of 2003 for a pre-tax gain of $106 million, and we sold our remaining shares in the fourth quarter of 2003 for a pre-tax gain of $97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the year, interest expense was $39 million, down from $57 million in 2002 due to our lower debt level.</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effective tax rate in 2003 of 4 percent differed from the 35 percent corporate statutory rate due to (in decreasing order) the reversal of the $223 million valuation allowance associated with the deferred tax asset generated by the write-down of the Micron stock in the fourth quarter of 2002, the effect of non-U.S. tax rates, and various tax benefits such as those for research activities and export sales. Exclusive of the impact of the Micron valuation allowance, the tax rate was 22 percent. We had an income tax benefit of $2 million in 2002. This benefit was driven by (in decreasing order) our net operating loss in 2002, plus various tax benefits such as for research activities and export sales generated in that year, offset by the recording of the valuation allowance of $223 million associated with the write-down of the Micron stock. Income tax rates are not meaningful in years in which we have a tax benefit.</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2003, net income was $1198 million, or $0.68 cents per share, an increase of $1542 million from 2002. Within the increase, $993 million was due to the impact of the Micron stock-related actions including the associated tax impact, and $440 million was due to higher operating profit.</w:t>
      </w:r>
    </w:p>
    <w:p>
      <w:pPr>
        <w:spacing w:after="0" w:line="127"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00"/>
          </w:cols>
          <w:pgMar w:left="240" w:top="274" w:right="259" w:bottom="1440" w:gutter="0" w:footer="0" w:header="0"/>
        </w:sectPr>
      </w:pPr>
    </w:p>
    <w:bookmarkStart w:id="80" w:name="page81"/>
    <w:bookmarkEnd w:id="8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Orders of $10,344 million increased 23 percent from 2002, and Semiconductor orders of $8854 million increased 27 percent, reflecting broad-based demand for DSP and analog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 were $0.68, including a $0.20 per share contribution from the sale of Micron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Operations—Semiconductor Segment</w:t>
      </w:r>
    </w:p>
    <w:p>
      <w:pPr>
        <w:spacing w:after="0" w:line="15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60325</wp:posOffset>
            </wp:positionV>
            <wp:extent cx="95186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$8,360</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Cost of revenue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4,888</w:t>
            </w:r>
          </w:p>
        </w:tc>
        <w:tc>
          <w:tcPr>
            <w:tcW w:w="5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3,472</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2003, Semiconductor revenue was $8360 million, up 20 percent from 2002 primarily due to increased shipments. The increased shipments were the result of stronger demand for a broad range of our DSP products and, to a lesser extent, market share gains in both DSP and analog markets. The semiconductor market was particularly robust in the second half of the year. The results of our Semiconductor business in the second half of the year reflected this stronger market environment.</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Semiconductor gross profit of $3472 million, or 41.5 percent of revenue, increased by $913 million from 2002 primarily due to higher revenue and, to a lesser extent, greater manufacturing utilization.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$969 million, or 11.6 percent of revenue, up $715 million from 2002 due to higher gross profit.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Analog revenue increased 13 percent from 2002 due to increased shipments resulting from higher demand for a broad range of our high-performance analog products. In 2003, about 40 percent of total Semiconductor revenue came from analog.</w:t>
      </w:r>
    </w:p>
    <w:p>
      <w:pPr>
        <w:spacing w:after="0" w:line="118"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DSP revenue increased 36 percent for the year primarily due to higher demand in the wireless market, and to a lesser extent, higher shipments resulting from increased demand in the digital consumer and broadband communications markets. In 2003, about 35 percent of total Semiconductor revenue came from DSP.</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year, our remaining Semiconductor revenue increased 14 percent from 2002 due to higher shipments resulting from increased demand for, in decreasing order, DLP products, RISC microprocessors and standard logic products, and higher royalties. These gains more than offset a decline in microcontrollers that was due to decreased shipments resulting from lower demand for TI products in this area.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2003 results for our Semiconductor products sold into key end equipments were as follows:</w:t>
      </w:r>
    </w:p>
    <w:p>
      <w:pPr>
        <w:spacing w:after="0" w:line="77" w:lineRule="exact"/>
        <w:rPr>
          <w:sz w:val="20"/>
          <w:szCs w:val="20"/>
          <w:color w:val="auto"/>
        </w:rPr>
      </w:pPr>
    </w:p>
    <w:p>
      <w:pPr>
        <w:ind w:left="900" w:right="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Wireless revenue grew 32 percent compared with 2002 primarily due to increased shipments of 2.5G modems and OMAP application processors. The biggest factor in the growth in shipments of 2.5G modems and OMAP application processors was demand for advanced-feature phones. In 2003, about 35 percent of total Semiconductor revenue came from the wireless market.</w:t>
      </w:r>
    </w:p>
    <w:p>
      <w:pPr>
        <w:spacing w:after="0" w:line="45" w:lineRule="exact"/>
        <w:rPr>
          <w:rFonts w:ascii="Arial" w:cs="Arial" w:eastAsia="Arial" w:hAnsi="Arial"/>
          <w:sz w:val="18"/>
          <w:szCs w:val="18"/>
          <w:color w:val="auto"/>
        </w:rPr>
      </w:pPr>
    </w:p>
    <w:p>
      <w:pPr>
        <w:jc w:val="both"/>
        <w:ind w:left="900" w:right="120" w:hanging="446"/>
        <w:spacing w:after="0" w:line="335"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Revenue increased from our catalog products, composed of high-performance analog and catalog DSP, which are sold into a highly diverse range of end-equipment markets. The 24 percent increase was primarily due to increased shipments in distribution channels, resulting from demand for high-performance analog and, to a lesser extent, DSP products. In 2003, about 15 percent of total Semiconductor revenue came from catalog products.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50</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81" w:name="page82"/>
    <w:bookmarkEnd w:id="81"/>
    <w:p>
      <w:pPr>
        <w:ind w:left="900" w:right="60" w:hanging="446"/>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broadband communications revenue increased 71 percent from 2002 due about equally to higher shipments resulting from increased demand for DSL and wireless local area networks (WLAN) products as our position and market share strengthened in both of these fast-growing market areas. Broadband communications revenue includes DSL and cable modems, Voice over Internet Protocol (VoIP) and WLAN. In 2003, about 5 percent of total Semiconductor revenue came from the broadband communications market.</w:t>
      </w:r>
    </w:p>
    <w:p>
      <w:pPr>
        <w:spacing w:after="0" w:line="99"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In total, we estimate that our 2003 Semiconductor revenue came from the following broad markets: communications (including wireless and broadband communications) was about 45 percent of Semiconductor revenue in 2003; computing (including computers and peripherals) was about 30 percent; digital consumer was about 10 percent; industrial and other was about 10 percent; and automotive was about 5 percent.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orders increased 27 percent to $8854 million due to higher broad-based demand for analog and DSP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Operations—Sensors &amp; Controls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$1,009</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Cost of revenue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5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For 2003, Sensors &amp; Controls revenue was $1009 million, up 5 percent from 2002 due to higher demand for sensor products in the automotive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$373 million, an increase of $44 million from 2002 due to reduced manufacturing costs.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was $251 million, or 24.9 percent of revenue, an increase of $37 million from 2002. The gains in operating profit were due to higher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Operations—E&amp;PS Segment</w:t>
      </w:r>
    </w:p>
    <w:p>
      <w:pPr>
        <w:spacing w:after="0" w:line="159"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60325</wp:posOffset>
            </wp:positionV>
            <wp:extent cx="7975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218</w:t>
            </w:r>
          </w:p>
        </w:tc>
        <w:tc>
          <w:tcPr>
            <w:tcW w:w="5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20"/>
              <w:spacing w:after="0"/>
              <w:rPr>
                <w:sz w:val="20"/>
                <w:szCs w:val="20"/>
                <w:color w:val="auto"/>
              </w:rPr>
            </w:pPr>
            <w:r>
              <w:rPr>
                <w:rFonts w:ascii="Arial" w:cs="Arial" w:eastAsia="Arial" w:hAnsi="Arial"/>
                <w:sz w:val="18"/>
                <w:szCs w:val="18"/>
                <w:color w:val="auto"/>
              </w:rPr>
              <w:t>Gross profit % of revenue</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3"/>
          </w:tcPr>
          <w:p>
            <w:pPr>
              <w:ind w:left="420"/>
              <w:spacing w:after="0"/>
              <w:rPr>
                <w:sz w:val="20"/>
                <w:szCs w:val="20"/>
                <w:color w:val="auto"/>
              </w:rPr>
            </w:pPr>
            <w:r>
              <w:rPr>
                <w:rFonts w:ascii="Arial" w:cs="Arial" w:eastAsia="Arial" w:hAnsi="Arial"/>
                <w:sz w:val="18"/>
                <w:szCs w:val="18"/>
                <w:color w:val="auto"/>
              </w:rPr>
              <w:t>Operating profit % of revenue</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50"/>
        </w:trPr>
        <w:tc>
          <w:tcPr>
            <w:tcW w:w="10880" w:type="dxa"/>
            <w:vAlign w:val="bottom"/>
            <w:gridSpan w:val="7"/>
          </w:tcPr>
          <w:p>
            <w:pPr>
              <w:spacing w:after="0"/>
              <w:rPr>
                <w:sz w:val="20"/>
                <w:szCs w:val="20"/>
                <w:color w:val="auto"/>
              </w:rPr>
            </w:pPr>
            <w:r>
              <w:rPr>
                <w:rFonts w:ascii="Arial" w:cs="Arial" w:eastAsia="Arial" w:hAnsi="Arial"/>
                <w:sz w:val="18"/>
                <w:szCs w:val="18"/>
                <w:color w:val="auto"/>
              </w:rPr>
              <w:t>For 2003, E&amp;PS revenue was $485 million, down 2 percent from 2002 as customers reduced their inventories of our products.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20" w:type="dxa"/>
            <w:vAlign w:val="bottom"/>
            <w:gridSpan w:val="4"/>
          </w:tcPr>
          <w:p>
            <w:pPr>
              <w:spacing w:after="0"/>
              <w:rPr>
                <w:sz w:val="20"/>
                <w:szCs w:val="20"/>
                <w:color w:val="auto"/>
              </w:rPr>
            </w:pPr>
            <w:r>
              <w:rPr>
                <w:rFonts w:ascii="Arial" w:cs="Arial" w:eastAsia="Arial" w:hAnsi="Arial"/>
                <w:sz w:val="18"/>
                <w:szCs w:val="18"/>
                <w:color w:val="auto"/>
              </w:rPr>
              <w:t>Gross profit of $267 million increased by $6 million from 2002 due to product cost reductions.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20" w:type="dxa"/>
            <w:vAlign w:val="bottom"/>
            <w:gridSpan w:val="4"/>
          </w:tcPr>
          <w:p>
            <w:pPr>
              <w:spacing w:after="0"/>
              <w:rPr>
                <w:sz w:val="20"/>
                <w:szCs w:val="20"/>
                <w:color w:val="auto"/>
              </w:rPr>
            </w:pPr>
            <w:r>
              <w:rPr>
                <w:rFonts w:ascii="Arial" w:cs="Arial" w:eastAsia="Arial" w:hAnsi="Arial"/>
                <w:sz w:val="18"/>
                <w:szCs w:val="18"/>
                <w:color w:val="auto"/>
                <w:w w:val="89"/>
              </w:rPr>
              <w:t>Operating profit was $157 million, or 32.3 percent of revenue, an increase of $3 million from 2002 due to higher gross profit.</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0" w:type="dxa"/>
            <w:vAlign w:val="bottom"/>
            <w:vMerge w:val="restart"/>
          </w:tcPr>
          <w:p>
            <w:pPr>
              <w:ind w:left="652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20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w w:val="91"/>
              </w:rPr>
              <w:t>2004 ANNUAL REPORT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vMerge w:val="continue"/>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Condition</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end of 2004, total cash (cash and cash equivalents plus short-term investments and long-term cash investments) was $6358 million, an increase of $694 million from the end of 2003. During 2004, we used $907 million in cash to repurchase $753 million of our common stock and to pay $154 million in dividends. In 2003, we repurchased $284 million of TI common stock and paid $147 million in dividends.</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Accounts receivable of $1696 million increased $245 million from the end of 2003 due to higher Semiconductor revenue. Days sales outstanding were 48 at the end of 2004, compared with 47 at the end of 2003.</w:t>
      </w:r>
    </w:p>
    <w:p>
      <w:pPr>
        <w:spacing w:after="0" w:line="11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Inventory at the end of 2004 was $1256 million. Actions taken toward the end of the year caused inventory to decline by $100 million from the third to fourth quarter. Inventory increased by $272 million compared with the end of 2003 as we built inventory to support higher shipment levels and to improve our performance in customer service metrics. Days of inventory at the end of 2004 were 62, up from 56 days at the end of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in 2004 was $1479 million, an increase of $50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Our primary source of liquidity is our cash and cash equivalents, short-term investments, and long-term cash investments totaling $6358 million. Another source of liquidity is authorized borrowings of $500 million for commercial paper, backed by a 364-day revolving credit facility, which is currently not utilized.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fourth quarter, our debt-to-total-capital ratio was 0.03, down from 0.07 at the end of 2003 due to retirement of debt.</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year, cash flow from operations increased $995 million to $3146 million, up 46 percent, primarily due to higher net income adjusted for noncash items and gains on sales of equity investments.</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Net cash used in investing activities was $1161 million for 2004, up from $842 million for 2003 primarily due to increased capital expenditures. For the year, capital expenditures of $1298 million increased by $498 million. Our capital expenditures in 2004 were primarily for equipment used in assembly and test operations, and for 90-nanometer wafer fabrication. In 2004, $135 million in cash was received from net sales of cash investments compared with net purchases of $670 million in 2003. In 2003, we received cash of $778 million from equity sales, primarily from the sale of Micron stock. In addition, our 2003 acquisition of Radia Communications, Inc. used approximately $128 million of cash.</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2004, net cash used in financing activities was $1150 million, up from $439 million in 2003, primarily reflecting increased repurchases of our common stock. We used $753 million of cash to repurchase approximately 30.1 million shares of our common stock in 2004, compared with $284 million used to repurchase approximately 13.9 million shares of our common stock in 2003. Also, the increase in the amount of dividends paid in 2004 reflects the increase in the quarterly dividend rate to $0.025 per share that was announced in the third quarter of 2004.</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third quarter of 2004, our Board of Directors authorized the repurchase of $1 billion of our common stock using existing cash holdings. This authorization is in addition to previously announced stock repurchase authorizations. In the first quarter of 2005, our Board of Directors authorized the repurchase of an additional $2 billion of the Company’s common stock.</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52</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380"/>
          </w:cols>
          <w:pgMar w:left="240" w:top="274"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Contractual Obligations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2006/2007</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2008/2009</w:t>
            </w:r>
          </w:p>
        </w:tc>
        <w:tc>
          <w:tcPr>
            <w:tcW w:w="40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Capital lease obligations (2)</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Software license obligations (4)</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 (5)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370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Non-U.S. pension funding (6)</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w w:val="79"/>
              </w:rPr>
              <w:t>300</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2087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863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Long-term debt obligations include amounts classified as current portion of long-term debt, i.e., obligations that will be retired within 12 months.</w:t>
      </w:r>
    </w:p>
    <w:p>
      <w:pPr>
        <w:spacing w:after="0" w:line="55"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Capital lease obligations include amounts resulting from a sale-leaseback arrangement that will become effective in the fourth quarter of 2005 upon the completion of a new facility (see Leases in Note 19 for further details).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Operating lease obligations include minimum lease payments for leased facilities and equipment, as well as purchases of industrial gases under a contract accounted for as an operating lease.</w:t>
      </w:r>
    </w:p>
    <w:p>
      <w:pPr>
        <w:spacing w:after="0" w:line="78" w:lineRule="exact"/>
        <w:rPr>
          <w:rFonts w:ascii="Arial" w:cs="Arial" w:eastAsia="Arial" w:hAnsi="Arial"/>
          <w:sz w:val="12"/>
          <w:szCs w:val="12"/>
          <w:color w:val="auto"/>
        </w:rPr>
      </w:pPr>
    </w:p>
    <w:p>
      <w:pPr>
        <w:ind w:left="340" w:right="246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Software license obligations include agreements to license electronic design automation software; these are classified as leases in accordance with Statement of Position 98-1.</w:t>
      </w:r>
    </w:p>
    <w:p>
      <w:pPr>
        <w:spacing w:after="0" w:line="43" w:lineRule="exact"/>
        <w:rPr>
          <w:rFonts w:ascii="Arial" w:cs="Arial" w:eastAsia="Arial" w:hAnsi="Arial"/>
          <w:sz w:val="14"/>
          <w:szCs w:val="14"/>
          <w:color w:val="auto"/>
        </w:rPr>
      </w:pPr>
    </w:p>
    <w:p>
      <w:pPr>
        <w:ind w:left="340" w:right="40" w:hanging="332"/>
        <w:spacing w:after="0" w:line="28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Purchase commitments include contractual arrangements with suppliers where there is a fixed non-cancelable payment schedule or minimum payments due with a reduced delivery schedule. Also included are the maximum authorized expenditures for construction of a new wafer fab. Excluded from the table are cancelable arrangements. However, depending on the timing of canceling certain purchase arrangements, an additional $33 million of cancellation penalties may be required to be paid, which are not reflected in the table above.</w:t>
      </w:r>
    </w:p>
    <w:p>
      <w:pPr>
        <w:spacing w:after="0" w:line="16" w:lineRule="exact"/>
        <w:rPr>
          <w:rFonts w:ascii="Arial" w:cs="Arial" w:eastAsia="Arial" w:hAnsi="Arial"/>
          <w:sz w:val="12"/>
          <w:szCs w:val="12"/>
          <w:color w:val="auto"/>
        </w:rPr>
      </w:pPr>
    </w:p>
    <w:p>
      <w:pPr>
        <w:ind w:left="340" w:right="60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Non-U.S. pension funding includes the expected contributions planned for 2005. Funding projections beyond the current year are not practical to estimate due to the rules affecting tax deductible contributions and the impact from plan asset performance, interest rates and potential U.S. federal legislation.</w:t>
      </w:r>
    </w:p>
    <w:p>
      <w:pPr>
        <w:spacing w:after="0" w:line="43" w:lineRule="exact"/>
        <w:rPr>
          <w:rFonts w:ascii="Arial" w:cs="Arial" w:eastAsia="Arial" w:hAnsi="Arial"/>
          <w:sz w:val="14"/>
          <w:szCs w:val="14"/>
          <w:color w:val="auto"/>
        </w:rPr>
      </w:pPr>
    </w:p>
    <w:p>
      <w:pPr>
        <w:jc w:val="both"/>
        <w:ind w:left="340" w:right="280" w:hanging="332"/>
        <w:spacing w:after="0" w:line="23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Deferred compensation plan includes an estimate of payments under this plan for the liability that existed at December 31, 2004. Certain employees are eligible to defer a portion of their salary, bonus, profit sharing and non-qualified pension benefits into a non-qualified deferred compensation plan. Employees who participate in the plan can select one of five distribution options offered by the plan. Payments are made after the employee terminates, based on their distribution election and plan balance.</w:t>
      </w:r>
    </w:p>
    <w:p>
      <w:pPr>
        <w:spacing w:after="0" w:line="12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believes it has the necessary financial resources to fund its working capital needs, capital expenditures, dividend payments and other business requirements for at least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preparing its consolidated financial statements in conformity with accounting principles generally accepted in the United States, the Company uses statistical analyses, estimates and projections that affect the reported amounts and related disclosures and may vary from actual results. The Company considers the following accounting policies to be both those that are most important to the portrayal of its financial condition and that require the most subjective judgment. If actual results differ significantly from management’s estimates and projections, there could be an effect on the Company’s financial statements.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Revenue Recognition</w:t>
      </w:r>
    </w:p>
    <w:p>
      <w:pPr>
        <w:spacing w:after="0" w:line="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 from sales of the Company’s products is recognized upon shipment or delivery, depending upon the terms of the sales order, provided that persuasive evidence of a sales arrangement exists, title and risk of loss have transferred to the customer, the sales amount is fixed and determinable and collection of the revenue is reasonably assured. A portion of TI’s sales are to distributors. TI recognizes revenue from sales of the Company’s products to distributors upon delivery of product to the distributors.</w:t>
      </w:r>
    </w:p>
    <w:p>
      <w:pPr>
        <w:spacing w:after="0" w:line="13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reduces revenue based on estimates of future credits to be granted to customers. Credits are granted for reasons such as product returns due to quality issues, prompt payment discounts, volume-based incentives, and other special pricing arrangements.</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Distributor revenue is recognized net of allowances, which are quarterly management estimates based on analysis of historical data, market conditions and contract terms. These allowances recognize the impact of credits granted to distributors under certain programs common in the semiconductor industry whereby distributors are allowed to</w:t>
      </w:r>
    </w:p>
    <w:p>
      <w:pPr>
        <w:spacing w:after="0" w:line="135"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274"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return a limited amount of product or receive certain price adjustments in accordance with contractual terms agreed between the distributor and the Company.</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the Company, and when realization of payment is considered probable by management. Estimates are based on historical experience and analysis of annual sales results of licensees. Estimates are periodically adjusted as a result of reviews of reported results of licensees, which reviews may take the form of an independent audit. Where warranted, revenue from licensees may be recognized on a cash basis.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Company monitors collectibility of accounts receivable primarily through review of the accounts receivable aging. When facts and circumstances indicate the collection of specific amounts or from specific customers is at risk, the Company assesses the impact on amounts recorded for bad debts and, if necessary, will record a charge in the period such determination is made.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Inventory Valuation Allowances</w:t>
      </w:r>
    </w:p>
    <w:p>
      <w:pPr>
        <w:spacing w:after="0" w:line="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Taxes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determining income for financial statement purposes, the Company must make certain estimates and judgments in the calculation of tax expense and the resultant tax liabilities and in the recoverability of deferred tax assets that arise from temporary differences between the tax and financial statement recognition of revenue and expense.</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The Company recognizes potential liabilities for anticipated tax audit issues in the U.S. and other tax jurisdictions based on an estimate of the ultimate resolution of whether, and the extent to which, additional taxes will be due. Although the Company believes the estimates are reasonable, no assurance can be given that the final outcome of these matters will not be different than what is reflected in the historical income tax provisions and accruals.</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part of its financial process, the Company must assess the likelihood that its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carryback years that can be used to absorb net operating losses and credit carrybacks, and taxable income in future years. The Company’s judgment regarding future profitability may change due to future market conditions, changes in U.S. or international tax laws and other factors. These changes, if any, may require material adjustments to these deferred tax assets and an accompanying reduction or increase in net income in the period when such determinations are made.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risks to the effective tax rate described above, the effective tax rate reflected in forward-looking statements is based on current enacted tax law.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during the year in enacted tax law could affect these estimates.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54</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00"/>
          </w:cols>
          <w:pgMar w:left="240" w:top="280" w:right="259" w:bottom="1440" w:gutter="0" w:footer="0" w:header="0"/>
        </w:sectPr>
      </w:pPr>
    </w:p>
    <w:bookmarkStart w:id="85" w:name="page86"/>
    <w:bookmarkEnd w:id="8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Impairment of Long-Lived Assets</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TI reviews long-lived assets for impairment when certain indicators are present that suggest the carrying amount may not be recoverable. This review process primarily focuses on intangible assets from business acquisitions, property, plant and equipment, and software for internal use or embedded in products sold to customers. Factors considered include the under-performance of a business compared to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by the Company in future periods, a shortened life may be utilized if appropriate, resulting in accelerated amortization or depreciation based upon the expected net realizable value of the asset at the date the asset will no longer be utilized by the Company. Actual results may vary from estimates due to, among other things, differences in operating results, shorter asset useful lives and lower market values for excess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December 2004, the FASB issued SFAS No. 123 (revised 2004),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(Statement 123(R)), which is a revision of SFAS No.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issued in 1995. The Company currently accounts for share-based payments to employees (which include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options) using the intrinsic value method of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as such, generally recognizes no compensation cost for employee stock options. This new standard requires companies to adopt the fair value methodology of valuing stock options and recognizing that valuation in the financial statements from the date of grant. Accordingly, the adoption of Statement 123(R)’s fair value method will have a significant impact on the Company’s result of operations, although it will have no impact on the Company’s overall financial position. The impact of adoption of Statement 123(R) cannot be predicted at this time because it will partially depend on levels of share-based payments granted in the future. However, had the Company adopted Statement 123(R) in prior periods, the impact of that standard would have approximated the impact of Statement 123 as described in the disclosure as shown in Note 1 to the financial statements (see Effects of Stock-based Compensation). Statement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The Company has elected to adopt the provisions of this standard on a modified prospective application method effective July 1, 2005.</w:t>
      </w:r>
    </w:p>
    <w:p>
      <w:pPr>
        <w:spacing w:after="0" w:line="11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December 2004, the FASB also issued SFAS No. 151, “Inventory Costs, an amendment of ARB No. 43, Chapter 4,” which will become effective for the Company beginning January 1, 2006. This standard clarifies that abnormal amounts of idle facility expense, freight, handling costs and wasted material should be expensed as incurred and not included in overhead. In addition, this standard requires that the allocation of fixed production overhead costs to inventory be based on the normal capacity of the production facilities. The Company is currently evaluating the potential impact of this issue on its financial position and results of operations, but does not believe the impact of the change will be material.</w:t>
      </w:r>
    </w:p>
    <w:p>
      <w:pPr>
        <w:spacing w:after="0" w:line="1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October 22, 2004, a new tax law was enacted, the American Jobs Creation Act of 2004 (the “Jobs Creation Act”), which raised a number of issues with respect to accounting for income taxes. (See Note 18 to financial statements for more detailed discussion of the impact of the Jobs Creation Act.) In response, on December 21, 2004, the FASB issued two FASB Staff Positions (FSP), FSP 109-1—</w:t>
      </w:r>
      <w:r>
        <w:rPr>
          <w:rFonts w:ascii="Arial" w:cs="Arial" w:eastAsia="Arial" w:hAnsi="Arial"/>
          <w:sz w:val="18"/>
          <w:szCs w:val="18"/>
          <w:i w:val="1"/>
          <w:iCs w:val="1"/>
          <w:color w:val="auto"/>
        </w:rPr>
        <w:t>“Application of FASB Statement No. 109, Accounting for Income Taxes,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Tax Deduction on Qualified Production Activities Provided by the American Jobs Creation Act of 2004” </w:t>
      </w:r>
      <w:r>
        <w:rPr>
          <w:rFonts w:ascii="Arial" w:cs="Arial" w:eastAsia="Arial" w:hAnsi="Arial"/>
          <w:sz w:val="18"/>
          <w:szCs w:val="18"/>
          <w:color w:val="auto"/>
        </w:rPr>
        <w:t>and FSP 109-2—</w:t>
      </w:r>
      <w:r>
        <w:rPr>
          <w:rFonts w:ascii="Arial" w:cs="Arial" w:eastAsia="Arial" w:hAnsi="Arial"/>
          <w:sz w:val="18"/>
          <w:szCs w:val="18"/>
          <w:i w:val="1"/>
          <w:iCs w:val="1"/>
          <w:color w:val="auto"/>
        </w:rPr>
        <w:t xml:space="preserve">“Accounting and Disclosure Guidance for the Foreign Earnings Repatriation Provision within the American Jobs Creation Act of 2004,” </w:t>
      </w:r>
      <w:r>
        <w:rPr>
          <w:rFonts w:ascii="Arial" w:cs="Arial" w:eastAsia="Arial" w:hAnsi="Arial"/>
          <w:sz w:val="18"/>
          <w:szCs w:val="18"/>
          <w:color w:val="auto"/>
        </w:rPr>
        <w:t>which became effective for the Company upon</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w:t>
      </w:r>
    </w:p>
    <w:p>
      <w:pPr>
        <w:spacing w:after="0" w:line="13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Jobs Creation Act provides a deduction for income from qualified domestic production activities, which will be phased in from 2005 through 2010 that is intended to replace the existing extra-territorial income exclusion for foreign sales. In FSP 109-1, the FASB decided the deduction for qualified domestic production activities should be accounted for as a special deduction under FAS No. 109, rather than as a rate reduction. Accordingly, any benefit</w:t>
      </w:r>
    </w:p>
    <w:p>
      <w:pPr>
        <w:spacing w:after="0" w:line="101"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280" w:right="239" w:bottom="1440" w:gutter="0" w:footer="0" w:header="0"/>
        </w:sectPr>
      </w:pPr>
    </w:p>
    <w:bookmarkStart w:id="86" w:name="page87"/>
    <w:bookmarkEnd w:id="8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deduction will be reported in the period in which the deduction is claimed on the tax return and no adjustments to deferred taxes at December 31, 2004, is required.</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Jobs Creation Act also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FSP 109-2 addresses when to reflect in the financial statements the effects of the one-time tax benefit on the repatriation of foreign earnings. Under SFAS No. 109, companies are normally required to reflect the effect of new tax law changes in the period of enactment. FSP 109-2 provides companies additional time to determine the amount of earnings, if any, that are intended to repatriate under the Jobs Creation Act’s provisions. Currently we are analyzing whether, and to what extent, foreign earnings that have not yet been remitted to the U.S. may be repatriated. Based on analysis to date, however, it is reasonably possible that the Company may repatriate some amount up to $1.6 billion, with the respective tax liability ranging up to $0.2 billion.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Changes in Accounting Standards in Note 1 to financial statements for discussion of other changes in accounting standards.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U.S. dollar is the functional currency for financial reporting. In this regard, the Company uses forward currency exchange contracts to minimize the adverse earnings impact from the effect of exchange rate fluctuations on the Company’s non-U.S. dollar net balance sheet exposures. For example, at year-end 2004, the Company had forward currency exchange contracts outstanding of $270 million (including $139 million to buy euros, $28 million to buy Taiwan dollars, and $28 million to sell Japanese yen). Similar hedging activities existed at year-end 2003. Because most of the aggregate non-U.S. dollar balance sheet exposure is hedged by these exchange contracts, a hypothetical 10 percent plus or minus fluctuation in non-U.S. currency exchange rates would not be expected to have a material earnings impact, e.g., based on year-end 2004 balances and rates, a pretax currency exchange gain or loss of $1 million.</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long-term debt has a fair value, based on current interest rates, of approximately $394 million at year-end 2004 ($871 million at year-end 2003). Fair value will vary as interest rates change. The following table presents the aggregate maturities and historical cost amounts of the debt principal and related weighted-average interest rates by maturity dates at year-end 2004: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U.S. Dollar</w:t>
            </w:r>
          </w:p>
        </w:tc>
        <w:tc>
          <w:tcPr>
            <w:tcW w:w="9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Euro</w:t>
            </w: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7"/>
              </w:rPr>
              <w:t>Fair Value U.S.</w:t>
            </w:r>
          </w:p>
        </w:tc>
        <w:tc>
          <w:tcPr>
            <w:tcW w:w="34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Average</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Maturity</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Fixed-Rate</w:t>
            </w:r>
          </w:p>
        </w:tc>
        <w:tc>
          <w:tcPr>
            <w:tcW w:w="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Interest</w:t>
            </w: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Fixed-Rate</w:t>
            </w: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Interest</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Dollar Interest</w:t>
            </w:r>
          </w:p>
        </w:tc>
        <w:tc>
          <w:tcPr>
            <w:tcW w:w="34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Pay</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Receive</w:t>
            </w:r>
          </w:p>
        </w:tc>
        <w:tc>
          <w:tcPr>
            <w:tcW w:w="0" w:type="dxa"/>
            <w:vAlign w:val="bottom"/>
          </w:tcPr>
          <w:p>
            <w:pPr>
              <w:spacing w:after="0"/>
              <w:rPr>
                <w:sz w:val="1"/>
                <w:szCs w:val="1"/>
                <w:color w:val="auto"/>
              </w:rPr>
            </w:pPr>
          </w:p>
        </w:tc>
      </w:tr>
      <w:tr>
        <w:trPr>
          <w:trHeight w:val="174"/>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50" w:type="dxa"/>
            <w:vAlign w:val="bottom"/>
          </w:tcPr>
          <w:p>
            <w:pPr>
              <w:spacing w:after="0"/>
              <w:rPr>
                <w:sz w:val="15"/>
                <w:szCs w:val="15"/>
                <w:color w:val="auto"/>
              </w:rPr>
            </w:pPr>
          </w:p>
        </w:tc>
        <w:tc>
          <w:tcPr>
            <w:tcW w:w="830" w:type="dxa"/>
            <w:vAlign w:val="bottom"/>
            <w:gridSpan w:val="2"/>
          </w:tcPr>
          <w:p>
            <w:pPr>
              <w:ind w:left="30"/>
              <w:spacing w:after="0"/>
              <w:rPr>
                <w:sz w:val="20"/>
                <w:szCs w:val="20"/>
                <w:color w:val="auto"/>
              </w:rPr>
            </w:pPr>
            <w:r>
              <w:rPr>
                <w:rFonts w:ascii="Arial" w:cs="Arial" w:eastAsia="Arial" w:hAnsi="Arial"/>
                <w:sz w:val="14"/>
                <w:szCs w:val="14"/>
                <w:b w:val="1"/>
                <w:bCs w:val="1"/>
                <w:color w:val="auto"/>
              </w:rPr>
              <w:t>Debt</w:t>
            </w:r>
          </w:p>
        </w:tc>
        <w:tc>
          <w:tcPr>
            <w:tcW w:w="9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Debt</w:t>
            </w: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5"/>
                <w:szCs w:val="15"/>
                <w:color w:val="auto"/>
              </w:rPr>
            </w:pPr>
          </w:p>
        </w:tc>
        <w:tc>
          <w:tcPr>
            <w:tcW w:w="7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Rate Swaps</w:t>
            </w:r>
          </w:p>
        </w:tc>
        <w:tc>
          <w:tcPr>
            <w:tcW w:w="340" w:type="dxa"/>
            <w:vAlign w:val="bottom"/>
          </w:tcPr>
          <w:p>
            <w:pPr>
              <w:spacing w:after="0"/>
              <w:rPr>
                <w:sz w:val="15"/>
                <w:szCs w:val="15"/>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Rate</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3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2006</w:t>
            </w:r>
          </w:p>
        </w:tc>
        <w:tc>
          <w:tcPr>
            <w:tcW w:w="40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2.16%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2008</w:t>
            </w:r>
          </w:p>
        </w:tc>
        <w:tc>
          <w:tcPr>
            <w:tcW w:w="40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3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3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5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3873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long-term debt historical cost amount at year-end 2004 and 2003 was $379 million and $826 million.</w:t>
      </w:r>
    </w:p>
    <w:p>
      <w:pPr>
        <w:spacing w:after="0" w:line="1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had interest rate swaps that changed the characteristics of the interest payments on the underlying notes ($50 million of 7.0% notes which matured on August 15, 2004, $300 million of 6.125% notes due 2006 and $43 million of 8.75% notes due 2007) from fixed-rate payments to short-term LIBOR-based variable rate payments in order to achieve a mix of interest rates on the Company’s long-term debt which, over time, is expected to moderate financing costs. The effect of these interest rate swaps was to decrease interest expense by $19 million in 2004. The year-end 2004 effective interest rates for the notes, including the effect of the swaps, was approximately 1.52% for the $300 million of notes due 2006 and 6.30% for the $43 million of notes due 2007. These swaps are sensitive to interest rate changes. For example, if short-term interest rates increase (decrease) by one percentage point from year-end 2004 rates, annual pretax interest expense would increase (decrease) by $3 million.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56</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80" w:right="239" w:bottom="1440" w:gutter="0" w:footer="0" w:header="0"/>
        </w:sectPr>
      </w:pPr>
    </w:p>
    <w:bookmarkStart w:id="87" w:name="page88"/>
    <w:bookmarkEnd w:id="87"/>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cash equivalents are debt securities with original maturities equal to or less than three months. Short-term investments are debt securities with original maturities greater than three months with remaining maturities or average lives of 13 months or less and, beginning in 2004, debt securities with remaining maturities or average lives greater than 13 months (see Note 2 to financial statements). Their aggregate fair value and carrying amount was $6117 million at year-end 2004 ($5409 million at year-end 2003). Fair value will vary as interest rates change. The following table presents the aggregate maturities or average lives of cash equivalents and short-term cash investments, and related weighted-average interest rates by maturity dates at year-end 2004: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Maturity Date or</w:t>
            </w:r>
          </w:p>
        </w:tc>
        <w:tc>
          <w:tcPr>
            <w:tcW w:w="7260" w:type="dxa"/>
            <w:vAlign w:val="bottom"/>
          </w:tcPr>
          <w:p>
            <w:pPr>
              <w:spacing w:after="0"/>
              <w:rPr>
                <w:sz w:val="12"/>
                <w:szCs w:val="12"/>
                <w:color w:val="auto"/>
              </w:rPr>
            </w:pPr>
          </w:p>
        </w:tc>
        <w:tc>
          <w:tcPr>
            <w:tcW w:w="14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Cash Equivalents and</w:t>
            </w:r>
          </w:p>
        </w:tc>
        <w:tc>
          <w:tcPr>
            <w:tcW w:w="8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Average Life</w:t>
            </w:r>
          </w:p>
        </w:tc>
        <w:tc>
          <w:tcPr>
            <w:tcW w:w="7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86"/>
              </w:rPr>
              <w:t>Short-Term Investments</w:t>
            </w:r>
          </w:p>
        </w:tc>
        <w:tc>
          <w:tcPr>
            <w:tcW w:w="80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0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86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$4,611</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2006</w:t>
            </w:r>
          </w:p>
        </w:tc>
        <w:tc>
          <w:tcPr>
            <w:tcW w:w="8680" w:type="dxa"/>
            <w:vAlign w:val="bottom"/>
            <w:gridSpan w:val="2"/>
          </w:tcPr>
          <w:p>
            <w:pPr>
              <w:jc w:val="right"/>
              <w:ind w:right="392"/>
              <w:spacing w:after="0"/>
              <w:rPr>
                <w:sz w:val="20"/>
                <w:szCs w:val="20"/>
                <w:color w:val="auto"/>
              </w:rPr>
            </w:pPr>
            <w:r>
              <w:rPr>
                <w:rFonts w:ascii="Arial" w:cs="Arial" w:eastAsia="Arial" w:hAnsi="Arial"/>
                <w:sz w:val="18"/>
                <w:szCs w:val="18"/>
                <w:color w:val="auto"/>
              </w:rPr>
              <w:t>1,136</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86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222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2008</w:t>
            </w:r>
          </w:p>
        </w:tc>
        <w:tc>
          <w:tcPr>
            <w:tcW w:w="8680" w:type="dxa"/>
            <w:vAlign w:val="bottom"/>
            <w:gridSpan w:val="2"/>
          </w:tcPr>
          <w:p>
            <w:pPr>
              <w:jc w:val="right"/>
              <w:ind w:right="392"/>
              <w:spacing w:after="0"/>
              <w:rPr>
                <w:sz w:val="20"/>
                <w:szCs w:val="20"/>
                <w:color w:val="auto"/>
              </w:rPr>
            </w:pPr>
            <w:r>
              <w:rPr>
                <w:rFonts w:ascii="Arial" w:cs="Arial" w:eastAsia="Arial" w:hAnsi="Arial"/>
                <w:sz w:val="18"/>
                <w:szCs w:val="18"/>
                <w:color w:val="auto"/>
              </w:rPr>
              <w:t>148</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investments at year-end 2004 consisted of the following (types of investments at year-end 2003 were similar):</w:t>
      </w:r>
    </w:p>
    <w:p>
      <w:pPr>
        <w:spacing w:after="0" w:line="7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Equity investments—include marketable (publicly traded) and non-marketable (private investments, including various venture funds).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Convertible debt—consists of a convertible debt security due 2006.</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Mutual funds and other investments—consists of mutual funds that are acquired to generate returns that offset changes in certain liabilities related to deferred compensation arrangements. The mutual funds hold a variety of debt and equity investments.</w:t>
      </w:r>
    </w:p>
    <w:p>
      <w:pPr>
        <w:spacing w:after="0" w:line="11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Marketable equity and debt investments are stated at fair value and marked-to-market through stockholders’ equity, net of tax. Impairments deemed to be other-than-temporary are expensed in the Statement of Operations. Changes in prices of the mutual fund investments are expected to offset related changes in deferred compensation liabilities such that a 10 percent increase or decrease in investment prices would not affect operating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915 jobs through voluntary retirement and involuntary termination programs primarily in manufacturing operations at the Attleboro headquarters of the Sensors &amp; Controls business. The total cost of this restructuring action is expected to be about $63 million, primarily for severance and benefit costs. When completed at the end of 2006, the projected savings from this restructuring action are estimated to be an annualized $40 million, predominantly comprised of payroll and benefit savings. Included in this total cost is the Company’s third-quarter 2004 decision to move additional production lines from Attleboro, affecting about 145 additional jobs. In connection with this action, completion of the relocation of production lines was extended one year through the end of 2005 in order to accommodate commitments to customers and minimize disruption to their production plans. As of December 31, 2004, a total of 627 employees have been terminated and total net pretax charges of $54 million have been recorded associated with this action. Charges are expected to be completed in 2006.</w:t>
      </w:r>
    </w:p>
    <w:p>
      <w:pPr>
        <w:spacing w:after="0" w:line="1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Semiconductor Restructuring Action: In the second quarter of 2003, the Company announced a restructuring action that is expected to affect about 900 jobs in Semiconductor manufacturing operations in the U.S. and international locations, as those operations continue to become more productive with fewer people. The total cost of this restructuring action is expected to be about $82 million, primarily for severance and benefits costs. When completed at the end of 2005, the projected savings from this restructuring action are estimated to be an annualized $67 million, predominantly comprised of payroll and benefit savings. As of December 31, 2004, a total of 875 employees have been terminated and total net pretax charges of $81 million have been recorded associated with this action. Charges are expected to be completed in 2005.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detailed information on the restructuring actions, see Note 16 to the financial statements.</w:t>
      </w:r>
    </w:p>
    <w:p>
      <w:pPr>
        <w:spacing w:after="0" w:line="166" w:lineRule="exact"/>
        <w:rPr>
          <w:sz w:val="20"/>
          <w:szCs w:val="20"/>
          <w:color w:val="auto"/>
        </w:rPr>
      </w:pPr>
    </w:p>
    <w:tbl>
      <w:tblPr>
        <w:tblLayout w:type="fixed"/>
        <w:tblInd w:w="6540" w:type="dxa"/>
        <w:tblCellMar>
          <w:top w:w="0" w:type="dxa"/>
          <w:left w:w="0" w:type="dxa"/>
          <w:bottom w:w="0" w:type="dxa"/>
          <w:right w:w="0" w:type="dxa"/>
        </w:tblCellMar>
      </w:tblPr>
      <w:tr>
        <w:trPr>
          <w:trHeight w:val="216"/>
        </w:trPr>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TEXAS INSTRUMENTS</w:t>
            </w:r>
          </w:p>
        </w:tc>
        <w:tc>
          <w:tcPr>
            <w:tcW w:w="2260" w:type="dxa"/>
            <w:vAlign w:val="bottom"/>
          </w:tcPr>
          <w:p>
            <w:pPr>
              <w:ind w:left="200"/>
              <w:spacing w:after="0"/>
              <w:rPr>
                <w:sz w:val="20"/>
                <w:szCs w:val="20"/>
                <w:color w:val="auto"/>
              </w:rPr>
            </w:pPr>
            <w:r>
              <w:rPr>
                <w:rFonts w:ascii="Arial" w:cs="Arial" w:eastAsia="Arial" w:hAnsi="Arial"/>
                <w:sz w:val="18"/>
                <w:szCs w:val="18"/>
                <w:color w:val="auto"/>
              </w:rPr>
              <w:t>2004 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2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Financial Data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5"/>
          </w:tcPr>
          <w:p>
            <w:pPr>
              <w:jc w:val="right"/>
              <w:ind w:right="35"/>
              <w:spacing w:after="0"/>
              <w:rPr>
                <w:sz w:val="20"/>
                <w:szCs w:val="20"/>
                <w:color w:val="auto"/>
              </w:rPr>
            </w:pPr>
            <w:r>
              <w:rPr>
                <w:rFonts w:ascii="Arial" w:cs="Arial" w:eastAsia="Arial" w:hAnsi="Arial"/>
                <w:sz w:val="14"/>
                <w:szCs w:val="14"/>
                <w:b w:val="1"/>
                <w:bCs w:val="1"/>
                <w:color w:val="auto"/>
                <w:w w:val="88"/>
              </w:rPr>
              <w:t>Quarters of 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0" w:type="dxa"/>
            <w:vAlign w:val="bottom"/>
            <w:gridSpan w:val="2"/>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8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1st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2nd</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55"/>
              <w:spacing w:after="0"/>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2,936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3,241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3,250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441</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-629285</wp:posOffset>
            </wp:positionV>
            <wp:extent cx="16852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6852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-329565</wp:posOffset>
            </wp:positionV>
            <wp:extent cx="32131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-329565</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-329565</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2131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2131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of 2003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0" w:type="dxa"/>
            <w:vAlign w:val="bottom"/>
            <w:gridSpan w:val="2"/>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8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75"/>
              <w:spacing w:after="0"/>
              <w:rPr>
                <w:sz w:val="20"/>
                <w:szCs w:val="20"/>
                <w:color w:val="auto"/>
              </w:rPr>
            </w:pPr>
            <w:r>
              <w:rPr>
                <w:rFonts w:ascii="Arial" w:cs="Arial" w:eastAsia="Arial" w:hAnsi="Arial"/>
                <w:sz w:val="14"/>
                <w:szCs w:val="14"/>
                <w:b w:val="1"/>
                <w:bCs w:val="1"/>
                <w:color w:val="auto"/>
              </w:rPr>
              <w:t>1st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2nd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2,533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40" w:type="dxa"/>
            <w:vAlign w:val="bottom"/>
            <w:gridSpan w:val="3"/>
            <w:vMerge w:val="restart"/>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6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of 2004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80" w:type="dxa"/>
            <w:vAlign w:val="bottom"/>
            <w:gridSpan w:val="2"/>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8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75"/>
              <w:spacing w:after="0"/>
              <w:rPr>
                <w:sz w:val="20"/>
                <w:szCs w:val="20"/>
                <w:color w:val="auto"/>
              </w:rPr>
            </w:pPr>
            <w:r>
              <w:rPr>
                <w:rFonts w:ascii="Arial" w:cs="Arial" w:eastAsia="Arial" w:hAnsi="Arial"/>
                <w:sz w:val="14"/>
                <w:szCs w:val="14"/>
                <w:b w:val="1"/>
                <w:bCs w:val="1"/>
                <w:color w:val="auto"/>
              </w:rPr>
              <w:t>1st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2nd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Restructuring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ind w:left="60"/>
              <w:spacing w:after="0"/>
              <w:rPr>
                <w:sz w:val="20"/>
                <w:szCs w:val="20"/>
                <w:color w:val="auto"/>
              </w:rPr>
            </w:pPr>
            <w:r>
              <w:rPr>
                <w:rFonts w:ascii="Arial" w:cs="Arial" w:eastAsia="Arial" w:hAnsi="Arial"/>
                <w:sz w:val="18"/>
                <w:szCs w:val="18"/>
                <w:b w:val="1"/>
                <w:bCs w:val="1"/>
                <w:color w:val="auto"/>
              </w:rPr>
              <w:t>Semiconductor</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Sensors &amp; Controls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Acquisition-related amortization</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of 2003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80" w:type="dxa"/>
            <w:vAlign w:val="bottom"/>
            <w:gridSpan w:val="2"/>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8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75"/>
              <w:spacing w:after="0"/>
              <w:rPr>
                <w:sz w:val="20"/>
                <w:szCs w:val="20"/>
                <w:color w:val="auto"/>
              </w:rPr>
            </w:pPr>
            <w:r>
              <w:rPr>
                <w:rFonts w:ascii="Arial" w:cs="Arial" w:eastAsia="Arial" w:hAnsi="Arial"/>
                <w:sz w:val="14"/>
                <w:szCs w:val="14"/>
                <w:b w:val="1"/>
                <w:bCs w:val="1"/>
                <w:color w:val="auto"/>
              </w:rPr>
              <w:t>1st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2nd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ind w:left="60"/>
              <w:spacing w:after="0"/>
              <w:rPr>
                <w:sz w:val="20"/>
                <w:szCs w:val="20"/>
                <w:color w:val="auto"/>
              </w:rPr>
            </w:pPr>
            <w:r>
              <w:rPr>
                <w:rFonts w:ascii="Arial" w:cs="Arial" w:eastAsia="Arial" w:hAnsi="Arial"/>
                <w:sz w:val="18"/>
                <w:szCs w:val="18"/>
                <w:color w:val="auto"/>
              </w:rPr>
              <w:t>Semiconductor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Sensors &amp; Controls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Purchased in-process R&amp;D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amortization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Investment gains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redemption of debt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-4280535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-4280535</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-4280535</wp:posOffset>
            </wp:positionV>
            <wp:extent cx="2159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-4280535</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-4280535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-4280535</wp:posOffset>
            </wp:positionV>
            <wp:extent cx="2159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-4280535</wp:posOffset>
            </wp:positionV>
            <wp:extent cx="34734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-4280535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-4280535</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-4280535</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-3980815</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-3980815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-3980815</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-3980815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-3980815</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-3980815</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-3980815</wp:posOffset>
            </wp:positionV>
            <wp:extent cx="34734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-3980815</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-3980815</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-3980815</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-3680460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-3680460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-3680460</wp:posOffset>
            </wp:positionV>
            <wp:extent cx="2159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-3680460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-3680460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-3680460</wp:posOffset>
            </wp:positionV>
            <wp:extent cx="2159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-3680460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-3680460</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-3680460</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-3680460</wp:posOffset>
            </wp:positionV>
            <wp:extent cx="34734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restructuring charges were for actions initiated in the second quarter of 2003 and were primarily for severance and benefit costs. The charge for purchased in-process R&amp;D costs was a result of the Radia Communications, Inc. acquisition. Investment gains were primarily the result of the sale of shares of Micron stock. The loss on redemption of debt for the first quarter of 2003 resulted from the redemption of $250 million in convertible notes.</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Diluted earnings per common share are based on average common and dilutive potential common shares outstanding (1758.9 million shares and 1780.1 million shares for the fourth quarters of 2004 and 2003).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58</w:t>
            </w:r>
          </w:p>
        </w:tc>
        <w:tc>
          <w:tcPr>
            <w:tcW w:w="23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TEXAS INSTRUMENTS</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2004 ANNUAL REPORT</w:t>
            </w:r>
          </w:p>
        </w:tc>
      </w:tr>
    </w:tbl>
    <w:p>
      <w:pPr>
        <w:sectPr>
          <w:pgSz w:w="11900" w:h="16838" w:orient="portrait"/>
          <w:cols w:equalWidth="0" w:num="1">
            <w:col w:w="11420"/>
          </w:cols>
          <w:pgMar w:left="240" w:top="27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Prices and Dividends</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TI common stock is listed on the New York Stock Exchange and traded principally in that market. The table below shows the high and low closing prices of TI common stock as reported by Bloomberg L.P. and the dividends paid per common share for each quarter during the past two years.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rPr>
              <w:t>1st</w:t>
            </w:r>
          </w:p>
        </w:tc>
        <w:tc>
          <w:tcPr>
            <w:tcW w:w="20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2nd</w:t>
            </w:r>
          </w:p>
        </w:tc>
        <w:tc>
          <w:tcPr>
            <w:tcW w:w="220" w:type="dxa"/>
            <w:vAlign w:val="bottom"/>
          </w:tcPr>
          <w:p>
            <w:pPr>
              <w:spacing w:after="0"/>
              <w:rPr>
                <w:sz w:val="22"/>
                <w:szCs w:val="2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3rd</w:t>
            </w:r>
          </w:p>
        </w:tc>
        <w:tc>
          <w:tcPr>
            <w:tcW w:w="100" w:type="dxa"/>
            <w:vAlign w:val="bottom"/>
          </w:tcPr>
          <w:p>
            <w:pPr>
              <w:spacing w:after="0"/>
              <w:rPr>
                <w:sz w:val="22"/>
                <w:szCs w:val="22"/>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prices: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7960" w:type="dxa"/>
            <w:vAlign w:val="bottom"/>
            <w:gridSpan w:val="3"/>
          </w:tcPr>
          <w:p>
            <w:pPr>
              <w:jc w:val="center"/>
              <w:ind w:right="7560"/>
              <w:spacing w:after="0"/>
              <w:rPr>
                <w:sz w:val="20"/>
                <w:szCs w:val="20"/>
                <w:color w:val="auto"/>
              </w:rPr>
            </w:pPr>
            <w:r>
              <w:rPr>
                <w:rFonts w:ascii="Arial" w:cs="Arial" w:eastAsia="Arial" w:hAnsi="Arial"/>
                <w:sz w:val="18"/>
                <w:szCs w:val="18"/>
                <w:b w:val="1"/>
                <w:bCs w:val="1"/>
                <w:color w:val="auto"/>
                <w:w w:val="89"/>
              </w:rPr>
              <w:t>High</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$33.65</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$30.94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$23.54</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960" w:type="dxa"/>
            <w:vAlign w:val="bottom"/>
            <w:gridSpan w:val="3"/>
            <w:shd w:val="clear" w:color="auto" w:fill="CCEEFF"/>
          </w:tcPr>
          <w:p>
            <w:pPr>
              <w:jc w:val="center"/>
              <w:ind w:right="7520"/>
              <w:spacing w:after="0"/>
              <w:rPr>
                <w:sz w:val="20"/>
                <w:szCs w:val="20"/>
                <w:color w:val="auto"/>
              </w:rPr>
            </w:pPr>
            <w:r>
              <w:rPr>
                <w:rFonts w:ascii="Arial" w:cs="Arial" w:eastAsia="Arial" w:hAnsi="Arial"/>
                <w:sz w:val="18"/>
                <w:szCs w:val="18"/>
                <w:b w:val="1"/>
                <w:bCs w:val="1"/>
                <w:color w:val="auto"/>
                <w:w w:val="88"/>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21.09</w:t>
            </w:r>
          </w:p>
        </w:tc>
        <w:tc>
          <w:tcPr>
            <w:tcW w:w="0" w:type="dxa"/>
            <w:vAlign w:val="bottom"/>
          </w:tcPr>
          <w:p>
            <w:pPr>
              <w:spacing w:after="0"/>
              <w:rPr>
                <w:sz w:val="1"/>
                <w:szCs w:val="1"/>
                <w:color w:val="auto"/>
              </w:rPr>
            </w:pPr>
          </w:p>
        </w:tc>
      </w:tr>
      <w:tr>
        <w:trPr>
          <w:trHeight w:val="322"/>
        </w:trPr>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7960" w:type="dxa"/>
            <w:vAlign w:val="bottom"/>
            <w:gridSpan w:val="3"/>
          </w:tcPr>
          <w:p>
            <w:pPr>
              <w:jc w:val="center"/>
              <w:ind w:right="7580"/>
              <w:spacing w:after="0"/>
              <w:rPr>
                <w:sz w:val="20"/>
                <w:szCs w:val="20"/>
                <w:color w:val="auto"/>
              </w:rPr>
            </w:pPr>
            <w:r>
              <w:rPr>
                <w:rFonts w:ascii="Arial" w:cs="Arial" w:eastAsia="Arial" w:hAnsi="Arial"/>
                <w:sz w:val="18"/>
                <w:szCs w:val="18"/>
                <w:color w:val="auto"/>
                <w:w w:val="91"/>
              </w:rPr>
              <w:t>High</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$18.67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$21.10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$26.03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960" w:type="dxa"/>
            <w:vAlign w:val="bottom"/>
            <w:gridSpan w:val="3"/>
            <w:shd w:val="clear" w:color="auto" w:fill="CCEEFF"/>
          </w:tcPr>
          <w:p>
            <w:pPr>
              <w:jc w:val="center"/>
              <w:ind w:right="7520"/>
              <w:spacing w:after="0"/>
              <w:rPr>
                <w:sz w:val="20"/>
                <w:szCs w:val="20"/>
                <w:color w:val="auto"/>
              </w:rPr>
            </w:pPr>
            <w:r>
              <w:rPr>
                <w:rFonts w:ascii="Arial" w:cs="Arial" w:eastAsia="Arial" w:hAnsi="Arial"/>
                <w:sz w:val="18"/>
                <w:szCs w:val="18"/>
                <w:color w:val="auto"/>
                <w:w w:val="96"/>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322"/>
        </w:trPr>
        <w:tc>
          <w:tcPr>
            <w:tcW w:w="8780" w:type="dxa"/>
            <w:vAlign w:val="bottom"/>
            <w:gridSpan w:val="5"/>
          </w:tcPr>
          <w:p>
            <w:pPr>
              <w:spacing w:after="0"/>
              <w:rPr>
                <w:sz w:val="20"/>
                <w:szCs w:val="20"/>
                <w:color w:val="auto"/>
              </w:rPr>
            </w:pPr>
            <w:r>
              <w:rPr>
                <w:rFonts w:ascii="Arial" w:cs="Arial" w:eastAsia="Arial" w:hAnsi="Arial"/>
                <w:sz w:val="18"/>
                <w:szCs w:val="18"/>
                <w:color w:val="auto"/>
              </w:rPr>
              <w:t>Dividends paid: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2004</w:t>
            </w:r>
          </w:p>
        </w:tc>
        <w:tc>
          <w:tcPr>
            <w:tcW w:w="7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$.0213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$.0213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$.0213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2003</w:t>
            </w:r>
          </w:p>
        </w:tc>
        <w:tc>
          <w:tcPr>
            <w:tcW w:w="7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$.0213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$.0213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$.0213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0" w:type="dxa"/>
            <w:vAlign w:val="bottom"/>
            <w:vMerge w:val="restart"/>
          </w:tcPr>
          <w:p>
            <w:pPr>
              <w:ind w:left="5720"/>
              <w:spacing w:after="0"/>
              <w:rPr>
                <w:sz w:val="20"/>
                <w:szCs w:val="20"/>
                <w:color w:val="auto"/>
              </w:rPr>
            </w:pPr>
            <w:r>
              <w:rPr>
                <w:rFonts w:ascii="Arial" w:cs="Arial" w:eastAsia="Arial" w:hAnsi="Arial"/>
                <w:sz w:val="18"/>
                <w:szCs w:val="18"/>
                <w:b w:val="1"/>
                <w:bCs w:val="1"/>
                <w:color w:val="auto"/>
              </w:rPr>
              <w:t>TEXAS INSTRUMENTS</w:t>
            </w:r>
          </w:p>
        </w:tc>
        <w:tc>
          <w:tcPr>
            <w:tcW w:w="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2040" w:type="dxa"/>
            <w:vAlign w:val="bottom"/>
            <w:gridSpan w:val="6"/>
            <w:vMerge w:val="restart"/>
          </w:tcPr>
          <w:p>
            <w:pPr>
              <w:jc w:val="right"/>
              <w:ind w:right="160"/>
              <w:spacing w:after="0"/>
              <w:rPr>
                <w:sz w:val="20"/>
                <w:szCs w:val="20"/>
                <w:color w:val="auto"/>
              </w:rPr>
            </w:pPr>
            <w:r>
              <w:rPr>
                <w:rFonts w:ascii="Arial" w:cs="Arial" w:eastAsia="Arial" w:hAnsi="Arial"/>
                <w:sz w:val="18"/>
                <w:szCs w:val="18"/>
                <w:color w:val="auto"/>
                <w:w w:val="93"/>
              </w:rPr>
              <w:t>2004 ANNUAL REPORT</w:t>
            </w:r>
          </w:p>
        </w:tc>
        <w:tc>
          <w:tcPr>
            <w:tcW w:w="60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vMerge w:val="continue"/>
          </w:tcPr>
          <w:p>
            <w:pPr>
              <w:spacing w:after="0"/>
              <w:rPr>
                <w:sz w:val="18"/>
                <w:szCs w:val="18"/>
                <w:color w:val="auto"/>
              </w:rPr>
            </w:pPr>
          </w:p>
        </w:tc>
        <w:tc>
          <w:tcPr>
            <w:tcW w:w="2040" w:type="dxa"/>
            <w:vAlign w:val="bottom"/>
            <w:gridSpan w:val="6"/>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 21</w:t>
            </w:r>
          </w:p>
        </w:tc>
      </w:tr>
      <w:tr>
        <w:trPr>
          <w:trHeight w:val="377"/>
        </w:trPr>
        <w:tc>
          <w:tcPr>
            <w:tcW w:w="10020" w:type="dxa"/>
            <w:vAlign w:val="bottom"/>
            <w:gridSpan w:val="2"/>
          </w:tcPr>
          <w:p>
            <w:pPr>
              <w:ind w:left="3280"/>
              <w:spacing w:after="0"/>
              <w:rPr>
                <w:sz w:val="20"/>
                <w:szCs w:val="20"/>
                <w:color w:val="auto"/>
              </w:rPr>
            </w:pPr>
            <w:r>
              <w:rPr>
                <w:rFonts w:ascii="Arial" w:cs="Arial" w:eastAsia="Arial" w:hAnsi="Arial"/>
                <w:sz w:val="18"/>
                <w:szCs w:val="18"/>
                <w:color w:val="auto"/>
              </w:rPr>
              <w:t>TEXAS INSTRUMENTS INCORPORATED AND SUBSIDIARIES</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2"/>
        </w:trPr>
        <w:tc>
          <w:tcPr>
            <w:tcW w:w="10020" w:type="dxa"/>
            <w:vAlign w:val="bottom"/>
            <w:gridSpan w:val="2"/>
          </w:tcPr>
          <w:p>
            <w:pPr>
              <w:ind w:left="3880"/>
              <w:spacing w:after="0"/>
              <w:rPr>
                <w:sz w:val="20"/>
                <w:szCs w:val="20"/>
                <w:color w:val="auto"/>
              </w:rPr>
            </w:pPr>
            <w:r>
              <w:rPr>
                <w:rFonts w:ascii="Arial" w:cs="Arial" w:eastAsia="Arial" w:hAnsi="Arial"/>
                <w:sz w:val="18"/>
                <w:szCs w:val="18"/>
                <w:color w:val="auto"/>
              </w:rPr>
              <w:t>LIST OF SUBSIDIARIES OF THE REGISTRANT</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65"/>
        </w:trPr>
        <w:tc>
          <w:tcPr>
            <w:tcW w:w="10020" w:type="dxa"/>
            <w:vAlign w:val="bottom"/>
            <w:gridSpan w:val="2"/>
          </w:tcPr>
          <w:p>
            <w:pPr>
              <w:spacing w:after="0"/>
              <w:rPr>
                <w:sz w:val="20"/>
                <w:szCs w:val="20"/>
                <w:color w:val="auto"/>
              </w:rPr>
            </w:pPr>
            <w:r>
              <w:rPr>
                <w:rFonts w:ascii="Arial" w:cs="Arial" w:eastAsia="Arial" w:hAnsi="Arial"/>
                <w:sz w:val="18"/>
                <w:szCs w:val="18"/>
                <w:color w:val="auto"/>
              </w:rPr>
              <w:t>The following are current subsidiaries of the Registrant.</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2"/>
        </w:trPr>
        <w:tc>
          <w:tcPr>
            <w:tcW w:w="10020" w:type="dxa"/>
            <w:vAlign w:val="bottom"/>
            <w:gridSpan w:val="2"/>
          </w:tcPr>
          <w:p>
            <w:pPr>
              <w:spacing w:after="0"/>
              <w:rPr>
                <w:sz w:val="20"/>
                <w:szCs w:val="20"/>
                <w:color w:val="auto"/>
              </w:rPr>
            </w:pPr>
            <w:r>
              <w:rPr>
                <w:rFonts w:ascii="Arial" w:cs="Arial" w:eastAsia="Arial" w:hAnsi="Arial"/>
                <w:sz w:val="14"/>
                <w:szCs w:val="14"/>
                <w:b w:val="1"/>
                <w:bCs w:val="1"/>
                <w:color w:val="auto"/>
              </w:rPr>
              <w:t>Subsidiary and Name under Which Business Is Done</w:t>
            </w: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Where Organized</w:t>
            </w:r>
          </w:p>
        </w:tc>
      </w:tr>
      <w:tr>
        <w:trPr>
          <w:trHeight w:val="95"/>
        </w:trPr>
        <w:tc>
          <w:tcPr>
            <w:tcW w:w="390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09"/>
        </w:trPr>
        <w:tc>
          <w:tcPr>
            <w:tcW w:w="10020" w:type="dxa"/>
            <w:vAlign w:val="bottom"/>
            <w:gridSpan w:val="2"/>
          </w:tcPr>
          <w:p>
            <w:pPr>
              <w:spacing w:after="0"/>
              <w:rPr>
                <w:sz w:val="20"/>
                <w:szCs w:val="20"/>
                <w:color w:val="auto"/>
              </w:rPr>
            </w:pPr>
            <w:r>
              <w:rPr>
                <w:rFonts w:ascii="Arial" w:cs="Arial" w:eastAsia="Arial" w:hAnsi="Arial"/>
                <w:sz w:val="18"/>
                <w:szCs w:val="18"/>
                <w:color w:val="auto"/>
              </w:rPr>
              <w:t>Auto Circuits, Inc.</w:t>
            </w:r>
          </w:p>
        </w:tc>
        <w:tc>
          <w:tcPr>
            <w:tcW w:w="140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Burr-Brown Europe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Condat Edinburgh Ltd.</w:t>
            </w:r>
          </w:p>
        </w:tc>
        <w:tc>
          <w:tcPr>
            <w:tcW w:w="1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European Engineering and Technologies S.p.A.</w:t>
            </w:r>
          </w:p>
        </w:tc>
        <w:tc>
          <w:tcPr>
            <w:tcW w:w="14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ICOT International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Intelligent Instrumentation GmbH</w:t>
            </w:r>
          </w:p>
        </w:tc>
        <w:tc>
          <w:tcPr>
            <w:tcW w:w="1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Intelligent Instrumentation, Inc.</w:t>
            </w:r>
          </w:p>
        </w:tc>
        <w:tc>
          <w:tcPr>
            <w:tcW w:w="140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Intelligent Instrumentation S.A.</w:t>
            </w:r>
          </w:p>
        </w:tc>
        <w:tc>
          <w:tcPr>
            <w:tcW w:w="14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Intelligent Instrumentation S.R.L.</w:t>
            </w:r>
          </w:p>
        </w:tc>
        <w:tc>
          <w:tcPr>
            <w:tcW w:w="14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Instrumentos Eletronicos do Brasil Limitada</w:t>
            </w:r>
          </w:p>
        </w:tc>
        <w:tc>
          <w:tcPr>
            <w:tcW w:w="14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(Bahamas)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Belgium S.A.</w:t>
            </w:r>
          </w:p>
        </w:tc>
        <w:tc>
          <w:tcPr>
            <w:tcW w:w="14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Berlin AG</w:t>
            </w:r>
          </w:p>
        </w:tc>
        <w:tc>
          <w:tcPr>
            <w:tcW w:w="1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1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(Changzhou) Co., Ltd.</w:t>
            </w:r>
          </w:p>
        </w:tc>
        <w:tc>
          <w:tcPr>
            <w:tcW w:w="14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(China) Company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China Incorporated</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14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14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1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Espana, S.A.</w:t>
            </w:r>
          </w:p>
        </w:tc>
        <w:tc>
          <w:tcPr>
            <w:tcW w:w="14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Finance GmbH &amp; Co. KG</w:t>
            </w:r>
          </w:p>
        </w:tc>
        <w:tc>
          <w:tcPr>
            <w:tcW w:w="1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Foreign Sales Corporation</w:t>
            </w:r>
          </w:p>
        </w:tc>
        <w:tc>
          <w:tcPr>
            <w:tcW w:w="140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France S.A.</w:t>
            </w:r>
          </w:p>
        </w:tc>
        <w:tc>
          <w:tcPr>
            <w:tcW w:w="14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14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14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Insurance (Bermuda)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International (Overseas)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1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(Ireland)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14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Israel Trading (2003) Ltd.</w:t>
            </w:r>
          </w:p>
        </w:tc>
        <w:tc>
          <w:tcPr>
            <w:tcW w:w="14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Italia S.p.A.</w:t>
            </w:r>
          </w:p>
        </w:tc>
        <w:tc>
          <w:tcPr>
            <w:tcW w:w="14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22"/>
        </w:trPr>
        <w:tc>
          <w:tcPr>
            <w:tcW w:w="1002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140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10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Malaysia Sdn. Bhd.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Palo Alto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(Philippines)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Richardson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Santa Rosa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Semiconductor Technologies (Shanghai) Co., Ltd.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Singapore (Pte)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Sunnyvale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Taiwan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Trade &amp; Investment Company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Tucson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Mexico Trade,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Malaysia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9300" w:space="720"/>
            <w:col w:w="1200"/>
          </w:cols>
          <w:pgMar w:left="240" w:top="280" w:right="4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consent to the incorporation by reference in this Annual Report on Form 10-K of Texas Instruments Incorporated of our reports dated February 17, 2005, with respect to the consolidated financial statements of Texas Instruments Incorporated, Texas Instruments Incorporated management’s assessment of the effectiveness of internal control over financial reporting, and the effectiveness of internal control over financial reporting of Texas Instruments Incorporated, included in the 2004 Annual Report to Stockholders of Texas Instruments Incorporated.</w:t>
      </w:r>
    </w:p>
    <w:p>
      <w:pPr>
        <w:spacing w:after="0" w:line="13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Our audits also included the financial statement schedule of Texas Instruments Incorporated listed in Item 15(a). This schedule is the responsibility of Texas Instruments Incorporated’s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75"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We also consent to the incorporation by reference in the following registration statements, and in the related prospectuses thereto, of our reports dated February 17, 2005 with respect to the consolidated financial statements of Texas Instruments Incorporated, Texas Instruments Incorporated management’s assessment of the effectiveness of internal control over financial reporting, and the effectiveness of internal control over financial reporting of Texas Instruments Incorporated, included in or incorporated by reference in this Annual Report on Form 10-K for the year ended December 31, 2004: Registration Statements (Forms S-8) No.</w:t>
      </w:r>
    </w:p>
    <w:p>
      <w:pPr>
        <w:spacing w:after="0" w:line="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33-42172, No. 33-54615, No. 333-07127 (as amended), No. 333-41913, No. 333-41919, No. 333-31321 (as amended), No. 333-31323, No. 333-48389, No. 333-44662, No. 333-103574, No. 333-107759, No. 333-107760 and No. 333-107761 and Registration Statements (Forms S-3) No. 33-48840, No. 33-39628, No. 333-03571 (as amended), No. 333-93011, and No. 333-44572 (as amended), and Registration Statements (Forms S-4) No. 333-89433 (as amended), No. 333-89097, No. 333-87199, No. 333-80157 (as amended), and No. 333-41030 (as amended).</w:t>
      </w:r>
    </w:p>
    <w:p>
      <w:pPr>
        <w:spacing w:after="0" w:line="3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2005</w:t>
      </w:r>
    </w:p>
    <w:p>
      <w:pPr>
        <w:sectPr>
          <w:pgSz w:w="11900" w:h="16838" w:orient="portrait"/>
          <w:cols w:equalWidth="0" w:num="1">
            <w:col w:w="11420"/>
          </w:cols>
          <w:pgMar w:left="240" w:top="1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w:t>
      </w:r>
    </w:p>
    <w:p>
      <w:pPr>
        <w:sectPr>
          <w:pgSz w:w="11900" w:h="16838" w:orient="portrait"/>
          <w:cols w:equalWidth="0" w:num="1">
            <w:col w:w="11420"/>
          </w:cols>
          <w:pgMar w:left="240" w:top="131" w:right="239" w:bottom="1440" w:gutter="0" w:footer="0" w:header="0"/>
        </w:sectPr>
      </w:pPr>
    </w:p>
    <w:bookmarkStart w:id="94" w:name="page95"/>
    <w:bookmarkEnd w:id="94"/>
    <w:p>
      <w:pPr>
        <w:ind w:left="46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460" w:right="40" w:firstLine="443"/>
        <w:spacing w:after="0" w:line="268"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2005</w:t>
      </w:r>
    </w:p>
    <w:p>
      <w:pPr>
        <w:spacing w:after="0" w:line="374" w:lineRule="exact"/>
        <w:rPr>
          <w:sz w:val="20"/>
          <w:szCs w:val="20"/>
          <w:color w:val="auto"/>
        </w:rPr>
      </w:pPr>
    </w:p>
    <w:p>
      <w:pPr>
        <w:ind w:left="7920"/>
        <w:spacing w:after="0"/>
        <w:tabs>
          <w:tab w:leader="none" w:pos="824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K. T</w:t>
      </w:r>
      <w:r>
        <w:rPr>
          <w:rFonts w:ascii="Arial" w:cs="Arial" w:eastAsia="Arial" w:hAnsi="Arial"/>
          <w:sz w:val="14"/>
          <w:szCs w:val="14"/>
          <w:color w:val="auto"/>
        </w:rPr>
        <w: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4"/>
          <w:szCs w:val="14"/>
          <w:b w:val="1"/>
          <w:bCs w:val="1"/>
          <w:color w:val="auto"/>
        </w:rPr>
        <w:t>Richard K. Templeton</w:t>
      </w:r>
    </w:p>
    <w:p>
      <w:pPr>
        <w:jc w:val="center"/>
        <w:ind w:left="684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240" w:top="280" w:right="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w:t>
      </w:r>
    </w:p>
    <w:p>
      <w:pPr>
        <w:sectPr>
          <w:pgSz w:w="11900" w:h="16838" w:orient="portrait"/>
          <w:cols w:equalWidth="0" w:num="1">
            <w:col w:w="11420"/>
          </w:cols>
          <w:pgMar w:left="240" w:top="131" w:right="239" w:bottom="1440" w:gutter="0" w:footer="0" w:header="0"/>
        </w:sectPr>
      </w:pPr>
    </w:p>
    <w:bookmarkStart w:id="96" w:name="page97"/>
    <w:bookmarkEnd w:id="96"/>
    <w:p>
      <w:pPr>
        <w:ind w:left="46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460" w:right="40" w:firstLine="443"/>
        <w:spacing w:after="0" w:line="268" w:lineRule="auto"/>
        <w:tabs>
          <w:tab w:leader="none" w:pos="11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2005</w:t>
      </w:r>
    </w:p>
    <w:p>
      <w:pPr>
        <w:spacing w:after="0" w:line="374"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P. M</w:t>
      </w:r>
      <w:r>
        <w:rPr>
          <w:rFonts w:ascii="Arial" w:cs="Arial" w:eastAsia="Arial" w:hAnsi="Arial"/>
          <w:sz w:val="13"/>
          <w:szCs w:val="13"/>
          <w:color w:val="auto"/>
        </w:rPr>
        <w:t>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4"/>
          <w:szCs w:val="14"/>
          <w:b w:val="1"/>
          <w:bCs w:val="1"/>
          <w:color w:val="auto"/>
        </w:rPr>
        <w:t>Kevin P. March</w:t>
      </w:r>
    </w:p>
    <w:p>
      <w:pPr>
        <w:jc w:val="center"/>
        <w:ind w:left="684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240" w:top="280" w:right="4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President and Chief Executive Officer of Texas Instruments Incorporated (the “Company”), hereby certifies that, to his knowledge:</w:t>
      </w:r>
    </w:p>
    <w:p>
      <w:pPr>
        <w:spacing w:after="0" w:line="72" w:lineRule="exact"/>
        <w:rPr>
          <w:sz w:val="20"/>
          <w:szCs w:val="20"/>
          <w:color w:val="auto"/>
        </w:rPr>
      </w:pPr>
    </w:p>
    <w:p>
      <w:pPr>
        <w:ind w:right="100" w:firstLine="464"/>
        <w:spacing w:after="0" w:line="332" w:lineRule="auto"/>
        <w:tabs>
          <w:tab w:leader="none" w:pos="6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2004,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right="560" w:firstLine="464"/>
        <w:spacing w:after="0" w:line="440"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2005</w:t>
      </w:r>
    </w:p>
    <w:p>
      <w:pPr>
        <w:spacing w:after="0" w:line="186" w:lineRule="exact"/>
        <w:rPr>
          <w:sz w:val="20"/>
          <w:szCs w:val="20"/>
          <w:color w:val="auto"/>
        </w:rPr>
      </w:pPr>
    </w:p>
    <w:p>
      <w:pPr>
        <w:ind w:left="7920"/>
        <w:spacing w:after="0"/>
        <w:tabs>
          <w:tab w:leader="none" w:pos="824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K. T</w:t>
      </w:r>
      <w:r>
        <w:rPr>
          <w:rFonts w:ascii="Arial" w:cs="Arial" w:eastAsia="Arial" w:hAnsi="Arial"/>
          <w:sz w:val="14"/>
          <w:szCs w:val="14"/>
          <w:color w:val="auto"/>
        </w:rPr>
        <w: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72" w:lineRule="exact"/>
        <w:rPr>
          <w:sz w:val="20"/>
          <w:szCs w:val="20"/>
          <w:color w:val="auto"/>
        </w:rPr>
      </w:pPr>
    </w:p>
    <w:p>
      <w:pPr>
        <w:ind w:right="100" w:firstLine="464"/>
        <w:spacing w:after="0" w:line="332"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2004,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right="560" w:firstLine="464"/>
        <w:spacing w:after="0" w:line="440"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2005</w:t>
      </w:r>
    </w:p>
    <w:p>
      <w:pPr>
        <w:spacing w:after="0" w:line="186"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P. M</w:t>
      </w:r>
      <w:r>
        <w:rPr>
          <w:rFonts w:ascii="Arial" w:cs="Arial" w:eastAsia="Arial" w:hAnsi="Arial"/>
          <w:sz w:val="13"/>
          <w:szCs w:val="13"/>
          <w:color w:val="auto"/>
        </w:rPr>
        <w:t>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12"/>
    </w:lvl>
  </w:abstractNum>
  <w:abstractNum w:abstractNumId="7">
    <w:nsid w:val="25E45D32"/>
    <w:multiLevelType w:val="hybridMultilevel"/>
    <w:lvl w:ilvl="0">
      <w:lvlJc w:val="left"/>
      <w:lvlText w:val="%1"/>
      <w:numFmt w:val="decimal"/>
      <w:start w:val="21"/>
    </w:lvl>
  </w:abstractNum>
  <w:abstractNum w:abstractNumId="8">
    <w:nsid w:val="519B500D"/>
    <w:multiLevelType w:val="hybridMultilevel"/>
    <w:lvl w:ilvl="0">
      <w:lvlJc w:val="left"/>
      <w:lvlText w:val="%1"/>
      <w:numFmt w:val="decimal"/>
      <w:start w:val="23"/>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2019-12-13T07:30:27Z</dcterms:created>
  <dcterms:modified xsi:type="dcterms:W3CDTF">2019-12-13T07:30:27Z</dcterms:modified>
</cp:coreProperties>
</file>