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CURRENT REPORT PURSUANT TO SECTION 13 OR 15(d)</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12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DATE OF REPORT (DATE OF EARLIEST EVENT REPORTED): May 5,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9"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jc w:val="center"/>
              <w:ind w:left="626"/>
              <w:spacing w:after="0"/>
              <w:rPr>
                <w:sz w:val="20"/>
                <w:szCs w:val="20"/>
                <w:color w:val="auto"/>
              </w:rPr>
            </w:pPr>
            <w:r>
              <w:rPr>
                <w:rFonts w:ascii="Arial" w:cs="Arial" w:eastAsia="Arial" w:hAnsi="Arial"/>
                <w:sz w:val="18"/>
                <w:szCs w:val="18"/>
                <w:b w:val="1"/>
                <w:bCs w:val="1"/>
                <w:color w:val="auto"/>
                <w:w w:val="94"/>
              </w:rPr>
              <w:t>DELAWARE</w:t>
            </w:r>
          </w:p>
        </w:tc>
        <w:tc>
          <w:tcPr>
            <w:tcW w:w="5800" w:type="dxa"/>
            <w:vAlign w:val="bottom"/>
          </w:tcPr>
          <w:p>
            <w:pPr>
              <w:jc w:val="center"/>
              <w:ind w:right="78"/>
              <w:spacing w:after="0"/>
              <w:rPr>
                <w:sz w:val="20"/>
                <w:szCs w:val="20"/>
                <w:color w:val="auto"/>
              </w:rPr>
            </w:pPr>
            <w:r>
              <w:rPr>
                <w:rFonts w:ascii="Arial" w:cs="Arial" w:eastAsia="Arial" w:hAnsi="Arial"/>
                <w:sz w:val="18"/>
                <w:szCs w:val="18"/>
                <w:b w:val="1"/>
                <w:bCs w:val="1"/>
                <w:color w:val="auto"/>
                <w:w w:val="88"/>
              </w:rPr>
              <w:t>001-03761</w:t>
            </w:r>
          </w:p>
        </w:tc>
        <w:tc>
          <w:tcPr>
            <w:tcW w:w="2740" w:type="dxa"/>
            <w:vAlign w:val="bottom"/>
          </w:tcPr>
          <w:p>
            <w:pPr>
              <w:jc w:val="center"/>
              <w:ind w:right="786"/>
              <w:spacing w:after="0"/>
              <w:rPr>
                <w:sz w:val="20"/>
                <w:szCs w:val="20"/>
                <w:color w:val="auto"/>
              </w:rPr>
            </w:pPr>
            <w:r>
              <w:rPr>
                <w:rFonts w:ascii="Arial" w:cs="Arial" w:eastAsia="Arial" w:hAnsi="Arial"/>
                <w:sz w:val="18"/>
                <w:szCs w:val="18"/>
                <w:b w:val="1"/>
                <w:bCs w:val="1"/>
                <w:color w:val="auto"/>
                <w:w w:val="88"/>
              </w:rPr>
              <w:t>750289970</w:t>
            </w:r>
          </w:p>
        </w:tc>
        <w:tc>
          <w:tcPr>
            <w:tcW w:w="40" w:type="dxa"/>
            <w:vAlign w:val="bottom"/>
          </w:tcPr>
          <w:p>
            <w:pPr>
              <w:spacing w:after="0"/>
              <w:rPr>
                <w:sz w:val="18"/>
                <w:szCs w:val="18"/>
                <w:color w:val="auto"/>
              </w:rPr>
            </w:pPr>
          </w:p>
        </w:tc>
      </w:tr>
      <w:tr>
        <w:trPr>
          <w:trHeight w:val="149"/>
        </w:trPr>
        <w:tc>
          <w:tcPr>
            <w:tcW w:w="2880" w:type="dxa"/>
            <w:vAlign w:val="bottom"/>
          </w:tcPr>
          <w:p>
            <w:pPr>
              <w:jc w:val="center"/>
              <w:ind w:left="62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8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right="766"/>
              <w:spacing w:after="0" w:line="149" w:lineRule="exact"/>
              <w:rPr>
                <w:sz w:val="20"/>
                <w:szCs w:val="20"/>
                <w:color w:val="auto"/>
              </w:rPr>
            </w:pPr>
            <w:r>
              <w:rPr>
                <w:rFonts w:ascii="Arial" w:cs="Arial" w:eastAsia="Arial" w:hAnsi="Arial"/>
                <w:sz w:val="14"/>
                <w:szCs w:val="14"/>
                <w:b w:val="1"/>
                <w:bCs w:val="1"/>
                <w:color w:val="auto"/>
                <w:w w:val="88"/>
              </w:rPr>
              <w:t>(I.R.S. employer</w:t>
            </w:r>
          </w:p>
        </w:tc>
        <w:tc>
          <w:tcPr>
            <w:tcW w:w="40" w:type="dxa"/>
            <w:vAlign w:val="bottom"/>
          </w:tcPr>
          <w:p>
            <w:pPr>
              <w:spacing w:after="0"/>
              <w:rPr>
                <w:sz w:val="12"/>
                <w:szCs w:val="12"/>
                <w:color w:val="auto"/>
              </w:rPr>
            </w:pPr>
          </w:p>
        </w:tc>
      </w:tr>
      <w:tr>
        <w:trPr>
          <w:trHeight w:val="174"/>
        </w:trPr>
        <w:tc>
          <w:tcPr>
            <w:tcW w:w="2880" w:type="dxa"/>
            <w:vAlign w:val="bottom"/>
          </w:tcPr>
          <w:p>
            <w:pPr>
              <w:jc w:val="center"/>
              <w:ind w:left="626"/>
              <w:spacing w:after="0"/>
              <w:rPr>
                <w:sz w:val="20"/>
                <w:szCs w:val="20"/>
                <w:color w:val="auto"/>
              </w:rPr>
            </w:pPr>
            <w:r>
              <w:rPr>
                <w:rFonts w:ascii="Arial" w:cs="Arial" w:eastAsia="Arial" w:hAnsi="Arial"/>
                <w:sz w:val="14"/>
                <w:szCs w:val="14"/>
                <w:b w:val="1"/>
                <w:bCs w:val="1"/>
                <w:color w:val="auto"/>
                <w:w w:val="87"/>
              </w:rPr>
              <w:t>of incorporation)</w:t>
            </w:r>
          </w:p>
        </w:tc>
        <w:tc>
          <w:tcPr>
            <w:tcW w:w="5800" w:type="dxa"/>
            <w:vAlign w:val="bottom"/>
          </w:tcPr>
          <w:p>
            <w:pPr>
              <w:spacing w:after="0"/>
              <w:rPr>
                <w:sz w:val="15"/>
                <w:szCs w:val="15"/>
                <w:color w:val="auto"/>
              </w:rPr>
            </w:pPr>
          </w:p>
        </w:tc>
        <w:tc>
          <w:tcPr>
            <w:tcW w:w="2740" w:type="dxa"/>
            <w:vAlign w:val="bottom"/>
          </w:tcPr>
          <w:p>
            <w:pPr>
              <w:jc w:val="center"/>
              <w:ind w:right="766"/>
              <w:spacing w:after="0"/>
              <w:rPr>
                <w:sz w:val="20"/>
                <w:szCs w:val="20"/>
                <w:color w:val="auto"/>
              </w:rPr>
            </w:pPr>
            <w:r>
              <w:rPr>
                <w:rFonts w:ascii="Arial" w:cs="Arial" w:eastAsia="Arial" w:hAnsi="Arial"/>
                <w:sz w:val="14"/>
                <w:szCs w:val="14"/>
                <w:b w:val="1"/>
                <w:bCs w:val="1"/>
                <w:color w:val="auto"/>
                <w:w w:val="87"/>
              </w:rPr>
              <w:t>identification no.)</w:t>
            </w:r>
          </w:p>
        </w:tc>
        <w:tc>
          <w:tcPr>
            <w:tcW w:w="40" w:type="dxa"/>
            <w:vAlign w:val="bottom"/>
          </w:tcPr>
          <w:p>
            <w:pPr>
              <w:spacing w:after="0"/>
              <w:rPr>
                <w:sz w:val="15"/>
                <w:szCs w:val="15"/>
                <w:color w:val="auto"/>
              </w:rPr>
            </w:pPr>
          </w:p>
        </w:tc>
      </w:tr>
      <w:tr>
        <w:trPr>
          <w:trHeight w:val="337"/>
        </w:trPr>
        <w:tc>
          <w:tcPr>
            <w:tcW w:w="2880" w:type="dxa"/>
            <w:vAlign w:val="bottom"/>
          </w:tcPr>
          <w:p>
            <w:pPr>
              <w:spacing w:after="0"/>
              <w:rPr>
                <w:sz w:val="24"/>
                <w:szCs w:val="24"/>
                <w:color w:val="auto"/>
              </w:rPr>
            </w:pPr>
          </w:p>
        </w:tc>
        <w:tc>
          <w:tcPr>
            <w:tcW w:w="5800" w:type="dxa"/>
            <w:vAlign w:val="bottom"/>
          </w:tcPr>
          <w:p>
            <w:pPr>
              <w:jc w:val="center"/>
              <w:ind w:right="38"/>
              <w:spacing w:after="0"/>
              <w:rPr>
                <w:sz w:val="20"/>
                <w:szCs w:val="20"/>
                <w:color w:val="auto"/>
              </w:rPr>
            </w:pPr>
            <w:r>
              <w:rPr>
                <w:rFonts w:ascii="Arial" w:cs="Arial" w:eastAsia="Arial" w:hAnsi="Arial"/>
                <w:sz w:val="18"/>
                <w:szCs w:val="18"/>
                <w:b w:val="1"/>
                <w:bCs w:val="1"/>
                <w:color w:val="auto"/>
                <w:w w:val="94"/>
              </w:rPr>
              <w:t>12500 TI BOULEVARD</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580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P.O. BOX 660199</w:t>
            </w: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2880" w:type="dxa"/>
            <w:vAlign w:val="bottom"/>
          </w:tcPr>
          <w:p>
            <w:pPr>
              <w:spacing w:after="0"/>
              <w:rPr>
                <w:sz w:val="18"/>
                <w:szCs w:val="18"/>
                <w:color w:val="auto"/>
              </w:rPr>
            </w:pPr>
          </w:p>
        </w:tc>
        <w:tc>
          <w:tcPr>
            <w:tcW w:w="5800" w:type="dxa"/>
            <w:vAlign w:val="bottom"/>
          </w:tcPr>
          <w:p>
            <w:pPr>
              <w:jc w:val="center"/>
              <w:ind w:right="38"/>
              <w:spacing w:after="0"/>
              <w:rPr>
                <w:sz w:val="20"/>
                <w:szCs w:val="20"/>
                <w:color w:val="auto"/>
              </w:rPr>
            </w:pPr>
            <w:r>
              <w:rPr>
                <w:rFonts w:ascii="Arial" w:cs="Arial" w:eastAsia="Arial" w:hAnsi="Arial"/>
                <w:sz w:val="18"/>
                <w:szCs w:val="18"/>
                <w:b w:val="1"/>
                <w:bCs w:val="1"/>
                <w:color w:val="auto"/>
                <w:w w:val="93"/>
              </w:rPr>
              <w:t>DALLAS, TEXAS 75266-0199</w:t>
            </w: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4"/>
        </w:trPr>
        <w:tc>
          <w:tcPr>
            <w:tcW w:w="2880" w:type="dxa"/>
            <w:vAlign w:val="bottom"/>
          </w:tcPr>
          <w:p>
            <w:pPr>
              <w:spacing w:after="0"/>
              <w:rPr>
                <w:sz w:val="15"/>
                <w:szCs w:val="15"/>
                <w:color w:val="auto"/>
              </w:rPr>
            </w:pPr>
          </w:p>
        </w:tc>
        <w:tc>
          <w:tcPr>
            <w:tcW w:w="580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50"/>
        </w:trPr>
        <w:tc>
          <w:tcPr>
            <w:tcW w:w="2880" w:type="dxa"/>
            <w:vAlign w:val="bottom"/>
          </w:tcPr>
          <w:p>
            <w:pPr>
              <w:spacing w:after="0"/>
              <w:rPr>
                <w:sz w:val="24"/>
                <w:szCs w:val="24"/>
                <w:color w:val="auto"/>
              </w:rPr>
            </w:pPr>
          </w:p>
        </w:tc>
        <w:tc>
          <w:tcPr>
            <w:tcW w:w="5800" w:type="dxa"/>
            <w:vAlign w:val="bottom"/>
          </w:tcPr>
          <w:p>
            <w:pPr>
              <w:jc w:val="center"/>
              <w:ind w:right="38"/>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288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2880" w:type="dxa"/>
            <w:vAlign w:val="bottom"/>
            <w:tcBorders>
              <w:bottom w:val="single" w:sz="8" w:color="999999"/>
            </w:tcBorders>
          </w:tcPr>
          <w:p>
            <w:pPr>
              <w:spacing w:after="0"/>
              <w:rPr>
                <w:sz w:val="20"/>
                <w:szCs w:val="20"/>
                <w:color w:val="auto"/>
              </w:rPr>
            </w:pPr>
          </w:p>
        </w:tc>
        <w:tc>
          <w:tcPr>
            <w:tcW w:w="5800" w:type="dxa"/>
            <w:vAlign w:val="bottom"/>
            <w:tcBorders>
              <w:bottom w:val="single" w:sz="8" w:color="999999"/>
            </w:tcBorders>
          </w:tcPr>
          <w:p>
            <w:pPr>
              <w:spacing w:after="0"/>
              <w:rPr>
                <w:sz w:val="20"/>
                <w:szCs w:val="20"/>
                <w:color w:val="auto"/>
              </w:rPr>
            </w:pPr>
          </w:p>
        </w:tc>
        <w:tc>
          <w:tcPr>
            <w:tcW w:w="2740" w:type="dxa"/>
            <w:vAlign w:val="bottom"/>
            <w:tcBorders>
              <w:bottom w:val="single" w:sz="8" w:color="999999"/>
            </w:tcBorders>
          </w:tcPr>
          <w:p>
            <w:pPr>
              <w:spacing w:after="0"/>
              <w:rPr>
                <w:sz w:val="20"/>
                <w:szCs w:val="20"/>
                <w:color w:val="auto"/>
              </w:rPr>
            </w:pPr>
          </w:p>
        </w:tc>
        <w:tc>
          <w:tcPr>
            <w:tcW w:w="40" w:type="dxa"/>
            <w:vAlign w:val="bottom"/>
            <w:tcBorders>
              <w:bottom w:val="single" w:sz="8" w:color="999999"/>
            </w:tcBorders>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-192405</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-192405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ITEM 9. Regulation FD Disclosure.</w:t>
      </w:r>
    </w:p>
    <w:p>
      <w:pPr>
        <w:spacing w:after="0" w:line="77"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The Registrant (“TI” or “the company”) re-confirms its outlook for the second quarter of 2003 as set forth below and as originally set forth in the company’s earnings release on April 15, 2003. This re-confirmation is being made for purposes of Regulation FD only and is not an indication or assessment of materiality, nor is it intended to constitute a representation that the information is not otherwise publicly available.</w:t>
      </w:r>
    </w:p>
    <w:p>
      <w:pPr>
        <w:spacing w:after="0" w:line="46" w:lineRule="exact"/>
        <w:rPr>
          <w:sz w:val="24"/>
          <w:szCs w:val="24"/>
          <w:color w:val="auto"/>
        </w:rPr>
      </w:pPr>
    </w:p>
    <w:p>
      <w:pPr>
        <w:ind w:left="460" w:right="140"/>
        <w:spacing w:after="0" w:line="259" w:lineRule="auto"/>
        <w:rPr>
          <w:sz w:val="20"/>
          <w:szCs w:val="20"/>
          <w:color w:val="auto"/>
        </w:rPr>
      </w:pPr>
      <w:r>
        <w:rPr>
          <w:rFonts w:ascii="Arial" w:cs="Arial" w:eastAsia="Arial" w:hAnsi="Arial"/>
          <w:sz w:val="18"/>
          <w:szCs w:val="18"/>
          <w:color w:val="auto"/>
        </w:rPr>
        <w:t>For the second quarter of 2003, TI expects sequential revenue growth of about 7 percent. Inside that total, Semiconductor is expected to contribute about 4 percent sequential growth; Sensors &amp; Controls is expected to be about even with first quarter; and Educational &amp; Productivity Solutions is expected to seasonally increase about 100 percent.</w:t>
      </w:r>
    </w:p>
    <w:p>
      <w:pPr>
        <w:spacing w:after="0" w:line="4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TI expects operating profit margin in the second quarter to be about 7 percent and earnings per share (EPS) to be about $0.08, plus or minus a few cents.</w:t>
      </w:r>
    </w:p>
    <w:p>
      <w:pPr>
        <w:spacing w:after="0" w:line="181" w:lineRule="exact"/>
        <w:rPr>
          <w:sz w:val="24"/>
          <w:szCs w:val="24"/>
          <w:color w:val="auto"/>
        </w:rPr>
      </w:pPr>
    </w:p>
    <w:p>
      <w:pPr>
        <w:ind w:right="200"/>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4"/>
          <w:szCs w:val="24"/>
          <w:color w:val="auto"/>
        </w:rPr>
      </w:pPr>
    </w:p>
    <w:p>
      <w:pPr>
        <w:spacing w:after="0"/>
        <w:rPr>
          <w:sz w:val="24"/>
          <w:szCs w:val="24"/>
          <w:color w:val="auto"/>
        </w:rPr>
      </w:pPr>
      <w:r>
        <w:rPr>
          <w:rFonts w:ascii="Arial" w:cs="Arial" w:eastAsia="Arial" w:hAnsi="Arial"/>
          <w:sz w:val="16"/>
          <w:szCs w:val="16"/>
          <w:color w:val="auto"/>
        </w:rPr>
        <w:t>—   Market demand for semiconductors, particularly for digital signal processors and analog chips in key markets such as telecommunications and computers;</w:t>
      </w:r>
    </w:p>
    <w:p>
      <w:pPr>
        <w:spacing w:after="0" w:line="99" w:lineRule="exact"/>
        <w:rPr>
          <w:sz w:val="24"/>
          <w:szCs w:val="24"/>
          <w:color w:val="auto"/>
        </w:rPr>
      </w:pPr>
    </w:p>
    <w:p>
      <w:pPr>
        <w:ind w:left="460" w:right="220" w:hanging="446"/>
        <w:spacing w:after="0" w:line="268" w:lineRule="auto"/>
        <w:rPr>
          <w:sz w:val="24"/>
          <w:szCs w:val="24"/>
          <w:color w:val="auto"/>
        </w:rPr>
      </w:pPr>
      <w:r>
        <w:rPr>
          <w:rFonts w:ascii="Arial" w:cs="Arial" w:eastAsia="Arial" w:hAnsi="Arial"/>
          <w:sz w:val="18"/>
          <w:szCs w:val="18"/>
          <w:color w:val="auto"/>
        </w:rPr>
        <w:t>— 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sz w:val="24"/>
          <w:szCs w:val="24"/>
          <w:color w:val="auto"/>
        </w:rPr>
      </w:pPr>
    </w:p>
    <w:p>
      <w:pPr>
        <w:spacing w:after="0"/>
        <w:rPr>
          <w:sz w:val="24"/>
          <w:szCs w:val="24"/>
          <w:color w:val="auto"/>
        </w:rPr>
      </w:pPr>
      <w:r>
        <w:rPr>
          <w:rFonts w:ascii="Arial" w:cs="Arial" w:eastAsia="Arial" w:hAnsi="Arial"/>
          <w:sz w:val="18"/>
          <w:szCs w:val="18"/>
          <w:color w:val="auto"/>
        </w:rPr>
        <w:t>—   TI’s ability to develop, manufacture and market innovative products in a rapidly changing technological environment;</w:t>
      </w:r>
    </w:p>
    <w:p>
      <w:pPr>
        <w:spacing w:after="0" w:line="76" w:lineRule="exact"/>
        <w:rPr>
          <w:sz w:val="24"/>
          <w:szCs w:val="24"/>
          <w:color w:val="auto"/>
        </w:rPr>
      </w:pPr>
    </w:p>
    <w:p>
      <w:pPr>
        <w:spacing w:after="0"/>
        <w:rPr>
          <w:sz w:val="24"/>
          <w:szCs w:val="24"/>
          <w:color w:val="auto"/>
        </w:rPr>
      </w:pPr>
      <w:r>
        <w:rPr>
          <w:rFonts w:ascii="Arial" w:cs="Arial" w:eastAsia="Arial" w:hAnsi="Arial"/>
          <w:sz w:val="18"/>
          <w:szCs w:val="18"/>
          <w:color w:val="auto"/>
        </w:rPr>
        <w:t>—   TI’s ability to compete in products and prices in an intensely competitive industry;</w:t>
      </w:r>
    </w:p>
    <w:p>
      <w:pPr>
        <w:spacing w:after="0" w:line="76" w:lineRule="exact"/>
        <w:rPr>
          <w:sz w:val="24"/>
          <w:szCs w:val="24"/>
          <w:color w:val="auto"/>
        </w:rPr>
      </w:pPr>
    </w:p>
    <w:p>
      <w:pPr>
        <w:spacing w:after="0"/>
        <w:rPr>
          <w:sz w:val="24"/>
          <w:szCs w:val="24"/>
          <w:color w:val="auto"/>
        </w:rPr>
      </w:pPr>
      <w:r>
        <w:rPr>
          <w:rFonts w:ascii="Arial" w:cs="Arial" w:eastAsia="Arial" w:hAnsi="Arial"/>
          <w:sz w:val="18"/>
          <w:szCs w:val="18"/>
          <w:color w:val="auto"/>
        </w:rPr>
        <w:t>—   TI’s ability to maintain and enforce a strong intellectual property portfolio and obtain needed licenses from third parties;</w:t>
      </w:r>
    </w:p>
    <w:p>
      <w:pPr>
        <w:spacing w:after="0" w:line="76" w:lineRule="exact"/>
        <w:rPr>
          <w:sz w:val="24"/>
          <w:szCs w:val="24"/>
          <w:color w:val="auto"/>
        </w:rPr>
      </w:pPr>
    </w:p>
    <w:p>
      <w:pPr>
        <w:spacing w:after="0"/>
        <w:rPr>
          <w:sz w:val="24"/>
          <w:szCs w:val="24"/>
          <w:color w:val="auto"/>
        </w:rPr>
      </w:pPr>
      <w:r>
        <w:rPr>
          <w:rFonts w:ascii="Arial" w:cs="Arial" w:eastAsia="Arial" w:hAnsi="Arial"/>
          <w:sz w:val="18"/>
          <w:szCs w:val="18"/>
          <w:color w:val="auto"/>
        </w:rPr>
        <w:t>—   Consolidation of TI’s patent licensees and market conditions reducing royalty payments to TI;</w:t>
      </w:r>
    </w:p>
    <w:p>
      <w:pPr>
        <w:spacing w:after="0" w:line="76" w:lineRule="exact"/>
        <w:rPr>
          <w:sz w:val="24"/>
          <w:szCs w:val="24"/>
          <w:color w:val="auto"/>
        </w:rPr>
      </w:pPr>
    </w:p>
    <w:p>
      <w:pPr>
        <w:spacing w:after="0"/>
        <w:rPr>
          <w:sz w:val="24"/>
          <w:szCs w:val="24"/>
          <w:color w:val="auto"/>
        </w:rPr>
      </w:pPr>
      <w:r>
        <w:rPr>
          <w:rFonts w:ascii="Arial" w:cs="Arial" w:eastAsia="Arial" w:hAnsi="Arial"/>
          <w:sz w:val="18"/>
          <w:szCs w:val="18"/>
          <w:color w:val="auto"/>
        </w:rPr>
        <w:t>—   Timely completion and successful integration of announced acquisitions;</w:t>
      </w:r>
    </w:p>
    <w:p>
      <w:pPr>
        <w:spacing w:after="0" w:line="76" w:lineRule="exact"/>
        <w:rPr>
          <w:sz w:val="24"/>
          <w:szCs w:val="24"/>
          <w:color w:val="auto"/>
        </w:rPr>
      </w:pPr>
    </w:p>
    <w:p>
      <w:pPr>
        <w:ind w:left="460" w:right="80" w:hanging="446"/>
        <w:spacing w:after="0" w:line="268" w:lineRule="auto"/>
        <w:rPr>
          <w:sz w:val="24"/>
          <w:szCs w:val="24"/>
          <w:color w:val="auto"/>
        </w:rPr>
      </w:pPr>
      <w:r>
        <w:rPr>
          <w:rFonts w:ascii="Arial" w:cs="Arial" w:eastAsia="Arial" w:hAnsi="Arial"/>
          <w:sz w:val="18"/>
          <w:szCs w:val="18"/>
          <w:color w:val="auto"/>
        </w:rPr>
        <w:t>— Economic, social and political conditions in the countries in which TI, its customers or its suppliers operate, including security risks, possible disruptions in the transportation networks and fluctuations in foreign currency exchange rates;</w:t>
      </w:r>
    </w:p>
    <w:p>
      <w:pPr>
        <w:spacing w:after="0" w:line="37" w:lineRule="exact"/>
        <w:rPr>
          <w:sz w:val="24"/>
          <w:szCs w:val="24"/>
          <w:color w:val="auto"/>
        </w:rPr>
      </w:pPr>
    </w:p>
    <w:p>
      <w:pPr>
        <w:spacing w:after="0"/>
        <w:rPr>
          <w:sz w:val="24"/>
          <w:szCs w:val="24"/>
          <w:color w:val="auto"/>
        </w:rPr>
      </w:pPr>
      <w:r>
        <w:rPr>
          <w:rFonts w:ascii="Arial" w:cs="Arial" w:eastAsia="Arial" w:hAnsi="Arial"/>
          <w:sz w:val="18"/>
          <w:szCs w:val="18"/>
          <w:color w:val="auto"/>
        </w:rPr>
        <w:t>—   Losses or curtailments of purchases from key customers or the timing of customer inventory adjustments;</w:t>
      </w:r>
    </w:p>
    <w:p>
      <w:pPr>
        <w:spacing w:after="0" w:line="76" w:lineRule="exact"/>
        <w:rPr>
          <w:sz w:val="24"/>
          <w:szCs w:val="24"/>
          <w:color w:val="auto"/>
        </w:rPr>
      </w:pPr>
    </w:p>
    <w:p>
      <w:pPr>
        <w:spacing w:after="0"/>
        <w:rPr>
          <w:sz w:val="24"/>
          <w:szCs w:val="24"/>
          <w:color w:val="auto"/>
        </w:rPr>
      </w:pPr>
      <w:r>
        <w:rPr>
          <w:rFonts w:ascii="Arial" w:cs="Arial" w:eastAsia="Arial" w:hAnsi="Arial"/>
          <w:sz w:val="18"/>
          <w:szCs w:val="18"/>
          <w:color w:val="auto"/>
        </w:rPr>
        <w:t>—   Availability of raw materials and critical manufacturing equipment;</w:t>
      </w:r>
    </w:p>
    <w:p>
      <w:pPr>
        <w:spacing w:after="0" w:line="76" w:lineRule="exact"/>
        <w:rPr>
          <w:sz w:val="24"/>
          <w:szCs w:val="24"/>
          <w:color w:val="auto"/>
        </w:rPr>
      </w:pPr>
    </w:p>
    <w:p>
      <w:pPr>
        <w:spacing w:after="0"/>
        <w:rPr>
          <w:sz w:val="24"/>
          <w:szCs w:val="24"/>
          <w:color w:val="auto"/>
        </w:rPr>
      </w:pPr>
      <w:r>
        <w:rPr>
          <w:rFonts w:ascii="Arial" w:cs="Arial" w:eastAsia="Arial" w:hAnsi="Arial"/>
          <w:sz w:val="18"/>
          <w:szCs w:val="18"/>
          <w:color w:val="auto"/>
        </w:rPr>
        <w:t>—   TI’s ability to recruit and retain skilled personnel;</w:t>
      </w:r>
    </w:p>
    <w:p>
      <w:pPr>
        <w:spacing w:after="0" w:line="76" w:lineRule="exact"/>
        <w:rPr>
          <w:sz w:val="24"/>
          <w:szCs w:val="24"/>
          <w:color w:val="auto"/>
        </w:rPr>
      </w:pPr>
    </w:p>
    <w:p>
      <w:pPr>
        <w:spacing w:after="0"/>
        <w:rPr>
          <w:sz w:val="24"/>
          <w:szCs w:val="24"/>
          <w:color w:val="auto"/>
        </w:rPr>
      </w:pPr>
      <w:r>
        <w:rPr>
          <w:rFonts w:ascii="Arial" w:cs="Arial" w:eastAsia="Arial" w:hAnsi="Arial"/>
          <w:sz w:val="18"/>
          <w:szCs w:val="18"/>
          <w:color w:val="auto"/>
        </w:rPr>
        <w:t>—   Fluctuations in the market value of TI’s investments and in interest rates; and</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4"/>
          <w:szCs w:val="24"/>
          <w:color w:val="auto"/>
        </w:rPr>
      </w:pPr>
      <w:r>
        <w:rPr>
          <w:rFonts w:ascii="Arial" w:cs="Arial" w:eastAsia="Arial" w:hAnsi="Arial"/>
          <w:sz w:val="18"/>
          <w:szCs w:val="18"/>
          <w:color w:val="auto"/>
        </w:rPr>
        <w:t>—   Timely implementation of new manufacturing technologies and installation of manufacturing equipment.</w:t>
      </w:r>
    </w:p>
    <w:p>
      <w:pPr>
        <w:spacing w:after="0" w:line="158"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1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1460"/>
          </w:cols>
          <w:pgMar w:left="240" w:top="773" w:right="199" w:bottom="13"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00" w:val="left"/>
          <w:tab w:leader="none" w:pos="6400" w:val="left"/>
        </w:tabs>
        <w:rPr>
          <w:sz w:val="20"/>
          <w:szCs w:val="20"/>
          <w:color w:val="auto"/>
        </w:rPr>
      </w:pPr>
      <w:r>
        <w:rPr>
          <w:rFonts w:ascii="Arial" w:cs="Arial" w:eastAsia="Arial" w:hAnsi="Arial"/>
          <w:sz w:val="18"/>
          <w:szCs w:val="18"/>
          <w:color w:val="auto"/>
        </w:rPr>
        <w:t>Date: May 5,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William A. Aylesworth</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240"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emdash "/>
      <w:numFmt w:val="bullet"/>
      <w:start w:val="1"/>
    </w:lvl>
  </w:abstractNum>
  <w:abstractNum w:abstractNumId="1">
    <w:nsid w:val="66334873"/>
    <w:multiLevelType w:val="hybridMultilevel"/>
    <w:lvl w:ilvl="0">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2019-12-12T10:21:13Z</dcterms:created>
  <dcterms:modified xsi:type="dcterms:W3CDTF">2019-12-12T10:21:13Z</dcterms:modified>
</cp:coreProperties>
</file>