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SCHEDULE 14A</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14a-101)</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INFORMATION REQUIRED IN PROXY STATEMENT</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14A INFORMATION</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Proxy Statement Pursuant to Section 14(a) of the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Exchange Act of 1934 (Amendment No. )</w:t>
      </w:r>
    </w:p>
    <w:p>
      <w:pPr>
        <w:sectPr>
          <w:pgSz w:w="11900" w:h="16838" w:orient="portrait"/>
          <w:cols w:equalWidth="0" w:num="1">
            <w:col w:w="11420"/>
          </w:cols>
          <w:pgMar w:left="240" w:top="482" w:right="239" w:bottom="1440" w:gutter="0" w:footer="0" w:header="0"/>
        </w:sect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3000" w:space="140"/>
            <w:col w:w="8280"/>
          </w:cols>
          <w:pgMar w:left="240" w:top="482" w:right="239" w:bottom="1440" w:gutter="0" w:footer="0" w:header="0"/>
          <w:type w:val="continuous"/>
        </w:sectPr>
      </w:pPr>
    </w:p>
    <w:p>
      <w:pPr>
        <w:spacing w:after="0" w:line="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w:t>
      </w:r>
    </w:p>
    <w:p>
      <w:pPr>
        <w:spacing w:after="0" w:line="15" w:lineRule="exact"/>
        <w:rPr>
          <w:sz w:val="24"/>
          <w:szCs w:val="24"/>
          <w:color w:val="auto"/>
        </w:rPr>
      </w:pPr>
    </w:p>
    <w:p>
      <w:pPr>
        <w:ind w:left="540"/>
        <w:spacing w:after="0"/>
        <w:rPr>
          <w:sz w:val="20"/>
          <w:szCs w:val="20"/>
          <w:color w:val="auto"/>
        </w:rPr>
      </w:pPr>
      <w:r>
        <w:rPr>
          <w:rFonts w:ascii="Arial" w:cs="Arial" w:eastAsia="Arial" w:hAnsi="Arial"/>
          <w:sz w:val="16"/>
          <w:szCs w:val="16"/>
          <w:color w:val="auto"/>
        </w:rPr>
        <w:t>Commission Only (as permitted</w:t>
      </w:r>
    </w:p>
    <w:p>
      <w:pPr>
        <w:spacing w:after="0" w:line="32" w:lineRule="exact"/>
        <w:rPr>
          <w:sz w:val="24"/>
          <w:szCs w:val="24"/>
          <w:color w:val="auto"/>
        </w:rPr>
      </w:pPr>
    </w:p>
    <w:p>
      <w:pPr>
        <w:ind w:left="540"/>
        <w:spacing w:after="0"/>
        <w:rPr>
          <w:sz w:val="20"/>
          <w:szCs w:val="20"/>
          <w:color w:val="auto"/>
        </w:rPr>
      </w:pPr>
      <w:r>
        <w:rPr>
          <w:rFonts w:ascii="Arial" w:cs="Arial" w:eastAsia="Arial" w:hAnsi="Arial"/>
          <w:sz w:val="18"/>
          <w:szCs w:val="18"/>
          <w:color w:val="auto"/>
        </w:rPr>
        <w:t>by Rule 14a-6(e)(2))</w:t>
      </w:r>
    </w:p>
    <w:p>
      <w:pPr>
        <w:spacing w:after="0" w:line="16"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spacing w:after="0"/>
        <w:rPr>
          <w:sz w:val="20"/>
          <w:szCs w:val="20"/>
          <w:color w:val="auto"/>
        </w:rPr>
      </w:pPr>
      <w:r>
        <w:rPr>
          <w:rFonts w:ascii="Arial" w:cs="Arial" w:eastAsia="Arial" w:hAnsi="Arial"/>
          <w:sz w:val="16"/>
          <w:szCs w:val="16"/>
          <w:color w:val="auto"/>
        </w:rPr>
        <w:t>[  ] Soliciting Material Under Rule 14a-12</w:t>
      </w:r>
    </w:p>
    <w:p>
      <w:pPr>
        <w:spacing w:after="0" w:line="950" w:lineRule="exact"/>
        <w:rPr>
          <w:sz w:val="24"/>
          <w:szCs w:val="24"/>
          <w:color w:val="auto"/>
        </w:rPr>
      </w:pPr>
    </w:p>
    <w:p>
      <w:pPr>
        <w:sectPr>
          <w:pgSz w:w="11900" w:h="16838" w:orient="portrait"/>
          <w:cols w:equalWidth="0" w:num="2">
            <w:col w:w="2800" w:space="440"/>
            <w:col w:w="8180"/>
          </w:cols>
          <w:pgMar w:left="240" w:top="482" w:right="239" w:bottom="1440" w:gutter="0" w:footer="0" w:header="0"/>
          <w:type w:val="continuous"/>
        </w:sect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19685</wp:posOffset>
            </wp:positionV>
            <wp:extent cx="68091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328295</wp:posOffset>
            </wp:positionV>
            <wp:extent cx="68091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6" w:lineRule="exact"/>
        <w:rPr>
          <w:sz w:val="24"/>
          <w:szCs w:val="24"/>
          <w:color w:val="auto"/>
        </w:rPr>
      </w:pPr>
    </w:p>
    <w:p>
      <w:pPr>
        <w:ind w:left="540" w:hanging="519"/>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200" w:hanging="184"/>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36" w:lineRule="exact"/>
        <w:rPr>
          <w:rFonts w:ascii="Arial" w:cs="Arial" w:eastAsia="Arial" w:hAnsi="Arial"/>
          <w:sz w:val="18"/>
          <w:szCs w:val="18"/>
          <w:color w:val="auto"/>
        </w:rPr>
      </w:pPr>
    </w:p>
    <w:p>
      <w:pPr>
        <w:ind w:left="1000" w:hanging="46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1000" w:hanging="46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000" w:hanging="463"/>
        <w:spacing w:after="0" w:line="299"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7" w:lineRule="exact"/>
        <w:rPr>
          <w:rFonts w:ascii="Arial" w:cs="Arial" w:eastAsia="Arial" w:hAnsi="Arial"/>
          <w:sz w:val="18"/>
          <w:szCs w:val="18"/>
          <w:color w:val="auto"/>
        </w:rPr>
      </w:pPr>
    </w:p>
    <w:p>
      <w:pPr>
        <w:ind w:left="1000" w:hanging="46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000" w:hanging="46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173990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-142875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-459740</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-931545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-1249045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9" w:lineRule="exact"/>
        <w:rPr>
          <w:sz w:val="24"/>
          <w:szCs w:val="24"/>
          <w:color w:val="auto"/>
        </w:rPr>
      </w:pPr>
    </w:p>
    <w:p>
      <w:pPr>
        <w:ind w:left="20"/>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3" w:lineRule="exact"/>
        <w:rPr>
          <w:sz w:val="24"/>
          <w:szCs w:val="24"/>
          <w:color w:val="auto"/>
        </w:rPr>
      </w:pPr>
    </w:p>
    <w:p>
      <w:pPr>
        <w:ind w:left="540" w:right="620" w:hanging="524"/>
        <w:spacing w:after="0" w:line="290" w:lineRule="auto"/>
        <w:tabs>
          <w:tab w:leader="none" w:pos="211" w:val="left"/>
        </w:tabs>
        <w:numPr>
          <w:ilvl w:val="0"/>
          <w:numId w:val="4"/>
        </w:numPr>
        <w:rPr>
          <w:rFonts w:ascii="Arial" w:cs="Arial" w:eastAsia="Arial" w:hAnsi="Arial"/>
          <w:sz w:val="16"/>
          <w:szCs w:val="16"/>
          <w:color w:val="auto"/>
        </w:rPr>
      </w:pPr>
      <w:r>
        <w:rPr>
          <w:rFonts w:ascii="Arial" w:cs="Arial" w:eastAsia="Arial" w:hAnsi="Arial"/>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6"/>
          <w:szCs w:val="16"/>
          <w:color w:val="auto"/>
        </w:rPr>
      </w:pPr>
    </w:p>
    <w:p>
      <w:pPr>
        <w:ind w:left="1000" w:hanging="465"/>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000" w:hanging="465"/>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000" w:hanging="465"/>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000" w:hanging="465"/>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173990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-142875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-468630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-794385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403225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type w:val="continuous"/>
        </w:sectPr>
      </w:pPr>
    </w:p>
    <w:bookmarkStart w:id="1" w:name="page2"/>
    <w:bookmarkEnd w:id="1"/>
    <w:p>
      <w:pPr>
        <w:jc w:val="center"/>
        <w:ind w:right="460"/>
        <w:spacing w:after="0"/>
        <w:rPr>
          <w:sz w:val="20"/>
          <w:szCs w:val="20"/>
          <w:color w:val="auto"/>
        </w:rPr>
      </w:pPr>
      <w:r>
        <w:rPr>
          <w:rFonts w:ascii="Arial" w:cs="Arial" w:eastAsia="Arial" w:hAnsi="Arial"/>
          <w:sz w:val="32"/>
          <w:szCs w:val="32"/>
          <w:b w:val="1"/>
          <w:bCs w:val="1"/>
          <w:color w:val="auto"/>
        </w:rPr>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40" w:lineRule="exact"/>
        <w:rPr>
          <w:sz w:val="20"/>
          <w:szCs w:val="20"/>
          <w:color w:val="auto"/>
        </w:rPr>
      </w:pPr>
    </w:p>
    <w:p>
      <w:pPr>
        <w:jc w:val="center"/>
        <w:ind w:right="46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color w:val="auto"/>
        </w:rPr>
        <w:t>Shareholder Meeting to Be Held on April 19, 2012.</w:t>
      </w:r>
    </w:p>
    <w:p>
      <w:pPr>
        <w:sectPr>
          <w:pgSz w:w="11900" w:h="16838" w:orient="portrait"/>
          <w:cols w:equalWidth="0" w:num="1">
            <w:col w:w="10960"/>
          </w:cols>
          <w:pgMar w:left="700" w:top="346"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484505</wp:posOffset>
            </wp:positionV>
            <wp:extent cx="127762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76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ATTN: JANE NAHRA</w:t>
      </w:r>
    </w:p>
    <w:p>
      <w:pPr>
        <w:spacing w:after="0" w:line="223" w:lineRule="auto"/>
        <w:rPr>
          <w:sz w:val="20"/>
          <w:szCs w:val="20"/>
          <w:color w:val="auto"/>
        </w:rPr>
      </w:pPr>
      <w:r>
        <w:rPr>
          <w:rFonts w:ascii="Arial" w:cs="Arial" w:eastAsia="Arial" w:hAnsi="Arial"/>
          <w:sz w:val="14"/>
          <w:szCs w:val="14"/>
          <w:i w:val="1"/>
          <w:iCs w:val="1"/>
          <w:color w:val="auto"/>
        </w:rPr>
        <w:t>13588 N. CENTRAL EXPRESSWAY</w:t>
      </w:r>
    </w:p>
    <w:p>
      <w:pPr>
        <w:spacing w:after="0" w:line="222" w:lineRule="auto"/>
        <w:rPr>
          <w:sz w:val="20"/>
          <w:szCs w:val="20"/>
          <w:color w:val="auto"/>
        </w:rPr>
      </w:pPr>
      <w:r>
        <w:rPr>
          <w:rFonts w:ascii="Arial" w:cs="Arial" w:eastAsia="Arial" w:hAnsi="Arial"/>
          <w:sz w:val="14"/>
          <w:szCs w:val="14"/>
          <w:i w:val="1"/>
          <w:iCs w:val="1"/>
          <w:color w:val="auto"/>
        </w:rPr>
        <w:t>MS 3999</w:t>
      </w:r>
    </w:p>
    <w:p>
      <w:pPr>
        <w:spacing w:after="0"/>
        <w:rPr>
          <w:sz w:val="20"/>
          <w:szCs w:val="20"/>
          <w:color w:val="auto"/>
        </w:rPr>
      </w:pPr>
      <w:r>
        <w:rPr>
          <w:rFonts w:ascii="Arial" w:cs="Arial" w:eastAsia="Arial" w:hAnsi="Arial"/>
          <w:sz w:val="14"/>
          <w:szCs w:val="14"/>
          <w:i w:val="1"/>
          <w:iCs w:val="1"/>
          <w:color w:val="auto"/>
        </w:rPr>
        <w:t>DALLAS, TX 75243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7"/>
              </w:rPr>
              <w:t>Meeting Information</w:t>
            </w:r>
          </w:p>
        </w:tc>
      </w:tr>
      <w:tr>
        <w:trPr>
          <w:trHeight w:val="316"/>
        </w:trPr>
        <w:tc>
          <w:tcPr>
            <w:tcW w:w="138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280" w:type="dxa"/>
            <w:vAlign w:val="bottom"/>
            <w:gridSpan w:val="2"/>
          </w:tcPr>
          <w:p>
            <w:pPr>
              <w:ind w:left="180"/>
              <w:spacing w:after="0"/>
              <w:rPr>
                <w:sz w:val="20"/>
                <w:szCs w:val="20"/>
                <w:color w:val="auto"/>
              </w:rPr>
            </w:pPr>
            <w:r>
              <w:rPr>
                <w:rFonts w:ascii="Arial" w:cs="Arial" w:eastAsia="Arial" w:hAnsi="Arial"/>
                <w:sz w:val="18"/>
                <w:szCs w:val="18"/>
                <w:color w:val="auto"/>
              </w:rPr>
              <w:t>Annual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-401320</wp:posOffset>
            </wp:positionV>
            <wp:extent cx="3473450" cy="1389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73450" cy="138938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February 21, 2012</w:t>
      </w:r>
    </w:p>
    <w:p>
      <w:pPr>
        <w:spacing w:after="0" w:line="50" w:lineRule="exact"/>
        <w:rPr>
          <w:sz w:val="20"/>
          <w:szCs w:val="20"/>
          <w:color w:val="auto"/>
        </w:rPr>
      </w:pPr>
    </w:p>
    <w:p>
      <w:pPr>
        <w:ind w:left="100"/>
        <w:spacing w:after="0"/>
        <w:tabs>
          <w:tab w:leader="none" w:pos="780" w:val="left"/>
          <w:tab w:leader="none" w:pos="21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April 19, 2012</w:t>
      </w:r>
      <w:r>
        <w:rPr>
          <w:sz w:val="20"/>
          <w:szCs w:val="20"/>
          <w:color w:val="auto"/>
        </w:rPr>
        <w:tab/>
      </w:r>
      <w:r>
        <w:rPr>
          <w:rFonts w:ascii="Arial" w:cs="Arial" w:eastAsia="Arial" w:hAnsi="Arial"/>
          <w:sz w:val="18"/>
          <w:szCs w:val="18"/>
          <w:b w:val="1"/>
          <w:bCs w:val="1"/>
          <w:color w:val="auto"/>
        </w:rPr>
        <w:t xml:space="preserve">Time: </w:t>
      </w:r>
      <w:r>
        <w:rPr>
          <w:rFonts w:ascii="Arial" w:cs="Arial" w:eastAsia="Arial" w:hAnsi="Arial"/>
          <w:sz w:val="18"/>
          <w:szCs w:val="18"/>
          <w:color w:val="auto"/>
        </w:rPr>
        <w:t>10:00 a.m.</w:t>
      </w:r>
    </w:p>
    <w:p>
      <w:pPr>
        <w:spacing w:after="0" w:line="36" w:lineRule="exact"/>
        <w:rPr>
          <w:sz w:val="20"/>
          <w:szCs w:val="20"/>
          <w:color w:val="auto"/>
        </w:rPr>
      </w:pPr>
    </w:p>
    <w:p>
      <w:pPr>
        <w:ind w:left="100"/>
        <w:spacing w:after="0"/>
        <w:tabs>
          <w:tab w:leader="none" w:pos="112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Texas Instruments Incorporated</w:t>
      </w:r>
    </w:p>
    <w:p>
      <w:pPr>
        <w:spacing w:after="0" w:line="5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12500 TI Boulevard</w:t>
      </w:r>
    </w:p>
    <w:p>
      <w:pPr>
        <w:spacing w:after="0" w:line="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Dallas, Texas 75243</w:t>
      </w:r>
    </w:p>
    <w:p>
      <w:pPr>
        <w:spacing w:after="0" w:line="19"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 xml:space="preserve">See page 100 of the Proxy Statement (available at </w:t>
      </w:r>
      <w:r>
        <w:rPr>
          <w:rFonts w:ascii="Arial" w:cs="Arial" w:eastAsia="Arial" w:hAnsi="Arial"/>
          <w:sz w:val="14"/>
          <w:szCs w:val="14"/>
          <w:u w:val="single" w:color="auto"/>
          <w:color w:val="auto"/>
        </w:rPr>
        <w:t>www.proxyvote.com</w:t>
      </w:r>
      <w:r>
        <w:rPr>
          <w:rFonts w:ascii="Arial" w:cs="Arial" w:eastAsia="Arial" w:hAnsi="Arial"/>
          <w:sz w:val="14"/>
          <w:szCs w:val="14"/>
          <w:color w:val="auto"/>
        </w:rPr>
        <w:t>) for directions to the meeting location.</w:t>
      </w:r>
    </w:p>
    <w:p>
      <w:pPr>
        <w:spacing w:after="0" w:line="247" w:lineRule="exact"/>
        <w:rPr>
          <w:sz w:val="20"/>
          <w:szCs w:val="20"/>
          <w:color w:val="auto"/>
        </w:rPr>
      </w:pPr>
    </w:p>
    <w:p>
      <w:pPr>
        <w:sectPr>
          <w:pgSz w:w="11900" w:h="16838" w:orient="portrait"/>
          <w:cols w:equalWidth="0" w:num="2">
            <w:col w:w="4780" w:space="720"/>
            <w:col w:w="5460"/>
          </w:cols>
          <w:pgMar w:left="700" w:top="346" w:right="239" w:bottom="1440" w:gutter="0" w:footer="0" w:header="0"/>
          <w:type w:val="continuous"/>
        </w:sectPr>
      </w:pPr>
    </w:p>
    <w:p>
      <w:pPr>
        <w:ind w:left="5480"/>
        <w:spacing w:after="0"/>
        <w:rPr>
          <w:sz w:val="20"/>
          <w:szCs w:val="20"/>
          <w:color w:val="auto"/>
        </w:rPr>
      </w:pPr>
      <w:r>
        <w:rPr>
          <w:rFonts w:ascii="Arial" w:cs="Arial" w:eastAsia="Arial" w:hAnsi="Arial"/>
          <w:sz w:val="16"/>
          <w:szCs w:val="16"/>
          <w:color w:val="auto"/>
        </w:rPr>
        <w:t>You are receiving this communication because you hold shares in the</w:t>
      </w:r>
    </w:p>
    <w:p>
      <w:pPr>
        <w:spacing w:after="0" w:line="1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above named company.</w:t>
      </w:r>
    </w:p>
    <w:p>
      <w:pPr>
        <w:spacing w:after="0" w:line="23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This is not a ballot. You cannot use this notice to vote these shares.</w:t>
      </w:r>
    </w:p>
    <w:p>
      <w:pPr>
        <w:ind w:left="5480"/>
        <w:spacing w:after="0" w:line="234" w:lineRule="auto"/>
        <w:rPr>
          <w:sz w:val="20"/>
          <w:szCs w:val="20"/>
          <w:color w:val="auto"/>
        </w:rPr>
      </w:pPr>
      <w:r>
        <w:rPr>
          <w:rFonts w:ascii="Arial" w:cs="Arial" w:eastAsia="Arial" w:hAnsi="Arial"/>
          <w:sz w:val="18"/>
          <w:szCs w:val="18"/>
          <w:b w:val="1"/>
          <w:bCs w:val="1"/>
          <w:color w:val="auto"/>
        </w:rPr>
        <w:t>This communication presents only an overview of the more</w:t>
      </w:r>
    </w:p>
    <w:p>
      <w:pPr>
        <w:ind w:left="5480"/>
        <w:spacing w:after="0" w:line="235" w:lineRule="auto"/>
        <w:rPr>
          <w:sz w:val="20"/>
          <w:szCs w:val="20"/>
          <w:color w:val="auto"/>
        </w:rPr>
      </w:pPr>
      <w:r>
        <w:rPr>
          <w:rFonts w:ascii="Arial" w:cs="Arial" w:eastAsia="Arial" w:hAnsi="Arial"/>
          <w:sz w:val="18"/>
          <w:szCs w:val="18"/>
          <w:b w:val="1"/>
          <w:bCs w:val="1"/>
          <w:color w:val="auto"/>
        </w:rPr>
        <w:t>complete  proxy  materials  that  are  available  to  you  on  the</w:t>
      </w:r>
    </w:p>
    <w:p>
      <w:pPr>
        <w:ind w:left="5480"/>
        <w:spacing w:after="0"/>
        <w:tabs>
          <w:tab w:leader="none" w:pos="6360" w:val="left"/>
          <w:tab w:leader="none" w:pos="6860" w:val="left"/>
          <w:tab w:leader="none" w:pos="7400" w:val="left"/>
          <w:tab w:leader="none" w:pos="7980" w:val="left"/>
          <w:tab w:leader="none" w:pos="8440" w:val="left"/>
          <w:tab w:leader="none" w:pos="9100" w:val="left"/>
          <w:tab w:leader="none" w:pos="10060" w:val="left"/>
          <w:tab w:leader="none" w:pos="10780" w:val="left"/>
        </w:tabs>
        <w:rPr>
          <w:sz w:val="20"/>
          <w:szCs w:val="20"/>
          <w:color w:val="auto"/>
        </w:rPr>
      </w:pPr>
      <w:r>
        <w:rPr>
          <w:rFonts w:ascii="Arial" w:cs="Arial" w:eastAsia="Arial" w:hAnsi="Arial"/>
          <w:sz w:val="18"/>
          <w:szCs w:val="18"/>
          <w:b w:val="1"/>
          <w:bCs w:val="1"/>
          <w:color w:val="auto"/>
        </w:rPr>
        <w:t>Internet.</w:t>
        <w:tab/>
        <w:t>You</w:t>
        <w:tab/>
        <w:t>may</w:t>
        <w:tab/>
        <w:t>view</w:t>
        <w:tab/>
        <w:t>the</w:t>
        <w:tab/>
        <w:t>proxy</w:t>
        <w:tab/>
        <w:t>materials</w:t>
        <w:tab/>
        <w:t>online</w:t>
      </w:r>
      <w:r>
        <w:rPr>
          <w:sz w:val="20"/>
          <w:szCs w:val="20"/>
          <w:color w:val="auto"/>
        </w:rPr>
        <w:tab/>
      </w:r>
      <w:r>
        <w:rPr>
          <w:rFonts w:ascii="Arial" w:cs="Arial" w:eastAsia="Arial" w:hAnsi="Arial"/>
          <w:sz w:val="16"/>
          <w:szCs w:val="16"/>
          <w:b w:val="1"/>
          <w:bCs w:val="1"/>
          <w:color w:val="auto"/>
        </w:rPr>
        <w:t>at</w:t>
      </w:r>
    </w:p>
    <w:p>
      <w:pPr>
        <w:spacing w:after="0" w:line="1" w:lineRule="exact"/>
        <w:rPr>
          <w:sz w:val="20"/>
          <w:szCs w:val="20"/>
          <w:color w:val="auto"/>
        </w:rPr>
      </w:pPr>
    </w:p>
    <w:p>
      <w:pPr>
        <w:ind w:left="5480"/>
        <w:spacing w:after="0"/>
        <w:rPr>
          <w:sz w:val="20"/>
          <w:szCs w:val="20"/>
          <w:color w:val="auto"/>
        </w:rPr>
      </w:pPr>
      <w:r>
        <w:rPr>
          <w:rFonts w:ascii="Arial" w:cs="Arial" w:eastAsia="Arial" w:hAnsi="Arial"/>
          <w:sz w:val="16"/>
          <w:szCs w:val="16"/>
          <w:b w:val="1"/>
          <w:bCs w:val="1"/>
          <w:i w:val="1"/>
          <w:iCs w:val="1"/>
          <w:color w:val="auto"/>
        </w:rPr>
        <w:t xml:space="preserve">www.proxyvote.com </w:t>
      </w:r>
      <w:r>
        <w:rPr>
          <w:rFonts w:ascii="Arial" w:cs="Arial" w:eastAsia="Arial" w:hAnsi="Arial"/>
          <w:sz w:val="16"/>
          <w:szCs w:val="16"/>
          <w:b w:val="1"/>
          <w:bCs w:val="1"/>
          <w:color w:val="auto"/>
        </w:rPr>
        <w:t>or easily request a paper copy (see reverse</w:t>
      </w:r>
    </w:p>
    <w:p>
      <w:pPr>
        <w:spacing w:after="0" w:line="1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-21590</wp:posOffset>
            </wp:positionV>
            <wp:extent cx="137160" cy="917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917575"/>
                    </a:xfrm>
                    <a:prstGeom prst="rect">
                      <a:avLst/>
                    </a:prstGeom>
                    <a:noFill/>
                  </pic:spPr>
                </pic:pic>
              </a:graphicData>
            </a:graphic>
          </wp:anchor>
        </w:drawing>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We encourage you to access and review all of the important</w:t>
      </w:r>
    </w:p>
    <w:p>
      <w:pPr>
        <w:spacing w:after="0" w:line="18"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information contained in the proxy materials before voting.</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6"/>
          <w:szCs w:val="16"/>
          <w:b w:val="1"/>
          <w:bCs w:val="1"/>
          <w:color w:val="FFFFFF"/>
        </w:rPr>
        <w:t>See the reverse side of this notice to obtain proxy materials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-104140</wp:posOffset>
            </wp:positionV>
            <wp:extent cx="340487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4870" cy="257175"/>
                    </a:xfrm>
                    <a:prstGeom prst="rect">
                      <a:avLst/>
                    </a:prstGeom>
                    <a:noFill/>
                  </pic:spPr>
                </pic:pic>
              </a:graphicData>
            </a:graphic>
          </wp:anchor>
        </w:drawing>
      </w:r>
    </w:p>
    <w:p>
      <w:pPr>
        <w:spacing w:after="0" w:line="21"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FFFFFF"/>
        </w:rPr>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567690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60"/>
          </w:cols>
          <w:pgMar w:left="700" w:top="346" w:right="239" w:bottom="1440" w:gutter="0" w:footer="0" w:header="0"/>
          <w:type w:val="continuous"/>
        </w:sectPr>
      </w:pPr>
    </w:p>
    <w:bookmarkStart w:id="2" w:name="page3"/>
    <w:bookmarkEnd w:id="2"/>
    <w:p>
      <w:pPr>
        <w:ind w:left="3260"/>
        <w:spacing w:after="0"/>
        <w:rPr>
          <w:sz w:val="20"/>
          <w:szCs w:val="20"/>
          <w:color w:val="auto"/>
        </w:rPr>
      </w:pPr>
      <w:r>
        <w:rPr>
          <w:rFonts w:ascii="Arial" w:cs="Arial" w:eastAsia="Arial" w:hAnsi="Arial"/>
          <w:sz w:val="32"/>
          <w:szCs w:val="32"/>
          <w:b w:val="1"/>
          <w:bCs w:val="1"/>
          <w:color w:val="auto"/>
        </w:rPr>
        <w:t>— Before You Vote —</w:t>
      </w:r>
    </w:p>
    <w:p>
      <w:pPr>
        <w:spacing w:after="0" w:line="40"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152400</wp:posOffset>
            </wp:positionV>
            <wp:extent cx="6740525" cy="2444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0525" cy="244411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31"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1. 2012 Notice and Proxy Statement</w:t>
      </w:r>
      <w:r>
        <w:rPr>
          <w:sz w:val="20"/>
          <w:szCs w:val="20"/>
          <w:color w:val="auto"/>
        </w:rPr>
        <w:tab/>
      </w:r>
      <w:r>
        <w:rPr>
          <w:rFonts w:ascii="Arial" w:cs="Arial" w:eastAsia="Arial" w:hAnsi="Arial"/>
          <w:sz w:val="18"/>
          <w:szCs w:val="18"/>
          <w:color w:val="auto"/>
        </w:rPr>
        <w:t>2. 2011 Annual Report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Have the information that is printed in the box marked by the arrow è XXXX XXXX XXXX (located on the following page) and visit: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www.proxyvote.com.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86" w:lineRule="exact"/>
        <w:rPr>
          <w:sz w:val="20"/>
          <w:szCs w:val="20"/>
          <w:color w:val="auto"/>
        </w:rPr>
      </w:pPr>
    </w:p>
    <w:p>
      <w:pPr>
        <w:ind w:left="1000" w:hanging="195"/>
        <w:spacing w:after="0"/>
        <w:tabs>
          <w:tab w:leader="none" w:pos="100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    www.proxyvote.com</w:t>
      </w:r>
    </w:p>
    <w:p>
      <w:pPr>
        <w:spacing w:after="0" w:line="21" w:lineRule="exact"/>
        <w:rPr>
          <w:rFonts w:ascii="Arial" w:cs="Arial" w:eastAsia="Arial" w:hAnsi="Arial"/>
          <w:sz w:val="18"/>
          <w:szCs w:val="18"/>
          <w:color w:val="auto"/>
        </w:rPr>
      </w:pPr>
    </w:p>
    <w:p>
      <w:pPr>
        <w:ind w:left="1000" w:hanging="195"/>
        <w:spacing w:after="0"/>
        <w:tabs>
          <w:tab w:leader="none" w:pos="100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1000" w:hanging="195"/>
        <w:spacing w:after="0"/>
        <w:tabs>
          <w:tab w:leader="none" w:pos="100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97" w:lineRule="exact"/>
        <w:rPr>
          <w:rFonts w:ascii="Arial" w:cs="Arial" w:eastAsia="Arial" w:hAnsi="Arial"/>
          <w:sz w:val="18"/>
          <w:szCs w:val="18"/>
          <w:color w:val="auto"/>
        </w:rPr>
      </w:pPr>
    </w:p>
    <w:p>
      <w:pPr>
        <w:ind w:left="20" w:right="480" w:hanging="18"/>
        <w:spacing w:after="0" w:line="268" w:lineRule="auto"/>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 è XXXX XXXX XXXX (located on the following page) in the subject line.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make the request as instructed above on or before April 5, 2012 to facilitate timely delivery.</w:t>
      </w:r>
    </w:p>
    <w:p>
      <w:pPr>
        <w:spacing w:after="0" w:line="299" w:lineRule="exact"/>
        <w:rPr>
          <w:sz w:val="20"/>
          <w:szCs w:val="20"/>
          <w:color w:val="auto"/>
        </w:rPr>
      </w:pPr>
    </w:p>
    <w:p>
      <w:pPr>
        <w:jc w:val="center"/>
        <w:ind w:right="580"/>
        <w:spacing w:after="0"/>
        <w:rPr>
          <w:sz w:val="20"/>
          <w:szCs w:val="20"/>
          <w:color w:val="auto"/>
        </w:rPr>
      </w:pPr>
      <w:r>
        <w:rPr>
          <w:rFonts w:ascii="Arial" w:cs="Arial" w:eastAsia="Arial" w:hAnsi="Arial"/>
          <w:sz w:val="32"/>
          <w:szCs w:val="32"/>
          <w:b w:val="1"/>
          <w:bCs w:val="1"/>
          <w:color w:val="auto"/>
        </w:rPr>
        <w:t>— How To Vote —</w:t>
      </w:r>
    </w:p>
    <w:p>
      <w:pPr>
        <w:spacing w:after="0" w:line="40"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152400</wp:posOffset>
            </wp:positionV>
            <wp:extent cx="7178040" cy="1166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66495"/>
                    </a:xfrm>
                    <a:prstGeom prst="rect">
                      <a:avLst/>
                    </a:prstGeom>
                    <a:noFill/>
                  </pic:spPr>
                </pic:pic>
              </a:graphicData>
            </a:graphic>
          </wp:anchor>
        </w:drawing>
      </w:r>
    </w:p>
    <w:p>
      <w:pPr>
        <w:spacing w:after="0" w:line="30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 www.proxyvote.com. Have the information that is printed in the box marked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arrow è XXXX XXXX XXXX (located on the following page) and follow the instructions. You may vote by Internet up until 11:59 p.m.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Eastern Time on April 18, 2012.</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Vote By Mail: </w:t>
      </w:r>
      <w:r>
        <w:rPr>
          <w:rFonts w:ascii="Arial" w:cs="Arial" w:eastAsia="Arial" w:hAnsi="Arial"/>
          <w:sz w:val="16"/>
          <w:szCs w:val="16"/>
          <w:color w:val="auto"/>
        </w:rPr>
        <w:t>You can vote by mail by requesting a paper copy of the materials (as indicated above),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261620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580"/>
          </w:cols>
          <w:pgMar w:left="960" w:top="346" w:right="359" w:bottom="1440" w:gutter="0" w:footer="0" w:header="0"/>
        </w:sectPr>
      </w:pPr>
    </w:p>
    <w:bookmarkStart w:id="3" w:name="page4"/>
    <w:bookmarkEnd w:id="3"/>
    <w:p>
      <w:pPr>
        <w:ind w:left="110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288290</wp:posOffset>
            </wp:positionH>
            <wp:positionV relativeFrom="page">
              <wp:posOffset>245745</wp:posOffset>
            </wp:positionV>
            <wp:extent cx="1908175" cy="167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08175" cy="167005"/>
                    </a:xfrm>
                    <a:prstGeom prst="rect">
                      <a:avLst/>
                    </a:prstGeom>
                    <a:noFill/>
                  </pic:spPr>
                </pic:pic>
              </a:graphicData>
            </a:graphic>
          </wp:anchor>
        </w:drawing>
        <w:t>Voting Items</w:t>
      </w:r>
    </w:p>
    <w:p>
      <w:pPr>
        <w:spacing w:after="0" w:line="55" w:lineRule="exact"/>
        <w:rPr>
          <w:sz w:val="20"/>
          <w:szCs w:val="20"/>
          <w:color w:val="auto"/>
        </w:rPr>
      </w:pPr>
    </w:p>
    <w:p>
      <w:pPr>
        <w:ind w:left="9" w:right="1197"/>
        <w:spacing w:after="0" w:line="247" w:lineRule="auto"/>
        <w:rPr>
          <w:sz w:val="20"/>
          <w:szCs w:val="20"/>
          <w:color w:val="auto"/>
        </w:rPr>
      </w:pPr>
      <w:r>
        <w:rPr>
          <w:rFonts w:ascii="Arial" w:cs="Arial" w:eastAsia="Arial" w:hAnsi="Arial"/>
          <w:sz w:val="14"/>
          <w:szCs w:val="14"/>
          <w:b w:val="1"/>
          <w:bCs w:val="1"/>
          <w:color w:val="auto"/>
        </w:rPr>
        <w:t>The board of directors recommends you vote FOR each of the nominees for director and FOR Proposals 2 and 3.</w:t>
      </w:r>
    </w:p>
    <w:p>
      <w:pPr>
        <w:spacing w:after="0" w:line="171" w:lineRule="exact"/>
        <w:rPr>
          <w:sz w:val="20"/>
          <w:szCs w:val="20"/>
          <w:color w:val="auto"/>
        </w:rPr>
      </w:pPr>
    </w:p>
    <w:p>
      <w:pPr>
        <w:ind w:left="209" w:hanging="209"/>
        <w:spacing w:after="0"/>
        <w:tabs>
          <w:tab w:leader="none" w:pos="209"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255" w:lineRule="exact"/>
        <w:rPr>
          <w:rFonts w:ascii="Arial" w:cs="Arial" w:eastAsia="Arial" w:hAnsi="Arial"/>
          <w:sz w:val="14"/>
          <w:szCs w:val="14"/>
          <w:color w:val="auto"/>
        </w:rPr>
      </w:pPr>
    </w:p>
    <w:p>
      <w:pPr>
        <w:ind w:left="209"/>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314" w:lineRule="exact"/>
        <w:rPr>
          <w:rFonts w:ascii="Arial" w:cs="Arial" w:eastAsia="Arial" w:hAnsi="Arial"/>
          <w:sz w:val="14"/>
          <w:szCs w:val="14"/>
          <w:color w:val="auto"/>
        </w:rPr>
      </w:pPr>
    </w:p>
    <w:p>
      <w:pPr>
        <w:ind w:left="209"/>
        <w:spacing w:after="0"/>
        <w:rPr>
          <w:rFonts w:ascii="Arial" w:cs="Arial" w:eastAsia="Arial" w:hAnsi="Arial"/>
          <w:sz w:val="14"/>
          <w:szCs w:val="14"/>
          <w:color w:val="auto"/>
        </w:rPr>
      </w:pPr>
      <w:r>
        <w:rPr>
          <w:rFonts w:ascii="Arial" w:cs="Arial" w:eastAsia="Arial" w:hAnsi="Arial"/>
          <w:sz w:val="14"/>
          <w:szCs w:val="14"/>
          <w:color w:val="auto"/>
        </w:rPr>
        <w:t>1a.  R. W. Babb, Jr.</w:t>
      </w:r>
    </w:p>
    <w:p>
      <w:pPr>
        <w:spacing w:after="0" w:line="284" w:lineRule="exact"/>
        <w:rPr>
          <w:rFonts w:ascii="Arial" w:cs="Arial" w:eastAsia="Arial" w:hAnsi="Arial"/>
          <w:sz w:val="14"/>
          <w:szCs w:val="14"/>
          <w:color w:val="auto"/>
        </w:rPr>
      </w:pPr>
    </w:p>
    <w:p>
      <w:pPr>
        <w:ind w:left="209"/>
        <w:spacing w:after="0"/>
        <w:rPr>
          <w:rFonts w:ascii="Arial" w:cs="Arial" w:eastAsia="Arial" w:hAnsi="Arial"/>
          <w:sz w:val="14"/>
          <w:szCs w:val="14"/>
          <w:color w:val="auto"/>
        </w:rPr>
      </w:pPr>
      <w:r>
        <w:rPr>
          <w:rFonts w:ascii="Arial" w:cs="Arial" w:eastAsia="Arial" w:hAnsi="Arial"/>
          <w:sz w:val="14"/>
          <w:szCs w:val="14"/>
          <w:color w:val="auto"/>
        </w:rPr>
        <w:t>1b.  D. A. Carp</w:t>
      </w:r>
    </w:p>
    <w:p>
      <w:pPr>
        <w:spacing w:after="0" w:line="298" w:lineRule="exact"/>
        <w:rPr>
          <w:rFonts w:ascii="Arial" w:cs="Arial" w:eastAsia="Arial" w:hAnsi="Arial"/>
          <w:sz w:val="14"/>
          <w:szCs w:val="14"/>
          <w:color w:val="auto"/>
        </w:rPr>
      </w:pPr>
    </w:p>
    <w:p>
      <w:pPr>
        <w:ind w:left="209"/>
        <w:spacing w:after="0"/>
        <w:rPr>
          <w:rFonts w:ascii="Arial" w:cs="Arial" w:eastAsia="Arial" w:hAnsi="Arial"/>
          <w:sz w:val="14"/>
          <w:szCs w:val="14"/>
          <w:color w:val="auto"/>
        </w:rPr>
      </w:pPr>
      <w:r>
        <w:rPr>
          <w:rFonts w:ascii="Arial" w:cs="Arial" w:eastAsia="Arial" w:hAnsi="Arial"/>
          <w:sz w:val="14"/>
          <w:szCs w:val="14"/>
          <w:color w:val="auto"/>
        </w:rPr>
        <w:t>1c.   C. S. Cox</w:t>
      </w:r>
    </w:p>
    <w:p>
      <w:pPr>
        <w:spacing w:after="0" w:line="284" w:lineRule="exact"/>
        <w:rPr>
          <w:rFonts w:ascii="Arial" w:cs="Arial" w:eastAsia="Arial" w:hAnsi="Arial"/>
          <w:sz w:val="14"/>
          <w:szCs w:val="14"/>
          <w:color w:val="auto"/>
        </w:rPr>
      </w:pPr>
    </w:p>
    <w:p>
      <w:pPr>
        <w:ind w:left="209"/>
        <w:spacing w:after="0"/>
        <w:rPr>
          <w:rFonts w:ascii="Arial" w:cs="Arial" w:eastAsia="Arial" w:hAnsi="Arial"/>
          <w:sz w:val="14"/>
          <w:szCs w:val="14"/>
          <w:color w:val="auto"/>
        </w:rPr>
      </w:pPr>
      <w:r>
        <w:rPr>
          <w:rFonts w:ascii="Arial" w:cs="Arial" w:eastAsia="Arial" w:hAnsi="Arial"/>
          <w:sz w:val="14"/>
          <w:szCs w:val="14"/>
          <w:color w:val="auto"/>
        </w:rPr>
        <w:t>1d.  P. H. Patsley</w:t>
      </w:r>
    </w:p>
    <w:p>
      <w:pPr>
        <w:spacing w:after="0" w:line="298" w:lineRule="exact"/>
        <w:rPr>
          <w:rFonts w:ascii="Arial" w:cs="Arial" w:eastAsia="Arial" w:hAnsi="Arial"/>
          <w:sz w:val="14"/>
          <w:szCs w:val="14"/>
          <w:color w:val="auto"/>
        </w:rPr>
      </w:pPr>
    </w:p>
    <w:p>
      <w:pPr>
        <w:ind w:left="209"/>
        <w:spacing w:after="0"/>
        <w:rPr>
          <w:rFonts w:ascii="Arial" w:cs="Arial" w:eastAsia="Arial" w:hAnsi="Arial"/>
          <w:sz w:val="14"/>
          <w:szCs w:val="14"/>
          <w:color w:val="auto"/>
        </w:rPr>
      </w:pPr>
      <w:r>
        <w:rPr>
          <w:rFonts w:ascii="Arial" w:cs="Arial" w:eastAsia="Arial" w:hAnsi="Arial"/>
          <w:sz w:val="14"/>
          <w:szCs w:val="14"/>
          <w:color w:val="auto"/>
        </w:rPr>
        <w:t>1e.  R. E. Sanchez</w:t>
      </w:r>
    </w:p>
    <w:p>
      <w:pPr>
        <w:spacing w:after="0" w:line="284" w:lineRule="exact"/>
        <w:rPr>
          <w:rFonts w:ascii="Arial" w:cs="Arial" w:eastAsia="Arial" w:hAnsi="Arial"/>
          <w:sz w:val="14"/>
          <w:szCs w:val="14"/>
          <w:color w:val="auto"/>
        </w:rPr>
      </w:pPr>
    </w:p>
    <w:p>
      <w:pPr>
        <w:ind w:left="209"/>
        <w:spacing w:after="0"/>
        <w:rPr>
          <w:rFonts w:ascii="Arial" w:cs="Arial" w:eastAsia="Arial" w:hAnsi="Arial"/>
          <w:sz w:val="14"/>
          <w:szCs w:val="14"/>
          <w:color w:val="auto"/>
        </w:rPr>
      </w:pPr>
      <w:r>
        <w:rPr>
          <w:rFonts w:ascii="Arial" w:cs="Arial" w:eastAsia="Arial" w:hAnsi="Arial"/>
          <w:sz w:val="14"/>
          <w:szCs w:val="14"/>
          <w:color w:val="auto"/>
        </w:rPr>
        <w:t>1f.   W. R. Sanders</w:t>
      </w:r>
    </w:p>
    <w:p>
      <w:pPr>
        <w:spacing w:after="0" w:line="298" w:lineRule="exact"/>
        <w:rPr>
          <w:rFonts w:ascii="Arial" w:cs="Arial" w:eastAsia="Arial" w:hAnsi="Arial"/>
          <w:sz w:val="14"/>
          <w:szCs w:val="14"/>
          <w:color w:val="auto"/>
        </w:rPr>
      </w:pPr>
    </w:p>
    <w:p>
      <w:pPr>
        <w:ind w:left="209"/>
        <w:spacing w:after="0"/>
        <w:rPr>
          <w:rFonts w:ascii="Arial" w:cs="Arial" w:eastAsia="Arial" w:hAnsi="Arial"/>
          <w:sz w:val="14"/>
          <w:szCs w:val="14"/>
          <w:color w:val="auto"/>
        </w:rPr>
      </w:pPr>
      <w:r>
        <w:rPr>
          <w:rFonts w:ascii="Arial" w:cs="Arial" w:eastAsia="Arial" w:hAnsi="Arial"/>
          <w:sz w:val="14"/>
          <w:szCs w:val="14"/>
          <w:color w:val="auto"/>
        </w:rPr>
        <w:t>1g.  R. J. Simmons</w:t>
      </w:r>
    </w:p>
    <w:p>
      <w:pPr>
        <w:spacing w:after="0" w:line="284" w:lineRule="exact"/>
        <w:rPr>
          <w:rFonts w:ascii="Arial" w:cs="Arial" w:eastAsia="Arial" w:hAnsi="Arial"/>
          <w:sz w:val="14"/>
          <w:szCs w:val="14"/>
          <w:color w:val="auto"/>
        </w:rPr>
      </w:pPr>
    </w:p>
    <w:p>
      <w:pPr>
        <w:ind w:left="209"/>
        <w:spacing w:after="0"/>
        <w:rPr>
          <w:rFonts w:ascii="Arial" w:cs="Arial" w:eastAsia="Arial" w:hAnsi="Arial"/>
          <w:sz w:val="14"/>
          <w:szCs w:val="14"/>
          <w:color w:val="auto"/>
        </w:rPr>
      </w:pPr>
      <w:r>
        <w:rPr>
          <w:rFonts w:ascii="Arial" w:cs="Arial" w:eastAsia="Arial" w:hAnsi="Arial"/>
          <w:sz w:val="14"/>
          <w:szCs w:val="14"/>
          <w:color w:val="auto"/>
        </w:rPr>
        <w:t>1h.  R. K. Templeton</w:t>
      </w:r>
    </w:p>
    <w:p>
      <w:pPr>
        <w:spacing w:after="0" w:line="298" w:lineRule="exact"/>
        <w:rPr>
          <w:rFonts w:ascii="Arial" w:cs="Arial" w:eastAsia="Arial" w:hAnsi="Arial"/>
          <w:sz w:val="14"/>
          <w:szCs w:val="14"/>
          <w:color w:val="auto"/>
        </w:rPr>
      </w:pPr>
    </w:p>
    <w:p>
      <w:pPr>
        <w:ind w:left="209"/>
        <w:spacing w:after="0"/>
        <w:rPr>
          <w:rFonts w:ascii="Arial" w:cs="Arial" w:eastAsia="Arial" w:hAnsi="Arial"/>
          <w:sz w:val="14"/>
          <w:szCs w:val="14"/>
          <w:color w:val="auto"/>
        </w:rPr>
      </w:pPr>
      <w:r>
        <w:rPr>
          <w:rFonts w:ascii="Arial" w:cs="Arial" w:eastAsia="Arial" w:hAnsi="Arial"/>
          <w:sz w:val="14"/>
          <w:szCs w:val="14"/>
          <w:color w:val="auto"/>
        </w:rPr>
        <w:t>1i.   C. T.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-1216025</wp:posOffset>
            </wp:positionV>
            <wp:extent cx="128905" cy="943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943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83" w:hanging="383"/>
        <w:spacing w:after="0" w:line="231" w:lineRule="auto"/>
        <w:tabs>
          <w:tab w:leader="none" w:pos="383" w:val="left"/>
        </w:tabs>
        <w:numPr>
          <w:ilvl w:val="0"/>
          <w:numId w:val="7"/>
        </w:numPr>
        <w:rPr>
          <w:rFonts w:ascii="Arial" w:cs="Arial" w:eastAsia="Arial" w:hAnsi="Arial"/>
          <w:sz w:val="14"/>
          <w:szCs w:val="14"/>
          <w:color w:val="auto"/>
        </w:rPr>
      </w:pPr>
      <w:r>
        <w:rPr>
          <w:rFonts w:ascii="Arial" w:cs="Arial" w:eastAsia="Arial" w:hAnsi="Arial"/>
          <w:sz w:val="14"/>
          <w:szCs w:val="14"/>
          <w:color w:val="auto"/>
        </w:rPr>
        <w:t>Board proposal regarding advisory approval of the Company's executive compensation.</w:t>
      </w:r>
    </w:p>
    <w:p>
      <w:pPr>
        <w:spacing w:after="0" w:line="122" w:lineRule="exact"/>
        <w:rPr>
          <w:rFonts w:ascii="Arial" w:cs="Arial" w:eastAsia="Arial" w:hAnsi="Arial"/>
          <w:sz w:val="14"/>
          <w:szCs w:val="14"/>
          <w:color w:val="auto"/>
        </w:rPr>
      </w:pPr>
    </w:p>
    <w:p>
      <w:pPr>
        <w:jc w:val="both"/>
        <w:ind w:left="383" w:hanging="383"/>
        <w:spacing w:after="0" w:line="228" w:lineRule="auto"/>
        <w:tabs>
          <w:tab w:leader="none" w:pos="383" w:val="left"/>
        </w:tabs>
        <w:numPr>
          <w:ilvl w:val="0"/>
          <w:numId w:val="7"/>
        </w:numPr>
        <w:rPr>
          <w:rFonts w:ascii="Arial" w:cs="Arial" w:eastAsia="Arial" w:hAnsi="Arial"/>
          <w:sz w:val="14"/>
          <w:szCs w:val="14"/>
          <w:color w:val="auto"/>
        </w:rPr>
      </w:pPr>
      <w:r>
        <w:rPr>
          <w:rFonts w:ascii="Arial" w:cs="Arial" w:eastAsia="Arial" w:hAnsi="Arial"/>
          <w:sz w:val="14"/>
          <w:szCs w:val="14"/>
          <w:color w:val="auto"/>
        </w:rPr>
        <w:t>Board proposal to ratify the appointment of Ernst &amp; Young LLP as the Company's independent registered public accounting firm for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-1045210</wp:posOffset>
            </wp:positionV>
            <wp:extent cx="360045"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0045" cy="325755"/>
                    </a:xfrm>
                    <a:prstGeom prst="rect">
                      <a:avLst/>
                    </a:prstGeom>
                    <a:noFill/>
                  </pic:spPr>
                </pic:pic>
              </a:graphicData>
            </a:graphic>
          </wp:anchor>
        </w:drawing>
      </w:r>
    </w:p>
    <w:p>
      <w:pPr>
        <w:spacing w:after="0" w:line="113" w:lineRule="exact"/>
        <w:rPr>
          <w:sz w:val="20"/>
          <w:szCs w:val="20"/>
          <w:color w:val="auto"/>
        </w:rPr>
      </w:pPr>
    </w:p>
    <w:p>
      <w:pPr>
        <w:ind w:left="3"/>
        <w:spacing w:after="0" w:line="247"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w:t>
      </w:r>
      <w:r>
        <w:rPr>
          <w:rFonts w:ascii="Arial" w:cs="Arial" w:eastAsia="Arial" w:hAnsi="Arial"/>
          <w:sz w:val="14"/>
          <w:szCs w:val="14"/>
          <w:b w:val="1"/>
          <w:bCs w:val="1"/>
          <w:color w:val="auto"/>
        </w:rPr>
        <w:t xml:space="preserve"> </w:t>
      </w:r>
      <w:r>
        <w:rPr>
          <w:rFonts w:ascii="Arial" w:cs="Arial" w:eastAsia="Arial" w:hAnsi="Arial"/>
          <w:sz w:val="14"/>
          <w:szCs w:val="14"/>
          <w:color w:val="auto"/>
        </w:rPr>
        <w:t>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2516505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5047" w:space="720"/>
            <w:col w:w="4323"/>
          </w:cols>
          <w:pgMar w:left="451" w:top="420" w:right="135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6966585</wp:posOffset>
            </wp:positionH>
            <wp:positionV relativeFrom="page">
              <wp:posOffset>243205</wp:posOffset>
            </wp:positionV>
            <wp:extent cx="437515" cy="334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7515" cy="334645"/>
                    </a:xfrm>
                    <a:prstGeom prst="rect">
                      <a:avLst/>
                    </a:prstGeom>
                    <a:noFill/>
                  </pic:spPr>
                </pic:pic>
              </a:graphicData>
            </a:graphic>
          </wp:anchor>
        </w:drawing>
        <w:drawing>
          <wp:anchor simplePos="0" relativeHeight="251657728" behindDoc="1" locked="0" layoutInCell="0" allowOverlap="1">
            <wp:simplePos x="0" y="0"/>
            <wp:positionH relativeFrom="page">
              <wp:posOffset>290830</wp:posOffset>
            </wp:positionH>
            <wp:positionV relativeFrom="page">
              <wp:posOffset>1817370</wp:posOffset>
            </wp:positionV>
            <wp:extent cx="66890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89090" cy="596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4057650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2893060</wp:posOffset>
            </wp:positionV>
            <wp:extent cx="146050" cy="943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6050" cy="9436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upperLetter"/>
      <w:start w:val="24"/>
    </w:lvl>
  </w:abstractNum>
  <w:abstractNum w:abstractNumId="2">
    <w:nsid w:val="46E87CCD"/>
    <w:multiLevelType w:val="hybridMultilevel"/>
    <w:lvl w:ilvl="0">
      <w:lvlJc w:val="left"/>
      <w:lvlText w:val="["/>
      <w:numFmt w:val="bullet"/>
      <w:start w:val="1"/>
    </w:lvl>
    <w:lvl w:ilvl="1">
      <w:lvlJc w:val="left"/>
      <w:lvlText w:val="%2)"/>
      <w:numFmt w:val="decimal"/>
      <w:start w:val="1"/>
    </w:lvl>
  </w:abstractNum>
  <w:abstractNum w:abstractNumId="3">
    <w:nsid w:val="3D1B58BA"/>
    <w:multiLevelType w:val="hybridMultilevel"/>
    <w:lvl w:ilvl="0">
      <w:lvlJc w:val="left"/>
      <w:lvlText w:val="["/>
      <w:numFmt w:val="bullet"/>
      <w:start w:val="1"/>
    </w:lvl>
    <w:lvl w:ilvl="1">
      <w:lvlJc w:val="left"/>
      <w:lvlText w:val="%2)"/>
      <w:numFmt w:val="decimal"/>
      <w:start w:val="1"/>
    </w:lvl>
  </w:abstractNum>
  <w:abstractNum w:abstractNumId="4">
    <w:nsid w:val="507ED7AB"/>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2019-12-09T09:16:22Z</dcterms:created>
  <dcterms:modified xsi:type="dcterms:W3CDTF">2019-12-09T09:16:22Z</dcterms:modified>
</cp:coreProperties>
</file>