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30306ds3asr.htm"/>
        <w:bookmarkStart w:id="1" w:name="ksd930306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February 14, 2025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TEXAS INSTRUMENTS INCORPORATED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75-0289970</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(I.R.S. Employer</w:t>
              <w:br/>
              <w:t>Identification Number)</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12500 TI Boulevard </w:t>
      </w:r>
    </w:p>
    <w:p>
      <w:pPr>
        <w:pStyle w:val="TextBody"/>
        <w:bidi w:val="0"/>
        <w:spacing w:before="0" w:after="0"/>
        <w:jc w:val="center"/>
        <w:rPr>
          <w:rFonts w:ascii="Times New Roman" w:hAnsi="Times New Roman"/>
          <w:b/>
          <w:sz w:val="18"/>
        </w:rPr>
      </w:pPr>
      <w:r>
        <w:rPr>
          <w:rFonts w:ascii="Times New Roman" w:hAnsi="Times New Roman"/>
          <w:b/>
          <w:sz w:val="18"/>
        </w:rPr>
        <w:t xml:space="preserve">Dallas, Texas 75243 </w:t>
      </w:r>
    </w:p>
    <w:p>
      <w:pPr>
        <w:pStyle w:val="TextBody"/>
        <w:bidi w:val="0"/>
        <w:spacing w:before="0" w:after="0"/>
        <w:jc w:val="center"/>
        <w:rPr>
          <w:rFonts w:ascii="Times New Roman" w:hAnsi="Times New Roman"/>
          <w:b/>
          <w:sz w:val="18"/>
        </w:rPr>
      </w:pPr>
      <w:r>
        <w:rPr>
          <w:rFonts w:ascii="Times New Roman" w:hAnsi="Times New Roman"/>
          <w:b/>
          <w:sz w:val="18"/>
        </w:rPr>
        <w:t xml:space="preserve">(214) 479-3773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Katie Kane </w:t>
      </w:r>
    </w:p>
    <w:p>
      <w:pPr>
        <w:pStyle w:val="TextBody"/>
        <w:bidi w:val="0"/>
        <w:spacing w:before="0" w:after="0"/>
        <w:jc w:val="center"/>
        <w:rPr>
          <w:rFonts w:ascii="Times New Roman" w:hAnsi="Times New Roman"/>
          <w:b/>
          <w:sz w:val="18"/>
        </w:rPr>
      </w:pPr>
      <w:r>
        <w:rPr>
          <w:rFonts w:ascii="Times New Roman" w:hAnsi="Times New Roman"/>
          <w:b/>
          <w:sz w:val="18"/>
        </w:rPr>
        <w:t xml:space="preserve">Senior Vice President, Secretary and General Counsel </w:t>
      </w:r>
    </w:p>
    <w:p>
      <w:pPr>
        <w:pStyle w:val="TextBody"/>
        <w:bidi w:val="0"/>
        <w:spacing w:before="0" w:after="0"/>
        <w:jc w:val="center"/>
        <w:rPr>
          <w:rFonts w:ascii="Times New Roman" w:hAnsi="Times New Roman"/>
          <w:b/>
          <w:sz w:val="18"/>
        </w:rPr>
      </w:pPr>
      <w:r>
        <w:rPr>
          <w:rFonts w:ascii="Times New Roman" w:hAnsi="Times New Roman"/>
          <w:b/>
          <w:sz w:val="18"/>
        </w:rPr>
        <w:t xml:space="preserve">Texas Instruments Incorporated </w:t>
      </w:r>
    </w:p>
    <w:p>
      <w:pPr>
        <w:pStyle w:val="TextBody"/>
        <w:bidi w:val="0"/>
        <w:spacing w:before="0" w:after="0"/>
        <w:jc w:val="center"/>
        <w:rPr>
          <w:rFonts w:ascii="Times New Roman" w:hAnsi="Times New Roman"/>
          <w:b/>
          <w:sz w:val="18"/>
        </w:rPr>
      </w:pPr>
      <w:r>
        <w:rPr>
          <w:rFonts w:ascii="Times New Roman" w:hAnsi="Times New Roman"/>
          <w:b/>
          <w:sz w:val="18"/>
        </w:rPr>
        <w:t xml:space="preserve">12500 TI Boulevard </w:t>
      </w:r>
    </w:p>
    <w:p>
      <w:pPr>
        <w:pStyle w:val="TextBody"/>
        <w:bidi w:val="0"/>
        <w:spacing w:before="0" w:after="0"/>
        <w:jc w:val="center"/>
        <w:rPr>
          <w:rFonts w:ascii="Times New Roman" w:hAnsi="Times New Roman"/>
          <w:b/>
          <w:sz w:val="18"/>
        </w:rPr>
      </w:pPr>
      <w:r>
        <w:rPr>
          <w:rFonts w:ascii="Times New Roman" w:hAnsi="Times New Roman"/>
          <w:b/>
          <w:sz w:val="18"/>
        </w:rPr>
        <w:t xml:space="preserve">Dallas, Texas 75243 </w:t>
      </w:r>
    </w:p>
    <w:p>
      <w:pPr>
        <w:pStyle w:val="TextBody"/>
        <w:bidi w:val="0"/>
        <w:spacing w:before="0" w:after="0"/>
        <w:jc w:val="center"/>
        <w:rPr>
          <w:rFonts w:ascii="Times New Roman" w:hAnsi="Times New Roman"/>
          <w:b/>
          <w:sz w:val="18"/>
        </w:rPr>
      </w:pPr>
      <w:r>
        <w:rPr>
          <w:rFonts w:ascii="Times New Roman" w:hAnsi="Times New Roman"/>
          <w:b/>
          <w:sz w:val="18"/>
        </w:rPr>
        <w:t xml:space="preserve">(214) 479-3773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Copy to: </w:t>
      </w:r>
    </w:p>
    <w:p>
      <w:pPr>
        <w:pStyle w:val="TextBody"/>
        <w:bidi w:val="0"/>
        <w:spacing w:before="60" w:after="0"/>
        <w:jc w:val="center"/>
        <w:rPr>
          <w:rFonts w:ascii="Times New Roman" w:hAnsi="Times New Roman"/>
          <w:b/>
          <w:sz w:val="18"/>
        </w:rPr>
      </w:pPr>
      <w:r>
        <w:rPr>
          <w:rFonts w:ascii="Times New Roman" w:hAnsi="Times New Roman"/>
          <w:b/>
          <w:sz w:val="18"/>
        </w:rPr>
        <w:t xml:space="preserve">Emily Roberts </w:t>
      </w:r>
    </w:p>
    <w:p>
      <w:pPr>
        <w:pStyle w:val="TextBody"/>
        <w:bidi w:val="0"/>
        <w:spacing w:before="0" w:after="0"/>
        <w:jc w:val="center"/>
        <w:rPr>
          <w:rFonts w:ascii="Times New Roman" w:hAnsi="Times New Roman"/>
          <w:b/>
          <w:sz w:val="18"/>
        </w:rPr>
      </w:pPr>
      <w:r>
        <w:rPr>
          <w:rFonts w:ascii="Times New Roman" w:hAnsi="Times New Roman"/>
          <w:b/>
          <w:sz w:val="18"/>
        </w:rPr>
        <w:t xml:space="preserve">Davis Polk &amp; Wardwell LLP </w:t>
      </w:r>
    </w:p>
    <w:p>
      <w:pPr>
        <w:pStyle w:val="TextBody"/>
        <w:bidi w:val="0"/>
        <w:spacing w:before="0" w:after="0"/>
        <w:jc w:val="center"/>
        <w:rPr>
          <w:rFonts w:ascii="Times New Roman" w:hAnsi="Times New Roman"/>
          <w:b/>
          <w:sz w:val="18"/>
        </w:rPr>
      </w:pPr>
      <w:r>
        <w:rPr>
          <w:rFonts w:ascii="Times New Roman" w:hAnsi="Times New Roman"/>
          <w:b/>
          <w:sz w:val="18"/>
        </w:rPr>
        <w:t xml:space="preserve">900 Middlefield Road </w:t>
      </w:r>
    </w:p>
    <w:p>
      <w:pPr>
        <w:pStyle w:val="TextBody"/>
        <w:bidi w:val="0"/>
        <w:spacing w:before="0" w:after="0"/>
        <w:jc w:val="center"/>
        <w:rPr>
          <w:rFonts w:ascii="Times New Roman" w:hAnsi="Times New Roman"/>
          <w:b/>
          <w:sz w:val="18"/>
        </w:rPr>
      </w:pPr>
      <w:r>
        <w:rPr>
          <w:rFonts w:ascii="Times New Roman" w:hAnsi="Times New Roman"/>
          <w:b/>
          <w:sz w:val="18"/>
        </w:rPr>
        <w:t xml:space="preserve">Redwood City, California 94063 </w:t>
      </w:r>
    </w:p>
    <w:p>
      <w:pPr>
        <w:pStyle w:val="TextBody"/>
        <w:bidi w:val="0"/>
        <w:spacing w:before="0" w:after="0"/>
        <w:jc w:val="center"/>
        <w:rPr>
          <w:rFonts w:ascii="Times New Roman" w:hAnsi="Times New Roman"/>
          <w:b/>
          <w:sz w:val="18"/>
        </w:rPr>
      </w:pPr>
      <w:r>
        <w:rPr>
          <w:rFonts w:ascii="Times New Roman" w:hAnsi="Times New Roman"/>
          <w:b/>
          <w:sz w:val="18"/>
        </w:rPr>
        <w:t xml:space="preserve">(650) 752-2000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w:t>
      </w:r>
    </w:p>
    <w:p>
      <w:pPr>
        <w:pStyle w:val="TextBody"/>
        <w:bidi w:val="0"/>
        <w:spacing w:before="6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004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771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Texas Instruments Incorporated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may be offered and sold by Texas Instruments Incorporated or by selling security holders under this prospectus from time to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0"/>
        <w:gridCol w:w="101"/>
        <w:gridCol w:w="3674"/>
        <w:gridCol w:w="100"/>
        <w:gridCol w:w="3370"/>
      </w:tblGrid>
      <w:tr>
        <w:trPr/>
        <w:tc>
          <w:tcPr>
            <w:tcW w:w="29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  Common stock</w:t>
            </w:r>
          </w:p>
        </w:tc>
        <w:tc>
          <w:tcPr>
            <w:tcW w:w="101"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0"/>
              <w:jc w:val="left"/>
              <w:rPr>
                <w:rFonts w:ascii="Times New Roman" w:hAnsi="Times New Roman"/>
                <w:sz w:val="20"/>
              </w:rPr>
            </w:pPr>
            <w:r>
              <w:rPr>
                <w:rFonts w:ascii="Times New Roman" w:hAnsi="Times New Roman"/>
                <w:sz w:val="20"/>
              </w:rPr>
              <w:t>  Warrants</w:t>
            </w:r>
          </w:p>
        </w:tc>
        <w:tc>
          <w:tcPr>
            <w:tcW w:w="10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sz w:val="4"/>
                <w:szCs w:val="4"/>
              </w:rPr>
            </w:pPr>
            <w:r>
              <w:rPr>
                <w:sz w:val="4"/>
                <w:szCs w:val="4"/>
              </w:rPr>
            </w:r>
          </w:p>
        </w:tc>
      </w:tr>
      <w:tr>
        <w:trPr>
          <w:trHeight w:val="120" w:hRule="atLeast"/>
        </w:trPr>
        <w:tc>
          <w:tcPr>
            <w:tcW w:w="2960"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  Preferred stock</w:t>
            </w:r>
          </w:p>
        </w:tc>
        <w:tc>
          <w:tcPr>
            <w:tcW w:w="101"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0"/>
              <w:jc w:val="left"/>
              <w:rPr>
                <w:rFonts w:ascii="Times New Roman" w:hAnsi="Times New Roman"/>
                <w:sz w:val="20"/>
              </w:rPr>
            </w:pPr>
            <w:r>
              <w:rPr>
                <w:rFonts w:ascii="Times New Roman" w:hAnsi="Times New Roman"/>
                <w:sz w:val="20"/>
              </w:rPr>
              <w:t>  Units</w:t>
            </w:r>
          </w:p>
        </w:tc>
        <w:tc>
          <w:tcPr>
            <w:tcW w:w="10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sz w:val="4"/>
                <w:szCs w:val="4"/>
              </w:rPr>
            </w:pPr>
            <w:r>
              <w:rPr>
                <w:sz w:val="4"/>
                <w:szCs w:val="4"/>
              </w:rPr>
            </w:r>
          </w:p>
        </w:tc>
      </w:tr>
      <w:tr>
        <w:trPr>
          <w:trHeight w:val="120" w:hRule="atLeast"/>
        </w:trPr>
        <w:tc>
          <w:tcPr>
            <w:tcW w:w="2960"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  Debt securities</w:t>
            </w:r>
          </w:p>
        </w:tc>
        <w:tc>
          <w:tcPr>
            <w:tcW w:w="101" w:type="dxa"/>
            <w:tcBorders/>
            <w:vAlign w:val="bottom"/>
          </w:tcPr>
          <w:p>
            <w:pPr>
              <w:pStyle w:val="TableContents"/>
              <w:bidi w:val="0"/>
              <w:spacing w:before="0" w:after="283"/>
              <w:jc w:val="left"/>
              <w:rPr/>
            </w:pPr>
            <w:r>
              <w:rPr/>
              <w:t> </w:t>
            </w:r>
          </w:p>
        </w:tc>
        <w:tc>
          <w:tcPr>
            <w:tcW w:w="367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which must accompany this prospectus, the securities we are offering and selling, as well as the specific terms of the securities. Those terms may include: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3675"/>
        <w:gridCol w:w="102"/>
        <w:gridCol w:w="3368"/>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0"/>
              <w:jc w:val="left"/>
              <w:rPr>
                <w:rFonts w:ascii="Times New Roman" w:hAnsi="Times New Roman"/>
                <w:sz w:val="20"/>
              </w:rPr>
            </w:pPr>
            <w:r>
              <w:rPr>
                <w:rFonts w:ascii="Times New Roman" w:hAnsi="Times New Roman"/>
                <w:sz w:val="20"/>
              </w:rPr>
              <w:t>  Maturity</w:t>
            </w:r>
          </w:p>
        </w:tc>
        <w:tc>
          <w:tcPr>
            <w:tcW w:w="101" w:type="dxa"/>
            <w:tcBorders/>
            <w:vAlign w:val="bottom"/>
          </w:tcPr>
          <w:p>
            <w:pPr>
              <w:pStyle w:val="TableContents"/>
              <w:bidi w:val="0"/>
              <w:spacing w:before="0" w:after="283"/>
              <w:jc w:val="left"/>
              <w:rPr/>
            </w:pPr>
            <w:r>
              <w:rPr/>
              <w:t> </w:t>
            </w:r>
          </w:p>
        </w:tc>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  Redemption terms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  Liquidation amount</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0"/>
              <w:jc w:val="left"/>
              <w:rPr>
                <w:rFonts w:ascii="Times New Roman" w:hAnsi="Times New Roman"/>
                <w:sz w:val="20"/>
              </w:rPr>
            </w:pPr>
            <w:r>
              <w:rPr>
                <w:rFonts w:ascii="Times New Roman" w:hAnsi="Times New Roman"/>
                <w:sz w:val="20"/>
              </w:rPr>
              <w:t>  Interest rate</w:t>
            </w:r>
          </w:p>
        </w:tc>
        <w:tc>
          <w:tcPr>
            <w:tcW w:w="101" w:type="dxa"/>
            <w:tcBorders/>
            <w:vAlign w:val="bottom"/>
          </w:tcPr>
          <w:p>
            <w:pPr>
              <w:pStyle w:val="TableContents"/>
              <w:bidi w:val="0"/>
              <w:spacing w:before="0" w:after="283"/>
              <w:jc w:val="left"/>
              <w:rPr/>
            </w:pPr>
            <w:r>
              <w:rPr/>
              <w:t> </w:t>
            </w:r>
          </w:p>
        </w:tc>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  Listing on a security exchange</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  Subsidiary guarantees</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0"/>
              <w:jc w:val="left"/>
              <w:rPr>
                <w:rFonts w:ascii="Times New Roman" w:hAnsi="Times New Roman"/>
                <w:sz w:val="20"/>
              </w:rPr>
            </w:pPr>
            <w:r>
              <w:rPr>
                <w:rFonts w:ascii="Times New Roman" w:hAnsi="Times New Roman"/>
                <w:sz w:val="20"/>
              </w:rPr>
              <w:t>  Currency of payments</w:t>
            </w:r>
          </w:p>
        </w:tc>
        <w:tc>
          <w:tcPr>
            <w:tcW w:w="101" w:type="dxa"/>
            <w:tcBorders/>
            <w:vAlign w:val="bottom"/>
          </w:tcPr>
          <w:p>
            <w:pPr>
              <w:pStyle w:val="TableContents"/>
              <w:bidi w:val="0"/>
              <w:spacing w:before="0" w:after="283"/>
              <w:jc w:val="left"/>
              <w:rPr/>
            </w:pPr>
            <w:r>
              <w:rPr/>
              <w:t> </w:t>
            </w:r>
          </w:p>
        </w:tc>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  Amount payable at maturity</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  Sinking fund terms</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0"/>
              <w:jc w:val="left"/>
              <w:rPr>
                <w:rFonts w:ascii="Times New Roman" w:hAnsi="Times New Roman"/>
                <w:sz w:val="20"/>
              </w:rPr>
            </w:pPr>
            <w:r>
              <w:rPr>
                <w:rFonts w:ascii="Times New Roman" w:hAnsi="Times New Roman"/>
                <w:sz w:val="20"/>
              </w:rPr>
              <w:t>  Dividends</w:t>
            </w:r>
          </w:p>
        </w:tc>
        <w:tc>
          <w:tcPr>
            <w:tcW w:w="101" w:type="dxa"/>
            <w:tcBorders/>
            <w:vAlign w:val="bottom"/>
          </w:tcPr>
          <w:p>
            <w:pPr>
              <w:pStyle w:val="TableContents"/>
              <w:bidi w:val="0"/>
              <w:spacing w:before="0" w:after="283"/>
              <w:jc w:val="left"/>
              <w:rPr/>
            </w:pPr>
            <w:r>
              <w:rPr/>
              <w:t> </w:t>
            </w:r>
          </w:p>
        </w:tc>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  Conversion or exchange rights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common stock is quoted on The Nasdaq Global Select Market under the ticker symbol TXN. On February 13, 2025, the reported last sale price on The Nasdaq Global Select Market for our common stock was $180.80.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these securities involves certain risks. See Item 1ARisk Factors beginning on page 9 of our Annual Report on Form 10-K for the year ended December 31, 2024, which is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14,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1">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2">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4">
              <w:r>
                <w:rPr>
                  <w:rStyle w:val="InternetLink"/>
                  <w:rFonts w:ascii="Times New Roman" w:hAnsi="Times New Roman"/>
                  <w:sz w:val="20"/>
                </w:rPr>
                <w:t>Notice Regarding 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7">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8">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9">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10">
              <w:r>
                <w:rPr>
                  <w:rStyle w:val="InternetLink"/>
                  <w:rFonts w:ascii="Times New Roman" w:hAnsi="Times New Roman"/>
                  <w:sz w:val="20"/>
                </w:rPr>
                <w:t>Forms of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12">
              <w:r>
                <w:rPr>
                  <w:rStyle w:val="InternetLink"/>
                  <w:rFonts w:ascii="Times New Roman" w:hAnsi="Times New Roman"/>
                  <w:sz w:val="20"/>
                </w:rPr>
                <w:t>Validity of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930306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930306_1"/>
      <w:bookmarkEnd w:id="3"/>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 </w:t>
      </w:r>
    </w:p>
    <w:p>
      <w:pPr>
        <w:pStyle w:val="TextBody"/>
        <w:bidi w:val="0"/>
        <w:spacing w:before="480" w:after="0"/>
        <w:jc w:val="center"/>
        <w:rPr>
          <w:rFonts w:ascii="Times New Roman" w:hAnsi="Times New Roman"/>
          <w:b/>
          <w:sz w:val="20"/>
        </w:rPr>
      </w:pPr>
      <w:bookmarkStart w:id="4" w:name="toc930306_2"/>
      <w:bookmarkEnd w:id="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w:t>
      </w:r>
    </w:p>
    <w:p>
      <w:pPr>
        <w:pStyle w:val="TextBody"/>
        <w:bidi w:val="0"/>
        <w:spacing w:before="480" w:after="0"/>
        <w:jc w:val="center"/>
        <w:rPr>
          <w:rFonts w:ascii="Times New Roman" w:hAnsi="Times New Roman"/>
          <w:b/>
          <w:sz w:val="20"/>
        </w:rPr>
      </w:pPr>
      <w:bookmarkStart w:id="5" w:name="toc930306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on the SECs website www.sec.gov. </w:t>
      </w:r>
    </w:p>
    <w:p>
      <w:pPr>
        <w:pStyle w:val="TextBody"/>
        <w:bidi w:val="0"/>
        <w:spacing w:before="240" w:after="0"/>
        <w:jc w:val="left"/>
        <w:rPr/>
      </w:pPr>
      <w:r>
        <w:rPr>
          <w:rFonts w:ascii="Times New Roman" w:hAnsi="Times New Roman"/>
          <w:sz w:val="20"/>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on February 14, 2025, the description of our common stock contained in our registration statement on  </w:t>
      </w:r>
      <w:hyperlink r:id="rId4">
        <w:r>
          <w:rPr>
            <w:rStyle w:val="InternetLink"/>
            <w:rFonts w:ascii="Times New Roman" w:hAnsi="Times New Roman"/>
            <w:sz w:val="20"/>
          </w:rPr>
          <w:t>Form 8-A</w:t>
        </w:r>
      </w:hyperlink>
      <w:r>
        <w:rPr>
          <w:rFonts w:ascii="Times New Roman" w:hAnsi="Times New Roman"/>
          <w:sz w:val="20"/>
        </w:rPr>
        <w:t xml:space="preserve"> 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930306_4"/>
      <w:bookmarkEnd w:id="6"/>
      <w:r>
        <w:rPr>
          <w:rFonts w:ascii="Times New Roman" w:hAnsi="Times New Roman"/>
          <w:b/>
          <w:sz w:val="20"/>
        </w:rPr>
        <w:t xml:space="preserve">NOTICE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carefully consider the following important factors that could cause actual results to differ materially from the expectations of our company or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social and political conditions, and natural events in the countries in which we, our customers or our suppliers operate, including global trade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demand for semiconductors, particularly in the industrial and automotive markets, and customer demand that differs from forecasts;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in products and prices in an intensely competitive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cybersecurity and other threats relating to our information technology systems or those of our customers,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implement and realize opportunities from strategic, business and organizational changes, or our ability to realize our expectations regarding the amount and timing of associated restructuring charges and cost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cost of key materials, utilities, manufacturing equipment, third-party manufacturing services and manufacturing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and retain skilled personnel and effectively manage key employee succession;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liability, warranty or other claims relating to our products, software, manufacturing, delivery, services, design or communications, or recalls by our customers for a product containing one of our 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or changes in the complex laws, rules and regulations to which we are or may become subject, or actions of enforcement authorities, that restrict our ability to operate our business or subject us to fines, penalties or other legal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 and accounting standards that impact the tax rate applicable to us, the jurisdictions in which profits are determined to be earned and taxed, adverse resolution of tax audits, increases in tariff rates, and the ability to realize deferred tax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difficulties of our distributors or semiconductor distributors promotion of competing product lines to our detriment; or disputes with current or former distributors;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or curtailments of purchases from key customers or the timing and amount of customer inventory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or improve profit margins, including our ability to utilize our manufacturing facilities at sufficient levels to cover our fixed operating costs, in an intensely competitive and cyclical industry and changing regulatory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enforce a strong intellectual property portfolio and maintain freedom of operation in all jurisdictions where we conduct business; or our exposure to infringement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Instability in the global credit and financial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Impairments of our non-financial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93030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930306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Restated Certificate of Incorporation authorizes us to issue 2,400,000,000 shares of common stock, $1.00 par value per share, and 10,000,000 shares of preferred stock, $25.00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January 28, 2025, there were 910,332,971 shares of common stock outstanding which were held of record by 10,704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the annual meeting of stockholders shall be held on a date as may be fixed by our board of directors and as stated in a written notice, which must be mailed or delivered to each stockholder at least 10 days prior to any stockholder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January 28, 2025,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Provisions of Texas Instruments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 </w:t>
      </w:r>
    </w:p>
    <w:p>
      <w:pPr>
        <w:pStyle w:val="TextBody"/>
        <w:bidi w:val="0"/>
        <w:spacing w:before="240" w:after="0"/>
        <w:jc w:val="left"/>
        <w:rPr>
          <w:rFonts w:ascii="Times New Roman" w:hAnsi="Times New Roman"/>
          <w:sz w:val="20"/>
        </w:rPr>
      </w:pPr>
      <w:r>
        <w:rPr>
          <w:rFonts w:ascii="Times New Roman" w:hAnsi="Times New Roman"/>
          <w:sz w:val="20"/>
        </w:rPr>
        <w:t xml:space="preserve">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Effects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the board of directors prior to the date the interested stockholder obtained such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930306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debt securities, consisting of notes, debentures or other evidences of indebtedness, may be issued from time to time in one or more series pursuant to an indenture entered into between us and U.S. Bank Trust Company, National Association, as successor in interest to U.S Bank National Association, as trustee. The terms of our debt securities will include those set forth in the indenture and those made a part of the indenture by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constitute unsecured and unsubordinated obligations of ours and will rank pari passu with our other unsecured and unsubordinated obligations. </w:t>
      </w:r>
    </w:p>
    <w:p>
      <w:pPr>
        <w:pStyle w:val="TextBody"/>
        <w:bidi w:val="0"/>
        <w:spacing w:before="240" w:after="0"/>
        <w:jc w:val="left"/>
        <w:rPr>
          <w:rFonts w:ascii="Times New Roman" w:hAnsi="Times New Roman"/>
          <w:sz w:val="20"/>
        </w:rPr>
      </w:pPr>
      <w:r>
        <w:rPr>
          <w:rFonts w:ascii="Times New Roman" w:hAnsi="Times New Roman"/>
          <w:sz w:val="20"/>
        </w:rPr>
        <w:t xml:space="preserve">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unsecured obligations. Our secured debt and other secured obligations will be effectively senior to the debt securities to the extent of the value of the assets securing such debt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You should look in the prospectus supplement for any additional or different terms of the debt securities being offered,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their principal amount (i.e., price) at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debt securities will mature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per year, at which the debt securities will bear interest, or the method of determining such rate or 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if any, within which, the price or prices at which, and the terms and conditions upon which the debt securities may be redeemed, in whole or in part, at our option or at your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payment of additional amounts for taxes and any provision for redemption, if we must pay such additional amounts in respect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may have to repay the debt securities early at your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for which you may purchase the debt securities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pursuant to which the debt securities may be exchanged for the cash value of other securities issued by us or by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conversion or exchange price or rate and any adjustments thereto, the period or periods within which, and the other terms and conditions upon which conversion or exchange of the debt securities may be effected;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debt securities may be defeased;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in addition to or in lieu of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electronic issuance of debt securities or for debt securities in uncertificated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including any terms which may be required by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Debt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i/>
          <w:sz w:val="20"/>
        </w:rPr>
        <w:t>Certain Definitions</w:t>
      </w:r>
      <w:r>
        <w:rPr>
          <w:rFonts w:ascii="Times New Roman" w:hAnsi="Times New Roman"/>
          <w:sz w:val="20"/>
        </w:rPr>
        <w:t xml:space="preserve">. The term attributable debt in respect of a sale and leaseback transaction means, at the time of determination, the lesser of (1) 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 </w:t>
      </w:r>
    </w:p>
    <w:p>
      <w:pPr>
        <w:pStyle w:val="TextBody"/>
        <w:bidi w:val="0"/>
        <w:spacing w:before="240" w:after="0"/>
        <w:jc w:val="left"/>
        <w:rPr>
          <w:rFonts w:ascii="Times New Roman" w:hAnsi="Times New Roman"/>
          <w:sz w:val="20"/>
        </w:rPr>
      </w:pPr>
      <w:r>
        <w:rPr>
          <w:rFonts w:ascii="Times New Roman" w:hAnsi="Times New Roman"/>
          <w:sz w:val="20"/>
        </w:rPr>
        <w:t xml:space="preserve">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 </w:t>
      </w:r>
    </w:p>
    <w:p>
      <w:pPr>
        <w:pStyle w:val="TextBody"/>
        <w:bidi w:val="0"/>
        <w:spacing w:before="240" w:after="0"/>
        <w:jc w:val="left"/>
        <w:rPr>
          <w:rFonts w:ascii="Times New Roman" w:hAnsi="Times New Roman"/>
          <w:sz w:val="20"/>
        </w:rPr>
      </w:pPr>
      <w:r>
        <w:rPr>
          <w:rFonts w:ascii="Times New Roman" w:hAnsi="Times New Roman"/>
          <w:sz w:val="20"/>
        </w:rPr>
        <w:t xml:space="preserve">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 </w:t>
      </w:r>
    </w:p>
    <w:p>
      <w:pPr>
        <w:pStyle w:val="TextBody"/>
        <w:bidi w:val="0"/>
        <w:spacing w:before="240" w:after="0"/>
        <w:jc w:val="left"/>
        <w:rPr>
          <w:rFonts w:ascii="Times New Roman" w:hAnsi="Times New Roman"/>
          <w:sz w:val="20"/>
        </w:rPr>
      </w:pPr>
      <w:r>
        <w:rPr>
          <w:rFonts w:ascii="Times New Roman" w:hAnsi="Times New Roman"/>
          <w:sz w:val="20"/>
        </w:rPr>
        <w:t xml:space="preserve">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 </w:t>
      </w:r>
    </w:p>
    <w:p>
      <w:pPr>
        <w:pStyle w:val="TextBody"/>
        <w:bidi w:val="0"/>
        <w:spacing w:before="240" w:after="0"/>
        <w:jc w:val="left"/>
        <w:rPr>
          <w:rFonts w:ascii="Times New Roman" w:hAnsi="Times New Roman"/>
          <w:sz w:val="20"/>
        </w:rPr>
      </w:pPr>
      <w:r>
        <w:rPr>
          <w:rFonts w:ascii="Times New Roman" w:hAnsi="Times New Roman"/>
          <w:i/>
          <w:sz w:val="20"/>
        </w:rPr>
        <w:t>Restrictions on Liens</w:t>
      </w:r>
      <w:r>
        <w:rPr>
          <w:rFonts w:ascii="Times New Roman" w:hAnsi="Times New Roman"/>
          <w:sz w:val="20"/>
        </w:rPr>
        <w:t xml:space="preserve">. The indenture provides that, unless as may otherwise be indicated by resolution of our board of directors, officers certificate, or supplemental indenture, we will not issue or assume any debt for money borrowed (which, including guarantees of debt for borrowed money, we refer to as debt), if the debt is secured by a mortgage, pledge, lien or other encumbrance (which we refer to as a mortgage) upon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existing as of the closing date of the offering of the relevant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on property existing at the time of or within 120 days after acquisition of the property and certain purchase money mortgages;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on property of an entity existing at the time that entity is merged into or consolidated with us or substantially all the assets of which are acquired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for taxes, assessments or other governmental charges not yet due or payable or subject to penalties for non-payment or which we are contesting in good faith by appropriate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to secure the performance of bids, trade contracts, leases, statutory obligations, surety and appeal bonds, performance bonds and other obligations of a like nature,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(or successive extensions, renewals or replacements), in whole or in part, of any mortgage referred to in the bullet points above. </w:t>
            </w:r>
          </w:p>
        </w:tc>
      </w:tr>
    </w:tbl>
    <w:p>
      <w:pPr>
        <w:pStyle w:val="TextBody"/>
        <w:bidi w:val="0"/>
        <w:spacing w:before="240" w:after="0"/>
        <w:jc w:val="left"/>
        <w:rPr>
          <w:rFonts w:ascii="Times New Roman" w:hAnsi="Times New Roman"/>
          <w:sz w:val="20"/>
        </w:rPr>
      </w:pPr>
      <w:r>
        <w:rPr>
          <w:rFonts w:ascii="Times New Roman" w:hAnsi="Times New Roman"/>
          <w:i/>
          <w:sz w:val="20"/>
        </w:rPr>
        <w:t>Restrictions on Sale and Leaseback Transactions</w:t>
      </w:r>
      <w:r>
        <w:rPr>
          <w:rFonts w:ascii="Times New Roman" w:hAnsi="Times New Roman"/>
          <w:sz w:val="20"/>
        </w:rPr>
        <w:t xml:space="preserve">. The indenture provides that, unless as may otherwise be indicated by resolution of our board of 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a period commencing twelve months prior to the consummation of the sale and leaseback transaction and ending twelve months after consummation of such transaction, we have expended or will expend for principal manufacturing property an amount equal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proceeds of such sale and leaseback transaction and we elect to designate such amount as a credit against such transaction,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 of the proceeds of such sale and leaseback transaction and we elect to designate such amount as a credit against such transaction and treat an amount equal to the remainder of the proceeds as provided in the clause directly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 </w:t>
            </w:r>
          </w:p>
        </w:tc>
      </w:tr>
    </w:tbl>
    <w:p>
      <w:pPr>
        <w:pStyle w:val="TextBody"/>
        <w:bidi w:val="0"/>
        <w:spacing w:before="240" w:after="0"/>
        <w:jc w:val="left"/>
        <w:rPr>
          <w:rFonts w:ascii="Times New Roman" w:hAnsi="Times New Roman"/>
          <w:sz w:val="20"/>
        </w:rPr>
      </w:pPr>
      <w:r>
        <w:rPr>
          <w:rFonts w:ascii="Times New Roman" w:hAnsi="Times New Roman"/>
          <w:i/>
          <w:sz w:val="20"/>
        </w:rPr>
        <w:t>Exempted Debt</w:t>
      </w:r>
      <w:r>
        <w:rPr>
          <w:rFonts w:ascii="Times New Roman" w:hAnsi="Times New Roman"/>
          <w:sz w:val="20"/>
        </w:rPr>
        <w:t xml:space="preserve">. The indenture provides that, notwithstanding the restrictions on mortgages and sale and leaseback transactions described above, 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 </w:t>
      </w:r>
    </w:p>
    <w:p>
      <w:pPr>
        <w:pStyle w:val="TextBody"/>
        <w:bidi w:val="0"/>
        <w:spacing w:before="240" w:after="0"/>
        <w:jc w:val="left"/>
        <w:rPr>
          <w:rFonts w:ascii="Times New Roman" w:hAnsi="Times New Roman"/>
          <w:sz w:val="20"/>
        </w:rPr>
      </w:pPr>
      <w:r>
        <w:rPr>
          <w:rFonts w:ascii="Times New Roman" w:hAnsi="Times New Roman"/>
          <w:i/>
          <w:sz w:val="20"/>
        </w:rPr>
        <w:t>Consolidation, Merger and Sale or Conveyance</w:t>
      </w:r>
      <w:r>
        <w:rPr>
          <w:rFonts w:ascii="Times New Roman" w:hAnsi="Times New Roman"/>
          <w:sz w:val="20"/>
        </w:rPr>
        <w:t xml:space="preserve">. We may not consolidate with, merge with or into, or sell, or convey (including by way of lease) all or substantially all of our assets to any person or permit any person to merge with or into us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with an affiliate of ours if our board of directors determines in good faith that the purpose of such transaction is principally to change our state of incorporation or convert our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for any series of debt securities is defined under the indenture as being: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default in the payment of principal on the debt securities of such series when due and payable whether at maturity, upon redemption, by declaration or otherwise, but, in the case of technical or administrative difficulties, only if that default continues for a period of two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default in the payment of interest on any debt securities of such series when due and payable, if that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having jurisdiction enters a decree or order 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relief in respect of us in an involuntary case under any applicable bankruptcy, insolvency, or other similar law now or hereafter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appointment of a receiver, liquidator, assignee, custodian, trustee, sequestrator, or similar official of us or for all or substantially all of our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winding up or liquidation of our affairs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such decree or order shall remain unstayed and in effect for a period of 60 consecutive days;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 voluntary case under any applicable bankruptcy, insolvency, or other similar law now or hereafter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to the entry of an order for relief in an involuntary case under any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to the appointment of or taking possession by a receiver, liquidator, assignee, custodian, trustee, sequestrator, or similar official of us for all or substantially all of our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any general assignment for the benefit of creditors. The default by us under any other debt, including any other series of debt securities, is not a default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debt securities make a written request to the trustee to pursue the remedy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debt securities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certain of our officers to certify, on or before a fixed date in each year in which any security is outstanding, as to their knowledge of our compliance with all conditions and covenants under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the terms of any series of debt securities provide otherwise, we may discharge our obligations with respect to an issue of debt securities and the indenture with respect to such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cause to be paid, as and when due and payable, the principal of and any interest on all securities of such series outstanding under the indenture, and we also pay all other sums payable by us under the indenture;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debt securities of such series previously authenticated and delivered have been delivered to the trustee for cancellation, and we have paid all sums payable by us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 </w:t>
      </w:r>
    </w:p>
    <w:p>
      <w:pPr>
        <w:pStyle w:val="TextBody"/>
        <w:bidi w:val="0"/>
        <w:spacing w:before="240" w:after="0"/>
        <w:jc w:val="left"/>
        <w:rPr>
          <w:rFonts w:ascii="Times New Roman" w:hAnsi="Times New Roman"/>
          <w:sz w:val="20"/>
        </w:rPr>
      </w:pPr>
      <w:r>
        <w:rPr>
          <w:rFonts w:ascii="Times New Roman" w:hAnsi="Times New Roman"/>
          <w:sz w:val="20"/>
        </w:rPr>
        <w:t xml:space="preserve">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or instrument to which we are a party or by which we are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the legal defeasance above, after such debt securities are no longer outstanding, only our obligations to compensate and indemnify the trustee and our right to recover unclaimed money held by the trustee shall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amend or supplement the indenture or the debt securities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mortgage or pledge any assets as security for the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us, and the assumption by such successor corporation of our covenants, agreements and obligations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any supplemental indenture or to conform the indenture or the debt securities to the description of debt securities of such series set forth in this prospectus or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under Certain CovenantsConsolidation, Merger and Sale or Conveyance;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or to make such changes as shall be necessary to provide for or facilitate the administration of the trusts in the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forms or terms of the debt securities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is necessary or desirable provided that such change shall not adversely affect the interests of the holders of the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debt securities of any series so long as no debt securities of such series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extends the stated maturity of the principal of, or the time of payment of any installment of interest on,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or interest on,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place or currency of payment of principal of, or interest on,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impairs the right of holders to institute suit for the enforcement of any payment of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above-stated percentage of outstanding debt securities of such series the consent of whose holders is necessary to modify or amend or to waive certain provisions of or defaults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modifies any of the provisions of the preceding bullets, except to increase any required percentage or to provide that certain other provisions cannot be modified or waived without the consent of the holder of each debt security of such series affected by the modification;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waives a default in respect of a covenant or provision which cannot be modified or amended without the consent of each affected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Personal Liability of Incorporators, Stockholders, Officers, Directors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We may have normal banking relationships with the trustee under the indenture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930306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t>
      </w:r>
    </w:p>
    <w:p>
      <w:pPr>
        <w:pStyle w:val="TextBody"/>
        <w:bidi w:val="0"/>
        <w:spacing w:before="480" w:after="0"/>
        <w:jc w:val="center"/>
        <w:rPr>
          <w:rFonts w:ascii="Times New Roman" w:hAnsi="Times New Roman"/>
          <w:b/>
          <w:sz w:val="20"/>
        </w:rPr>
      </w:pPr>
      <w:bookmarkStart w:id="11" w:name="toc930306_9"/>
      <w:bookmarkEnd w:id="1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warrants, debt securities, shares of preferred stock, shares of common stock or any combination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930306_10"/>
      <w:bookmarkEnd w:id="12"/>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i/>
          <w:sz w:val="20"/>
        </w:rPr>
        <w:t>Registered Global Securities</w:t>
      </w:r>
      <w:r>
        <w:rPr>
          <w:rFonts w:ascii="Times New Roman" w:hAnsi="Times New Roman"/>
          <w:sz w:val="20"/>
        </w:rPr>
        <w:t xml:space="preserve">. 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930306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 holders may sell the securities being offered hereby in the following manner or any manner specified in a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agent or dealer utilized in the initial offering of securities will not confirm sales to accounts over which it exercises discretionary authority without the prior specific written approval of its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930306_12"/>
      <w:bookmarkEnd w:id="14"/>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in respect of which this prospectus is being delivered will be passed on for us by Davis Polk &amp; Wardwell LLP. </w:t>
      </w:r>
    </w:p>
    <w:p>
      <w:pPr>
        <w:pStyle w:val="TextBody"/>
        <w:bidi w:val="0"/>
        <w:spacing w:before="480" w:after="0"/>
        <w:jc w:val="center"/>
        <w:rPr>
          <w:rFonts w:ascii="Times New Roman" w:hAnsi="Times New Roman"/>
          <w:b/>
          <w:sz w:val="20"/>
        </w:rPr>
      </w:pPr>
      <w:bookmarkStart w:id="15" w:name="toc930306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into this prospectus and elsewhere in the registration statement. Our financial statements and our managements assessment of the effectiveness of internal control over financial reporting as of December 31, 2024 are incorporated by reference in reliance on Ernst &amp; Young LLPs reports,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payable by the Registrant in connection with the sale of the securities being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13"/>
        <w:gridCol w:w="667"/>
        <w:gridCol w:w="210"/>
        <w:gridCol w:w="1224"/>
        <w:gridCol w:w="325"/>
      </w:tblGrid>
      <w:tr>
        <w:trPr/>
        <w:tc>
          <w:tcPr>
            <w:tcW w:w="4513" w:type="dxa"/>
            <w:tcBorders/>
            <w:vAlign w:val="center"/>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513"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pPr>
            <w:r>
              <w:rPr>
                <w:b/>
              </w:rPr>
              <w:t>Amount to be</w:t>
            </w:r>
            <w:r>
              <w:rPr/>
              <w:br/>
            </w:r>
            <w:r>
              <w:rPr>
                <w:b/>
              </w:rPr>
              <w:t>Paid</w:t>
            </w:r>
          </w:p>
        </w:tc>
        <w:tc>
          <w:tcPr>
            <w:tcW w:w="325" w:type="dxa"/>
            <w:tcBorders/>
            <w:vAlign w:val="bottom"/>
          </w:tcPr>
          <w:p>
            <w:pPr>
              <w:pStyle w:val="TableContents"/>
              <w:bidi w:val="0"/>
              <w:spacing w:before="0" w:after="283"/>
              <w:jc w:val="left"/>
              <w:rPr/>
            </w:pPr>
            <w:r>
              <w:rPr/>
              <w:t> </w:t>
            </w:r>
          </w:p>
        </w:tc>
      </w:tr>
      <w:tr>
        <w:trPr/>
        <w:tc>
          <w:tcPr>
            <w:tcW w:w="4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Registration fee</w:t>
            </w:r>
          </w:p>
        </w:tc>
        <w:tc>
          <w:tcPr>
            <w:tcW w:w="66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rFonts w:ascii="Times New Roman" w:hAnsi="Times New Roman"/>
                <w:sz w:val="20"/>
              </w:rPr>
            </w:pPr>
            <w:r>
              <w:rPr>
                <w:rFonts w:ascii="Times New Roman" w:hAnsi="Times New Roman"/>
                <w:sz w:val="20"/>
              </w:rPr>
              <w:t>Printing</w:t>
            </w:r>
          </w:p>
        </w:tc>
        <w:tc>
          <w:tcPr>
            <w:tcW w:w="66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before="0" w:after="283"/>
              <w:jc w:val="left"/>
              <w:rPr/>
            </w:pPr>
            <w:r>
              <w:rPr/>
              <w:t>** </w:t>
            </w:r>
          </w:p>
        </w:tc>
      </w:tr>
      <w:tr>
        <w:trPr/>
        <w:tc>
          <w:tcPr>
            <w:tcW w:w="4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 (including Blue Sky fees)</w:t>
            </w:r>
          </w:p>
        </w:tc>
        <w:tc>
          <w:tcPr>
            <w:tcW w:w="66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rFonts w:ascii="Times New Roman" w:hAnsi="Times New Roman"/>
                <w:sz w:val="20"/>
              </w:rPr>
            </w:pPr>
            <w:r>
              <w:rPr>
                <w:rFonts w:ascii="Times New Roman" w:hAnsi="Times New Roman"/>
                <w:sz w:val="20"/>
              </w:rPr>
              <w:t>Rating agency fees</w:t>
            </w:r>
          </w:p>
        </w:tc>
        <w:tc>
          <w:tcPr>
            <w:tcW w:w="66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before="0" w:after="283"/>
              <w:jc w:val="left"/>
              <w:rPr/>
            </w:pPr>
            <w:r>
              <w:rPr/>
              <w:t>** </w:t>
            </w:r>
          </w:p>
        </w:tc>
      </w:tr>
      <w:tr>
        <w:trPr/>
        <w:tc>
          <w:tcPr>
            <w:tcW w:w="4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66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r>
      <w:tr>
        <w:trPr/>
        <w:tc>
          <w:tcPr>
            <w:tcW w:w="4513"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66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before="0" w:after="283"/>
              <w:jc w:val="left"/>
              <w:rPr/>
            </w:pPr>
            <w:r>
              <w:rPr/>
              <w:t>** </w:t>
            </w:r>
          </w:p>
        </w:tc>
      </w:tr>
      <w:tr>
        <w:trPr/>
        <w:tc>
          <w:tcPr>
            <w:tcW w:w="4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6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because the registration fee is being deferred pursuant to Rule 456(b).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and expenses depend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of the Registrants By-Laws provides for indemnification by the Registrant of its directors, officers and employees to the fullest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Article Seventh of the Restated Certificate of Incorporation provides that a director shall not be liable to the Company or its stockholders for monetary damages for breach of fiduciary duty as a director, except to the extent such exemption from liability or limitation thereof is not permitted under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Underwriting Agreement incorporated by reference as Exhibit 1.1 to this Registration Statement provides for indemnification of directors and officers of the Registrant by the underwriters against certain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following exhibits are filed as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7"/>
        <w:gridCol w:w="654"/>
        <w:gridCol w:w="8344"/>
      </w:tblGrid>
      <w:tr>
        <w:trPr/>
        <w:tc>
          <w:tcPr>
            <w:tcW w:w="1207"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8344" w:type="dxa"/>
            <w:tcBorders/>
            <w:vAlign w:val="center"/>
          </w:tcPr>
          <w:p>
            <w:pPr>
              <w:pStyle w:val="TableContents"/>
              <w:bidi w:val="0"/>
              <w:spacing w:before="0" w:after="283"/>
              <w:jc w:val="left"/>
              <w:rPr>
                <w:sz w:val="4"/>
                <w:szCs w:val="4"/>
              </w:rPr>
            </w:pPr>
            <w:r>
              <w:rPr>
                <w:sz w:val="4"/>
                <w:szCs w:val="4"/>
              </w:rPr>
            </w:r>
          </w:p>
        </w:tc>
      </w:tr>
      <w:tr>
        <w:trPr/>
        <w:tc>
          <w:tcPr>
            <w:tcW w:w="1207" w:type="dxa"/>
            <w:tcBorders/>
            <w:vAlign w:val="bottom"/>
          </w:tcPr>
          <w:p>
            <w:pPr>
              <w:pStyle w:val="TableContents"/>
              <w:bidi w:val="0"/>
              <w:spacing w:before="0" w:after="283"/>
              <w:jc w:val="center"/>
              <w:rPr>
                <w:b/>
              </w:rPr>
            </w:pPr>
            <w:r>
              <w:rPr>
                <w:b/>
              </w:rPr>
              <w:t>Exhibit No.</w:t>
            </w:r>
          </w:p>
        </w:tc>
        <w:tc>
          <w:tcPr>
            <w:tcW w:w="654"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b/>
              </w:rPr>
            </w:pPr>
            <w:r>
              <w:rPr>
                <w:b/>
              </w:rPr>
              <w:t>Document</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1.1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r:id="rId5">
              <w:r>
                <w:rPr>
                  <w:rStyle w:val="InternetLink"/>
                </w:rPr>
                <w:t xml:space="preserve">Form of Underwriting Agreement (incorporated by reference to Exhibit 1.1 of the Registrants Registration Statement on Form S-3 filed February 22, 2019)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3.1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r:id="rId6">
              <w:r>
                <w:rPr>
                  <w:rStyle w:val="InternetLink"/>
                </w:rPr>
                <w:t xml:space="preserve">Restated Certificate of Incorporation of the Registrant, dated April  18, 1985, as amended (incorporated by reference to Exhibit 3(a) of the Registrants Annual Report on Form 10-K for the year ended December 31, 2014)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3.2</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r:id="rId7">
              <w:r>
                <w:rPr>
                  <w:rStyle w:val="InternetLink"/>
                </w:rPr>
                <w:t xml:space="preserve">By-Laws  of the Registrant (incorporated by reference to Exhibit 3 to the Registrants Current Report on Form 8-K filed January 26, 2022)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4.1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r>
              <w:rPr/>
              <w:t>Specimen Common Stock Certificate*</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4.2</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r>
              <w:rPr/>
              <w:t>Specimen Preferred Stock Certificate*</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4.3</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r:id="rId8">
              <w:r>
                <w:rPr>
                  <w:rStyle w:val="InternetLink"/>
                </w:rPr>
                <w:t xml:space="preserve">Indenture dated as of May  23, 2011 between Texas Instruments Incorporated, a Delaware corporation, as Issuer and U.S. Bank Trust Company, National Association, as successor in interest to U.S Bank National Association, as Trustee (incorporated by reference to Exhibit 4.2 to the Registrants Current Report on Form 8-K filed May 23, 2011)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4.4</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r:id="rId9">
              <w:r>
                <w:rPr>
                  <w:rStyle w:val="InternetLink"/>
                </w:rPr>
                <w:t xml:space="preserve">Form of Note (included in Exhibit 4.3)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4.5</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r>
              <w:rPr/>
              <w:t>Form of Warrant Agreement*</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4.6</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r>
              <w:rPr/>
              <w:t>Form of Unit Agreement*</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 </w:t>
            </w:r>
            <w:r>
              <w:rPr/>
              <w:t>5.1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w:anchor="d930306dex51.htm">
              <w:r>
                <w:rPr>
                  <w:rStyle w:val="InternetLink"/>
                </w:rPr>
                <w:t xml:space="preserve">Opinion of Davis Polk &amp; Wardwell LLP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23.1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w:anchor="d930306dex231.htm">
              <w:r>
                <w:rPr>
                  <w:rStyle w:val="InternetLink"/>
                </w:rPr>
                <w:t xml:space="preserve">Consent of Independent Registered Public Accounting Firm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23.2</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w:anchor="d930306dex51.htm">
              <w:r>
                <w:rPr>
                  <w:rStyle w:val="InternetLink"/>
                </w:rPr>
                <w:t xml:space="preserve">Consent of Davis Polk &amp; Wardwell LLP (included in Exhibit 5.1)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24.1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w:anchor="sig">
              <w:r>
                <w:rPr>
                  <w:rStyle w:val="InternetLink"/>
                </w:rPr>
                <w:t xml:space="preserve">Power of Attorney (included on the signature page of the Registration Statement) </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25.1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w:anchor="d930306dex251.htm">
              <w:r>
                <w:rPr>
                  <w:rStyle w:val="InternetLink"/>
                </w:rPr>
                <w:t>Statement of Eligibility on Form T-1 of U.S. Bank Trust Company, National Association</w:t>
              </w:r>
            </w:hyperlink>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107.1</w:t>
            </w:r>
          </w:p>
        </w:tc>
        <w:tc>
          <w:tcPr>
            <w:tcW w:w="654" w:type="dxa"/>
            <w:tcBorders/>
            <w:vAlign w:val="bottom"/>
          </w:tcPr>
          <w:p>
            <w:pPr>
              <w:pStyle w:val="TableContents"/>
              <w:bidi w:val="0"/>
              <w:spacing w:before="0" w:after="283"/>
              <w:jc w:val="left"/>
              <w:rPr/>
            </w:pPr>
            <w:r>
              <w:rPr/>
              <w:t>  </w:t>
            </w:r>
          </w:p>
        </w:tc>
        <w:tc>
          <w:tcPr>
            <w:tcW w:w="8344" w:type="dxa"/>
            <w:tcBorders/>
          </w:tcPr>
          <w:p>
            <w:pPr>
              <w:pStyle w:val="TableContents"/>
              <w:bidi w:val="0"/>
              <w:spacing w:before="0" w:after="283"/>
              <w:jc w:val="left"/>
              <w:rPr/>
            </w:pPr>
            <w:hyperlink w:anchor="d930306dexfilingfees.htm">
              <w:r>
                <w:rPr>
                  <w:rStyle w:val="InternetLink"/>
                </w:rPr>
                <w:t xml:space="preserve">Calculation of Filing Fee Tables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of securities registered hereby,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Filing Fee Tables in the effective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(i), (ii) and (iii) above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(2) 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as of February 14,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60"/>
        <w:gridCol w:w="60"/>
        <w:gridCol w:w="293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TEXAS INSTRUMENTS INCORPORATED</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Rafael Lizardi</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RafaelLizardi</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SeniorVice President and Chief</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8" w:type="dxa"/>
            <w:tcBorders/>
            <w:vAlign w:val="bottom"/>
          </w:tcPr>
          <w:p>
            <w:pPr>
              <w:pStyle w:val="TableContents"/>
              <w:bidi w:val="0"/>
              <w:spacing w:before="0" w:after="283"/>
              <w:jc w:val="left"/>
              <w:rPr/>
            </w:pPr>
            <w:r>
              <w:rPr/>
              <w:t>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Haviv Ilan, Rafael Lizardi, Julie Knecht, and Katie Kane,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as of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86"/>
        <w:gridCol w:w="102"/>
        <w:gridCol w:w="3878"/>
        <w:gridCol w:w="102"/>
        <w:gridCol w:w="1837"/>
      </w:tblGrid>
      <w:tr>
        <w:trPr/>
        <w:tc>
          <w:tcPr>
            <w:tcW w:w="428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02" w:type="dxa"/>
            <w:tcBorders/>
            <w:vAlign w:val="bottom"/>
          </w:tcPr>
          <w:p>
            <w:pPr>
              <w:pStyle w:val="TableContents"/>
              <w:bidi w:val="0"/>
              <w:spacing w:before="0" w:after="283"/>
              <w:jc w:val="left"/>
              <w:rPr/>
            </w:pPr>
            <w:r>
              <w:rPr/>
              <w:t> </w:t>
            </w:r>
          </w:p>
        </w:tc>
        <w:tc>
          <w:tcPr>
            <w:tcW w:w="387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02" w:type="dxa"/>
            <w:tcBorders/>
            <w:vAlign w:val="bottom"/>
          </w:tcPr>
          <w:p>
            <w:pPr>
              <w:pStyle w:val="TableContents"/>
              <w:bidi w:val="0"/>
              <w:spacing w:before="0" w:after="283"/>
              <w:jc w:val="left"/>
              <w:rPr/>
            </w:pPr>
            <w:r>
              <w:rPr/>
              <w:t> </w:t>
            </w:r>
          </w:p>
        </w:tc>
        <w:tc>
          <w:tcPr>
            <w:tcW w:w="183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Haviv Ilan</w:t>
            </w:r>
          </w:p>
          <w:p>
            <w:pPr>
              <w:pStyle w:val="TableContents"/>
              <w:bidi w:val="0"/>
              <w:spacing w:before="0" w:after="20"/>
              <w:jc w:val="center"/>
              <w:rPr>
                <w:rFonts w:ascii="Times New Roman" w:hAnsi="Times New Roman"/>
                <w:sz w:val="20"/>
              </w:rPr>
            </w:pPr>
            <w:r>
              <w:rPr>
                <w:rFonts w:ascii="Times New Roman" w:hAnsi="Times New Roman"/>
                <w:sz w:val="20"/>
              </w:rPr>
              <w:t>Haviv Ilan</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 President, and Chief Executive Officer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Rafael Lizardi</w:t>
            </w:r>
          </w:p>
          <w:p>
            <w:pPr>
              <w:pStyle w:val="TableContents"/>
              <w:bidi w:val="0"/>
              <w:spacing w:before="0" w:after="20"/>
              <w:jc w:val="center"/>
              <w:rPr>
                <w:rFonts w:ascii="Times New Roman" w:hAnsi="Times New Roman"/>
                <w:sz w:val="20"/>
              </w:rPr>
            </w:pPr>
            <w:r>
              <w:rPr>
                <w:rFonts w:ascii="Times New Roman" w:hAnsi="Times New Roman"/>
                <w:sz w:val="20"/>
              </w:rPr>
              <w:t>Rafael Lizardi</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Senior Vice President and Chief Financial Officer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Julie Knecht</w:t>
            </w:r>
          </w:p>
          <w:p>
            <w:pPr>
              <w:pStyle w:val="TableContents"/>
              <w:bidi w:val="0"/>
              <w:spacing w:before="0" w:after="20"/>
              <w:jc w:val="center"/>
              <w:rPr>
                <w:rFonts w:ascii="Times New Roman" w:hAnsi="Times New Roman"/>
                <w:sz w:val="20"/>
              </w:rPr>
            </w:pPr>
            <w:r>
              <w:rPr>
                <w:rFonts w:ascii="Times New Roman" w:hAnsi="Times New Roman"/>
                <w:sz w:val="20"/>
              </w:rPr>
              <w:t>Julie Knecht</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Vice President and Chief Accounting Officer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Mark Blinn</w:t>
            </w:r>
          </w:p>
          <w:p>
            <w:pPr>
              <w:pStyle w:val="TableContents"/>
              <w:bidi w:val="0"/>
              <w:spacing w:before="0" w:after="20"/>
              <w:jc w:val="center"/>
              <w:rPr>
                <w:rFonts w:ascii="Times New Roman" w:hAnsi="Times New Roman"/>
                <w:sz w:val="20"/>
              </w:rPr>
            </w:pPr>
            <w:r>
              <w:rPr>
                <w:rFonts w:ascii="Times New Roman" w:hAnsi="Times New Roman"/>
                <w:sz w:val="20"/>
              </w:rPr>
              <w:t>Mark Blinn</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Todd Bluedorn</w:t>
            </w:r>
          </w:p>
          <w:p>
            <w:pPr>
              <w:pStyle w:val="TableContents"/>
              <w:bidi w:val="0"/>
              <w:spacing w:before="0" w:after="20"/>
              <w:jc w:val="center"/>
              <w:rPr>
                <w:rFonts w:ascii="Times New Roman" w:hAnsi="Times New Roman"/>
                <w:sz w:val="20"/>
              </w:rPr>
            </w:pPr>
            <w:r>
              <w:rPr>
                <w:rFonts w:ascii="Times New Roman" w:hAnsi="Times New Roman"/>
                <w:sz w:val="20"/>
              </w:rPr>
              <w:t>Todd Bluedorn</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Janet Clark</w:t>
            </w:r>
          </w:p>
          <w:p>
            <w:pPr>
              <w:pStyle w:val="TableContents"/>
              <w:bidi w:val="0"/>
              <w:spacing w:before="0" w:after="20"/>
              <w:jc w:val="center"/>
              <w:rPr>
                <w:rFonts w:ascii="Times New Roman" w:hAnsi="Times New Roman"/>
                <w:sz w:val="20"/>
              </w:rPr>
            </w:pPr>
            <w:r>
              <w:rPr>
                <w:rFonts w:ascii="Times New Roman" w:hAnsi="Times New Roman"/>
                <w:sz w:val="20"/>
              </w:rPr>
              <w:t>Janet Clark</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Carrie Cox</w:t>
            </w:r>
          </w:p>
          <w:p>
            <w:pPr>
              <w:pStyle w:val="TableContents"/>
              <w:bidi w:val="0"/>
              <w:spacing w:before="0" w:after="20"/>
              <w:jc w:val="center"/>
              <w:rPr>
                <w:rFonts w:ascii="Times New Roman" w:hAnsi="Times New Roman"/>
                <w:sz w:val="20"/>
              </w:rPr>
            </w:pPr>
            <w:r>
              <w:rPr>
                <w:rFonts w:ascii="Times New Roman" w:hAnsi="Times New Roman"/>
                <w:sz w:val="20"/>
              </w:rPr>
              <w:t>Carrie Cox</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286"/>
        <w:gridCol w:w="102"/>
        <w:gridCol w:w="3878"/>
        <w:gridCol w:w="102"/>
        <w:gridCol w:w="1837"/>
      </w:tblGrid>
      <w:tr>
        <w:trPr/>
        <w:tc>
          <w:tcPr>
            <w:tcW w:w="428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02" w:type="dxa"/>
            <w:tcBorders/>
            <w:vAlign w:val="bottom"/>
          </w:tcPr>
          <w:p>
            <w:pPr>
              <w:pStyle w:val="TableContents"/>
              <w:bidi w:val="0"/>
              <w:spacing w:before="0" w:after="283"/>
              <w:jc w:val="left"/>
              <w:rPr/>
            </w:pPr>
            <w:r>
              <w:rPr/>
              <w:t> </w:t>
            </w:r>
          </w:p>
        </w:tc>
        <w:tc>
          <w:tcPr>
            <w:tcW w:w="387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02" w:type="dxa"/>
            <w:tcBorders/>
            <w:vAlign w:val="bottom"/>
          </w:tcPr>
          <w:p>
            <w:pPr>
              <w:pStyle w:val="TableContents"/>
              <w:bidi w:val="0"/>
              <w:spacing w:before="0" w:after="283"/>
              <w:jc w:val="left"/>
              <w:rPr/>
            </w:pPr>
            <w:r>
              <w:rPr/>
              <w:t> </w:t>
            </w:r>
          </w:p>
        </w:tc>
        <w:tc>
          <w:tcPr>
            <w:tcW w:w="183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Martin Craighead</w:t>
            </w:r>
          </w:p>
          <w:p>
            <w:pPr>
              <w:pStyle w:val="TableContents"/>
              <w:bidi w:val="0"/>
              <w:spacing w:before="0" w:after="20"/>
              <w:jc w:val="center"/>
              <w:rPr>
                <w:rFonts w:ascii="Times New Roman" w:hAnsi="Times New Roman"/>
                <w:sz w:val="20"/>
              </w:rPr>
            </w:pPr>
            <w:r>
              <w:rPr>
                <w:rFonts w:ascii="Times New Roman" w:hAnsi="Times New Roman"/>
                <w:sz w:val="20"/>
              </w:rPr>
              <w:t>Martin Craighead</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Reginald DesRoches</w:t>
            </w:r>
          </w:p>
          <w:p>
            <w:pPr>
              <w:pStyle w:val="TableContents"/>
              <w:bidi w:val="0"/>
              <w:spacing w:before="0" w:after="20"/>
              <w:jc w:val="center"/>
              <w:rPr>
                <w:rFonts w:ascii="Times New Roman" w:hAnsi="Times New Roman"/>
                <w:sz w:val="20"/>
              </w:rPr>
            </w:pPr>
            <w:r>
              <w:rPr>
                <w:rFonts w:ascii="Times New Roman" w:hAnsi="Times New Roman"/>
                <w:sz w:val="20"/>
              </w:rPr>
              <w:t>Reginald DesRoches</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Curtis Farmer</w:t>
            </w:r>
          </w:p>
          <w:p>
            <w:pPr>
              <w:pStyle w:val="TableContents"/>
              <w:bidi w:val="0"/>
              <w:spacing w:before="0" w:after="20"/>
              <w:jc w:val="center"/>
              <w:rPr>
                <w:rFonts w:ascii="Times New Roman" w:hAnsi="Times New Roman"/>
                <w:sz w:val="20"/>
              </w:rPr>
            </w:pPr>
            <w:r>
              <w:rPr>
                <w:rFonts w:ascii="Times New Roman" w:hAnsi="Times New Roman"/>
                <w:sz w:val="20"/>
              </w:rPr>
              <w:t>Curtis Farmer</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Jean Hobby</w:t>
            </w:r>
          </w:p>
          <w:p>
            <w:pPr>
              <w:pStyle w:val="TableContents"/>
              <w:bidi w:val="0"/>
              <w:spacing w:before="0" w:after="20"/>
              <w:jc w:val="center"/>
              <w:rPr>
                <w:rFonts w:ascii="Times New Roman" w:hAnsi="Times New Roman"/>
                <w:sz w:val="20"/>
              </w:rPr>
            </w:pPr>
            <w:r>
              <w:rPr>
                <w:rFonts w:ascii="Times New Roman" w:hAnsi="Times New Roman"/>
                <w:sz w:val="20"/>
              </w:rPr>
              <w:t>Jean Hobby</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Ronald Kirk</w:t>
            </w:r>
          </w:p>
          <w:p>
            <w:pPr>
              <w:pStyle w:val="TableContents"/>
              <w:bidi w:val="0"/>
              <w:spacing w:before="0" w:after="20"/>
              <w:jc w:val="center"/>
              <w:rPr>
                <w:rFonts w:ascii="Times New Roman" w:hAnsi="Times New Roman"/>
                <w:sz w:val="20"/>
              </w:rPr>
            </w:pPr>
            <w:r>
              <w:rPr>
                <w:rFonts w:ascii="Times New Roman" w:hAnsi="Times New Roman"/>
                <w:sz w:val="20"/>
              </w:rPr>
              <w:t>Ronald Kirk</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Pamela Patsley</w:t>
            </w:r>
          </w:p>
          <w:p>
            <w:pPr>
              <w:pStyle w:val="TableContents"/>
              <w:bidi w:val="0"/>
              <w:spacing w:before="0" w:after="20"/>
              <w:jc w:val="center"/>
              <w:rPr>
                <w:rFonts w:ascii="Times New Roman" w:hAnsi="Times New Roman"/>
                <w:sz w:val="20"/>
              </w:rPr>
            </w:pPr>
            <w:r>
              <w:rPr>
                <w:rFonts w:ascii="Times New Roman" w:hAnsi="Times New Roman"/>
                <w:sz w:val="20"/>
              </w:rPr>
              <w:t>Pamela Patsley</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Sanchez</w:t>
            </w:r>
          </w:p>
          <w:p>
            <w:pPr>
              <w:pStyle w:val="TableContents"/>
              <w:bidi w:val="0"/>
              <w:spacing w:before="0" w:after="20"/>
              <w:jc w:val="center"/>
              <w:rPr>
                <w:rFonts w:ascii="Times New Roman" w:hAnsi="Times New Roman"/>
                <w:sz w:val="20"/>
              </w:rPr>
            </w:pPr>
            <w:r>
              <w:rPr>
                <w:rFonts w:ascii="Times New Roman" w:hAnsi="Times New Roman"/>
                <w:sz w:val="20"/>
              </w:rPr>
              <w:t>Robert Sanchez</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r>
        <w:trPr>
          <w:trHeight w:val="240" w:hRule="atLeast"/>
        </w:trPr>
        <w:tc>
          <w:tcPr>
            <w:tcW w:w="4286"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Richard Templeton</w:t>
            </w:r>
          </w:p>
          <w:p>
            <w:pPr>
              <w:pStyle w:val="TableContents"/>
              <w:bidi w:val="0"/>
              <w:spacing w:before="0" w:after="20"/>
              <w:jc w:val="center"/>
              <w:rPr>
                <w:rFonts w:ascii="Times New Roman" w:hAnsi="Times New Roman"/>
                <w:sz w:val="20"/>
              </w:rPr>
            </w:pPr>
            <w:r>
              <w:rPr>
                <w:rFonts w:ascii="Times New Roman" w:hAnsi="Times New Roman"/>
                <w:sz w:val="20"/>
              </w:rPr>
              <w:t>Richard Templeton</w:t>
            </w:r>
          </w:p>
        </w:tc>
        <w:tc>
          <w:tcPr>
            <w:tcW w:w="102" w:type="dxa"/>
            <w:tcBorders/>
            <w:vAlign w:val="bottom"/>
          </w:tcPr>
          <w:p>
            <w:pPr>
              <w:pStyle w:val="TableContents"/>
              <w:bidi w:val="0"/>
              <w:spacing w:before="0" w:after="283"/>
              <w:jc w:val="left"/>
              <w:rPr/>
            </w:pPr>
            <w:r>
              <w:rPr/>
              <w:t> </w:t>
            </w:r>
          </w:p>
        </w:tc>
        <w:tc>
          <w:tcPr>
            <w:tcW w:w="3878" w:type="dxa"/>
            <w:tcBorders/>
          </w:tcPr>
          <w:p>
            <w:pPr>
              <w:pStyle w:val="TableContents"/>
              <w:bidi w:val="0"/>
              <w:spacing w:before="0" w:after="283"/>
              <w:jc w:val="center"/>
              <w:rPr/>
            </w:pPr>
            <w:r>
              <w:rPr/>
              <w:t>Director and Chairman of the Board</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February 14,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7" w:name="d930306dex51.htm"/>
      <w:bookmarkStart w:id="18" w:name="ksd930306dex51"/>
      <w:bookmarkEnd w:id="17"/>
      <w:bookmarkEnd w:id="18"/>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06"/>
        <w:gridCol w:w="122"/>
        <w:gridCol w:w="8177"/>
      </w:tblGrid>
      <w:tr>
        <w:trPr/>
        <w:tc>
          <w:tcPr>
            <w:tcW w:w="190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177" w:type="dxa"/>
            <w:tcBorders/>
            <w:vAlign w:val="center"/>
          </w:tcPr>
          <w:p>
            <w:pPr>
              <w:pStyle w:val="TableContents"/>
              <w:bidi w:val="0"/>
              <w:spacing w:before="0" w:after="283"/>
              <w:jc w:val="left"/>
              <w:rPr>
                <w:sz w:val="4"/>
                <w:szCs w:val="4"/>
              </w:rPr>
            </w:pPr>
            <w:r>
              <w:rPr>
                <w:sz w:val="4"/>
                <w:szCs w:val="4"/>
              </w:rPr>
            </w:r>
          </w:p>
        </w:tc>
      </w:tr>
      <w:tr>
        <w:trPr/>
        <w:tc>
          <w:tcPr>
            <w:tcW w:w="1906" w:type="dxa"/>
            <w:tcBorders/>
          </w:tcPr>
          <w:p>
            <w:pPr>
              <w:pStyle w:val="TableContents"/>
              <w:bidi w:val="0"/>
              <w:spacing w:before="0" w:after="20"/>
              <w:jc w:val="left"/>
              <w:rPr/>
            </w:pPr>
            <w:r>
              <w:rPr/>
              <w:drawing>
                <wp:inline distT="0" distB="0" distL="0" distR="0">
                  <wp:extent cx="1066800"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066800" cy="24765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p>
            <w:pPr>
              <w:pStyle w:val="TableContents"/>
              <w:bidi w:val="0"/>
              <w:spacing w:before="0" w:after="0"/>
              <w:jc w:val="left"/>
              <w:rPr>
                <w:rFonts w:ascii="Times New Roman" w:hAnsi="Times New Roman"/>
                <w:sz w:val="20"/>
              </w:rPr>
            </w:pPr>
            <w:r>
              <w:rPr>
                <w:rFonts w:ascii="Times New Roman" w:hAnsi="Times New Roman"/>
                <w:sz w:val="20"/>
              </w:rPr>
              <w:t>900 Middlefield Road</w:t>
            </w:r>
          </w:p>
          <w:p>
            <w:pPr>
              <w:pStyle w:val="TableContents"/>
              <w:bidi w:val="0"/>
              <w:spacing w:before="0" w:after="0"/>
              <w:jc w:val="left"/>
              <w:rPr>
                <w:rFonts w:ascii="Times New Roman" w:hAnsi="Times New Roman"/>
                <w:sz w:val="20"/>
              </w:rPr>
            </w:pPr>
            <w:r>
              <w:rPr>
                <w:rFonts w:ascii="Times New Roman" w:hAnsi="Times New Roman"/>
                <w:sz w:val="20"/>
              </w:rPr>
              <w:t>Redwood City, CA 94063</w:t>
            </w:r>
          </w:p>
          <w:p>
            <w:pPr>
              <w:pStyle w:val="TableContents"/>
              <w:bidi w:val="0"/>
              <w:spacing w:before="0" w:after="20"/>
              <w:jc w:val="left"/>
              <w:rPr>
                <w:rFonts w:ascii="Times New Roman" w:hAnsi="Times New Roman"/>
                <w:sz w:val="20"/>
              </w:rPr>
            </w:pPr>
            <w:r>
              <w:rPr>
                <w:rFonts w:ascii="Times New Roman" w:hAnsi="Times New Roman"/>
                <w:sz w:val="20"/>
              </w:rPr>
              <w:t>davispolk.com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14, 2025 </w:t>
      </w:r>
    </w:p>
    <w:p>
      <w:pPr>
        <w:pStyle w:val="TextBody"/>
        <w:bidi w:val="0"/>
        <w:spacing w:before="240" w:after="0"/>
        <w:jc w:val="left"/>
        <w:rPr>
          <w:rFonts w:ascii="Times New Roman" w:hAnsi="Times New Roman"/>
          <w:sz w:val="20"/>
        </w:rPr>
      </w:pPr>
      <w:r>
        <w:rPr>
          <w:rFonts w:ascii="Times New Roman" w:hAnsi="Times New Roman"/>
          <w:sz w:val="20"/>
        </w:rPr>
        <w:t xml:space="preserve">Texas Instruments Incorporated </w:t>
      </w:r>
    </w:p>
    <w:p>
      <w:pPr>
        <w:pStyle w:val="TextBody"/>
        <w:bidi w:val="0"/>
        <w:spacing w:before="0" w:after="0"/>
        <w:jc w:val="left"/>
        <w:rPr>
          <w:rFonts w:ascii="Times New Roman" w:hAnsi="Times New Roman"/>
          <w:sz w:val="20"/>
        </w:rPr>
      </w:pPr>
      <w:r>
        <w:rPr>
          <w:rFonts w:ascii="Times New Roman" w:hAnsi="Times New Roman"/>
          <w:sz w:val="20"/>
        </w:rPr>
        <w:t xml:space="preserve">12500 TI Boulevard </w:t>
      </w:r>
    </w:p>
    <w:p>
      <w:pPr>
        <w:pStyle w:val="TextBody"/>
        <w:bidi w:val="0"/>
        <w:spacing w:before="0" w:after="0"/>
        <w:jc w:val="left"/>
        <w:rPr>
          <w:rFonts w:ascii="Times New Roman" w:hAnsi="Times New Roman"/>
          <w:sz w:val="20"/>
        </w:rPr>
      </w:pPr>
      <w:r>
        <w:rPr>
          <w:rFonts w:ascii="Times New Roman" w:hAnsi="Times New Roman"/>
          <w:sz w:val="20"/>
        </w:rPr>
        <w:t xml:space="preserve">Dallas, Texas 75243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Texas Instruments Incorporated, a Delaware corporation (the </w:t>
      </w:r>
      <w:r>
        <w:rPr>
          <w:rFonts w:ascii="Times New Roman" w:hAnsi="Times New Roman"/>
          <w:b/>
          <w:sz w:val="20"/>
        </w:rPr>
        <w:t>Company</w:t>
      </w:r>
      <w:r>
        <w:rPr>
          <w:rFonts w:ascii="Times New Roman" w:hAnsi="Times New Roman"/>
          <w:sz w:val="20"/>
        </w:rPr>
        <w:t>) is filing with the Securities and Exchange Commission a Registration Statement on Form S-3 (the </w:t>
      </w:r>
      <w:r>
        <w:rPr>
          <w:rFonts w:ascii="Times New Roman" w:hAnsi="Times New Roman"/>
          <w:b/>
          <w:sz w:val="20"/>
        </w:rPr>
        <w:t>Registration Statement</w:t>
      </w:r>
      <w:r>
        <w:rPr>
          <w:rFonts w:ascii="Times New Roman" w:hAnsi="Times New Roman"/>
          <w:sz w:val="20"/>
        </w:rPr>
        <w:t>) for the purpose of registering under the Securities Act of 1933, as amended (the </w:t>
      </w:r>
      <w:r>
        <w:rPr>
          <w:rFonts w:ascii="Times New Roman" w:hAnsi="Times New Roman"/>
          <w:b/>
          <w:sz w:val="20"/>
        </w:rPr>
        <w:t>Securities Act</w:t>
      </w:r>
      <w:r>
        <w:rPr>
          <w:rFonts w:ascii="Times New Roman" w:hAnsi="Times New Roman"/>
          <w:sz w:val="20"/>
        </w:rPr>
        <w:t>), (a) shares of common stock, par value $1.00 per share (the </w:t>
      </w:r>
      <w:r>
        <w:rPr>
          <w:rFonts w:ascii="Times New Roman" w:hAnsi="Times New Roman"/>
          <w:b/>
          <w:sz w:val="20"/>
        </w:rPr>
        <w:t>Common Stock</w:t>
      </w:r>
      <w:r>
        <w:rPr>
          <w:rFonts w:ascii="Times New Roman" w:hAnsi="Times New Roman"/>
          <w:sz w:val="20"/>
        </w:rPr>
        <w:t>) of the Company; (b) shares of preferred stock, par value $25.00 per share (the </w:t>
      </w:r>
      <w:r>
        <w:rPr>
          <w:rFonts w:ascii="Times New Roman" w:hAnsi="Times New Roman"/>
          <w:b/>
          <w:sz w:val="20"/>
        </w:rPr>
        <w:t>Preferred Stock</w:t>
      </w:r>
      <w:r>
        <w:rPr>
          <w:rFonts w:ascii="Times New Roman" w:hAnsi="Times New Roman"/>
          <w:sz w:val="20"/>
        </w:rPr>
        <w:t>) of the Company; (c) the Companys debt securities (the </w:t>
      </w:r>
      <w:r>
        <w:rPr>
          <w:rFonts w:ascii="Times New Roman" w:hAnsi="Times New Roman"/>
          <w:b/>
          <w:sz w:val="20"/>
        </w:rPr>
        <w:t>Debt Securities</w:t>
      </w:r>
      <w:r>
        <w:rPr>
          <w:rFonts w:ascii="Times New Roman" w:hAnsi="Times New Roman"/>
          <w:sz w:val="20"/>
        </w:rPr>
        <w:t>), which may be issued pursuant to an indenture dated May 23, 2011 between the Company and U.S. Bank Trust Company, National Association, as successor in interest to U.S. Bank National Association, as trustee (the </w:t>
      </w:r>
      <w:r>
        <w:rPr>
          <w:rFonts w:ascii="Times New Roman" w:hAnsi="Times New Roman"/>
          <w:b/>
          <w:sz w:val="20"/>
        </w:rPr>
        <w:t>Debt Trustee</w:t>
      </w:r>
      <w:r>
        <w:rPr>
          <w:rFonts w:ascii="Times New Roman" w:hAnsi="Times New Roman"/>
          <w:sz w:val="20"/>
        </w:rPr>
        <w:t>) (the </w:t>
      </w:r>
      <w:r>
        <w:rPr>
          <w:rFonts w:ascii="Times New Roman" w:hAnsi="Times New Roman"/>
          <w:b/>
          <w:sz w:val="20"/>
        </w:rPr>
        <w:t>Indenture</w:t>
      </w:r>
      <w:r>
        <w:rPr>
          <w:rFonts w:ascii="Times New Roman" w:hAnsi="Times New Roman"/>
          <w:sz w:val="20"/>
        </w:rPr>
        <w:t>); (d) warrants of the Company (the </w:t>
      </w:r>
      <w:r>
        <w:rPr>
          <w:rFonts w:ascii="Times New Roman" w:hAnsi="Times New Roman"/>
          <w:b/>
          <w:sz w:val="20"/>
        </w:rPr>
        <w:t>Warrants</w:t>
      </w:r>
      <w:r>
        <w:rPr>
          <w:rFonts w:ascii="Times New Roman" w:hAnsi="Times New Roman"/>
          <w:sz w:val="20"/>
        </w:rPr>
        <w:t>), which may be issued under one or more warrant agreements (each, a </w:t>
      </w:r>
      <w:r>
        <w:rPr>
          <w:rFonts w:ascii="Times New Roman" w:hAnsi="Times New Roman"/>
          <w:b/>
          <w:sz w:val="20"/>
        </w:rPr>
        <w:t>Warrant Agreement</w:t>
      </w:r>
      <w:r>
        <w:rPr>
          <w:rFonts w:ascii="Times New Roman" w:hAnsi="Times New Roman"/>
          <w:sz w:val="20"/>
        </w:rPr>
        <w:t>) to be entered into between the Company and the warrant agent to be named therein (the </w:t>
      </w:r>
      <w:r>
        <w:rPr>
          <w:rFonts w:ascii="Times New Roman" w:hAnsi="Times New Roman"/>
          <w:b/>
          <w:sz w:val="20"/>
        </w:rPr>
        <w:t>Warrant Agent</w:t>
      </w:r>
      <w:r>
        <w:rPr>
          <w:rFonts w:ascii="Times New Roman" w:hAnsi="Times New Roman"/>
          <w:sz w:val="20"/>
        </w:rPr>
        <w:t>); and (e) Common Stock, Preferred Stock, Debt Securities, and Warrants or any combination thereof that may be offered in the form of units (the </w:t>
      </w:r>
      <w:r>
        <w:rPr>
          <w:rFonts w:ascii="Times New Roman" w:hAnsi="Times New Roman"/>
          <w:b/>
          <w:sz w:val="20"/>
        </w:rPr>
        <w:t>Units</w:t>
      </w:r>
      <w:r>
        <w:rPr>
          <w:rFonts w:ascii="Times New Roman" w:hAnsi="Times New Roman"/>
          <w:sz w:val="20"/>
        </w:rPr>
        <w:t>) to be issued under one or more unit agreements to be entered into among the Company, a bank or trust company, as unit agent (the </w:t>
      </w:r>
      <w:r>
        <w:rPr>
          <w:rFonts w:ascii="Times New Roman" w:hAnsi="Times New Roman"/>
          <w:b/>
          <w:sz w:val="20"/>
        </w:rPr>
        <w:t>Unit Agent</w:t>
      </w:r>
      <w:r>
        <w:rPr>
          <w:rFonts w:ascii="Times New Roman" w:hAnsi="Times New Roman"/>
          <w:sz w:val="20"/>
        </w:rPr>
        <w:t>), and the holders from time to time of the Units (each such unit agreement, a </w:t>
      </w:r>
      <w:r>
        <w:rPr>
          <w:rFonts w:ascii="Times New Roman" w:hAnsi="Times New Roman"/>
          <w:b/>
          <w:sz w:val="20"/>
        </w:rPr>
        <w:t>Unit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as your counsel, have examined originals or copies of such documents, corporate records, certificates of public officials and other instruments as we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the additional assumptions and qualifications set forth below, we advise you that, in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Times New Roman" w:hAnsi="Times New Roman"/>
                <w:b/>
                <w:sz w:val="20"/>
              </w:rPr>
              <w:t>Offered Security</w:t>
            </w:r>
            <w:r>
              <w:rPr>
                <w:rFonts w:ascii="Times New Roman" w:hAnsi="Times New Roman"/>
                <w:sz w:val="20"/>
              </w:rPr>
              <w:t xml:space="preserve">),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Indenture has been duly authorized, executed and delivered by the Trustee, and when any supplemental indenture to be entered into in connection with the issuance of any Debt Securities has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the effect of fraudulent conveyance, fraudulent transfer or similar provision of applicable law on the conclusions expressed above, (y) the validity, legally binding effect or enforceability of any section of any supplemental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 (iii) the Registration Statement shall have become effective and such effectiveness shall not have been terminated or rescinded; (iv) the Indenture, the Debt Securities, the Warrant Agreement and the Unit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any Warrant Agreement and Unit Agreement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Bars of the State of New York and the State of California and the foregoing opinion is limited to the laws of the State of New York and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referred to above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Davis Polk &amp; Wardwell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sz w:val="20"/>
        </w:rPr>
      </w:pPr>
      <w:bookmarkStart w:id="19" w:name="d930306dex231.htm"/>
      <w:bookmarkStart w:id="20" w:name="ksd930306dex231"/>
      <w:bookmarkEnd w:id="19"/>
      <w:bookmarkEnd w:id="20"/>
      <w:r>
        <w:rPr>
          <w:rFonts w:ascii="Times New Roman" w:hAnsi="Times New Roman"/>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Texas Instruments Incorporated for the registration of common stock, preferred stock, debt securities, warrants, and units and to the incorporation by reference therein of our reports dated February 14, 2025, with respect to the consolidated financial statements of Texas Instruments Incorporated, and the effectiveness of internal control over financial reporting of Texas Instruments Incorporated, included in its Annual Report (Form 10-K) for the year ended December 31, 2024,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February 14, 2025 </w:t>
      </w:r>
    </w:p>
    <w:p>
      <w:pPr>
        <w:pStyle w:val="TextBody"/>
        <w:bidi w:val="0"/>
        <w:spacing w:before="12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right"/>
        <w:rPr>
          <w:rFonts w:ascii="Times New Roman" w:hAnsi="Times New Roman"/>
          <w:b/>
          <w:sz w:val="20"/>
        </w:rPr>
      </w:pPr>
      <w:bookmarkStart w:id="21" w:name="d930306dex251.htm"/>
      <w:bookmarkStart w:id="22" w:name="ksd930306dex251"/>
      <w:bookmarkEnd w:id="21"/>
      <w:bookmarkEnd w:id="22"/>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20"/>
        </w:rPr>
        <w:t>SECURITIES</w:t>
      </w:r>
      <w:r>
        <w:rPr>
          <w:rFonts w:ascii="Times New Roman" w:hAnsi="Times New Roman"/>
          <w:b/>
          <w:sz w:val="36"/>
        </w:rPr>
        <w:t xml:space="preserve"> </w:t>
      </w:r>
      <w:r>
        <w:rPr>
          <w:rFonts w:ascii="Times New Roman" w:hAnsi="Times New Roman"/>
          <w:b/>
          <w:sz w:val="20"/>
        </w:rPr>
        <w:t>AND</w:t>
      </w:r>
      <w:r>
        <w:rPr>
          <w:rFonts w:ascii="Times New Roman" w:hAnsi="Times New Roman"/>
          <w:b/>
          <w:sz w:val="36"/>
        </w:rPr>
        <w:t xml:space="preserve"> </w:t>
      </w:r>
      <w:r>
        <w:rPr>
          <w:rFonts w:ascii="Times New Roman" w:hAnsi="Times New Roman"/>
          <w:b/>
          <w:sz w:val="20"/>
        </w:rPr>
        <w:t>EXCHANGE</w:t>
      </w:r>
      <w:r>
        <w:rPr>
          <w:rFonts w:ascii="Times New Roman" w:hAnsi="Times New Roman"/>
          <w:b/>
          <w:sz w:val="36"/>
        </w:rPr>
        <w:t xml:space="preserve"> </w:t>
      </w:r>
      <w:r>
        <w:rPr>
          <w:rFonts w:ascii="Times New Roman" w:hAnsi="Times New Roman"/>
          <w:b/>
          <w:sz w:val="20"/>
        </w:rPr>
        <w:t>COMMISSION</w:t>
      </w:r>
      <w:r>
        <w:rPr>
          <w:rFonts w:ascii="Times New Roman" w:hAnsi="Times New Roman"/>
          <w:b/>
          <w:sz w:val="36"/>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91-1821036 </w:t>
      </w:r>
    </w:p>
    <w:p>
      <w:pPr>
        <w:pStyle w:val="TextBody"/>
        <w:bidi w:val="0"/>
        <w:spacing w:before="0" w:after="0"/>
        <w:jc w:val="center"/>
        <w:rPr>
          <w:rFonts w:ascii="Times New Roman" w:hAnsi="Times New Roman"/>
          <w:b/>
          <w:sz w:val="16"/>
        </w:rPr>
      </w:pPr>
      <w:r>
        <w:rPr>
          <w:rFonts w:ascii="Times New Roman" w:hAnsi="Times New Roman"/>
          <w:b/>
          <w:sz w:val="16"/>
        </w:rPr>
        <w:t xml:space="preserve">I.R.S. Employer Identification No.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6"/>
        <w:gridCol w:w="120"/>
        <w:gridCol w:w="4829"/>
      </w:tblGrid>
      <w:tr>
        <w:trPr/>
        <w:tc>
          <w:tcPr>
            <w:tcW w:w="5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9" w:type="dxa"/>
            <w:tcBorders/>
            <w:vAlign w:val="center"/>
          </w:tcPr>
          <w:p>
            <w:pPr>
              <w:pStyle w:val="TableContents"/>
              <w:bidi w:val="0"/>
              <w:spacing w:before="0" w:after="283"/>
              <w:jc w:val="left"/>
              <w:rPr>
                <w:sz w:val="4"/>
                <w:szCs w:val="4"/>
              </w:rPr>
            </w:pPr>
            <w:r>
              <w:rPr>
                <w:sz w:val="4"/>
                <w:szCs w:val="4"/>
              </w:rPr>
            </w:r>
          </w:p>
        </w:tc>
      </w:tr>
      <w:tr>
        <w:trPr/>
        <w:tc>
          <w:tcPr>
            <w:tcW w:w="5256" w:type="dxa"/>
            <w:tcBorders/>
          </w:tcPr>
          <w:p>
            <w:pPr>
              <w:pStyle w:val="TableContents"/>
              <w:bidi w:val="0"/>
              <w:spacing w:before="0" w:after="283"/>
              <w:jc w:val="center"/>
              <w:rPr>
                <w:b/>
              </w:rPr>
            </w:pPr>
            <w:r>
              <w:rPr>
                <w:b/>
              </w:rPr>
              <w:t>800 Nicollet Mall</w:t>
            </w:r>
          </w:p>
        </w:tc>
        <w:tc>
          <w:tcPr>
            <w:tcW w:w="120" w:type="dxa"/>
            <w:tcBorders/>
            <w:vAlign w:val="bottom"/>
          </w:tcPr>
          <w:p>
            <w:pPr>
              <w:pStyle w:val="TableContents"/>
              <w:bidi w:val="0"/>
              <w:spacing w:before="0" w:after="283"/>
              <w:jc w:val="left"/>
              <w:rPr/>
            </w:pPr>
            <w:r>
              <w:rPr/>
              <w:t>  </w:t>
            </w:r>
          </w:p>
        </w:tc>
        <w:tc>
          <w:tcPr>
            <w:tcW w:w="4829" w:type="dxa"/>
            <w:tcBorders/>
          </w:tcPr>
          <w:p>
            <w:pPr>
              <w:pStyle w:val="TableContents"/>
              <w:bidi w:val="0"/>
              <w:spacing w:before="0" w:after="283"/>
              <w:jc w:val="left"/>
              <w:rPr>
                <w:sz w:val="4"/>
                <w:szCs w:val="4"/>
              </w:rPr>
            </w:pPr>
            <w:r>
              <w:rPr>
                <w:sz w:val="4"/>
                <w:szCs w:val="4"/>
              </w:rPr>
            </w:r>
          </w:p>
        </w:tc>
      </w:tr>
      <w:tr>
        <w:trPr/>
        <w:tc>
          <w:tcPr>
            <w:tcW w:w="5256" w:type="dxa"/>
            <w:tcBorders/>
          </w:tcPr>
          <w:p>
            <w:pPr>
              <w:pStyle w:val="TableContents"/>
              <w:bidi w:val="0"/>
              <w:spacing w:before="0" w:after="283"/>
              <w:jc w:val="center"/>
              <w:rPr>
                <w:b/>
              </w:rPr>
            </w:pPr>
            <w:r>
              <w:rPr>
                <w:b/>
              </w:rPr>
              <w:t>Minneapolis, Minnesota</w:t>
            </w:r>
          </w:p>
        </w:tc>
        <w:tc>
          <w:tcPr>
            <w:tcW w:w="120" w:type="dxa"/>
            <w:tcBorders/>
            <w:vAlign w:val="bottom"/>
          </w:tcPr>
          <w:p>
            <w:pPr>
              <w:pStyle w:val="TableContents"/>
              <w:bidi w:val="0"/>
              <w:spacing w:before="0" w:after="283"/>
              <w:jc w:val="left"/>
              <w:rPr/>
            </w:pPr>
            <w:r>
              <w:rPr/>
              <w:t>  </w:t>
            </w:r>
          </w:p>
        </w:tc>
        <w:tc>
          <w:tcPr>
            <w:tcW w:w="4829" w:type="dxa"/>
            <w:tcBorders/>
          </w:tcPr>
          <w:p>
            <w:pPr>
              <w:pStyle w:val="TableContents"/>
              <w:bidi w:val="0"/>
              <w:spacing w:before="0" w:after="283"/>
              <w:jc w:val="center"/>
              <w:rPr>
                <w:b/>
              </w:rPr>
            </w:pPr>
            <w:r>
              <w:rPr>
                <w:b/>
              </w:rPr>
              <w:t>55402</w:t>
            </w:r>
          </w:p>
        </w:tc>
      </w:tr>
      <w:tr>
        <w:trPr/>
        <w:tc>
          <w:tcPr>
            <w:tcW w:w="5256" w:type="dxa"/>
            <w:tcBorders/>
          </w:tcPr>
          <w:p>
            <w:pPr>
              <w:pStyle w:val="TableContents"/>
              <w:bidi w:val="0"/>
              <w:spacing w:before="0" w:after="283"/>
              <w:jc w:val="center"/>
              <w:rPr>
                <w:b/>
              </w:rPr>
            </w:pPr>
            <w:r>
              <w:rPr>
                <w:b/>
              </w:rPr>
              <w:t>(Address of principal executive offices)</w:t>
            </w:r>
          </w:p>
        </w:tc>
        <w:tc>
          <w:tcPr>
            <w:tcW w:w="120" w:type="dxa"/>
            <w:tcBorders/>
            <w:vAlign w:val="bottom"/>
          </w:tcPr>
          <w:p>
            <w:pPr>
              <w:pStyle w:val="TableContents"/>
              <w:bidi w:val="0"/>
              <w:spacing w:before="0" w:after="283"/>
              <w:jc w:val="left"/>
              <w:rPr/>
            </w:pPr>
            <w:r>
              <w:rPr/>
              <w:t>  </w:t>
            </w:r>
          </w:p>
        </w:tc>
        <w:tc>
          <w:tcPr>
            <w:tcW w:w="482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Michael K. Herberger </w:t>
      </w:r>
    </w:p>
    <w:p>
      <w:pPr>
        <w:pStyle w:val="TextBody"/>
        <w:bidi w:val="0"/>
        <w:spacing w:before="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13737 Noel Road, 8th Floor </w:t>
      </w:r>
    </w:p>
    <w:p>
      <w:pPr>
        <w:pStyle w:val="TextBody"/>
        <w:bidi w:val="0"/>
        <w:spacing w:before="0" w:after="0"/>
        <w:jc w:val="center"/>
        <w:rPr>
          <w:rFonts w:ascii="Times New Roman" w:hAnsi="Times New Roman"/>
          <w:b/>
          <w:sz w:val="20"/>
        </w:rPr>
      </w:pPr>
      <w:r>
        <w:rPr>
          <w:rFonts w:ascii="Times New Roman" w:hAnsi="Times New Roman"/>
          <w:b/>
          <w:sz w:val="20"/>
        </w:rPr>
        <w:t xml:space="preserve">Dallas, TX 75240 </w:t>
      </w:r>
    </w:p>
    <w:p>
      <w:pPr>
        <w:pStyle w:val="TextBody"/>
        <w:bidi w:val="0"/>
        <w:spacing w:before="0" w:after="0"/>
        <w:jc w:val="center"/>
        <w:rPr>
          <w:rFonts w:ascii="Times New Roman" w:hAnsi="Times New Roman"/>
          <w:b/>
          <w:sz w:val="20"/>
        </w:rPr>
      </w:pPr>
      <w:r>
        <w:rPr>
          <w:rFonts w:ascii="Times New Roman" w:hAnsi="Times New Roman"/>
          <w:b/>
          <w:sz w:val="20"/>
        </w:rPr>
        <w:t xml:space="preserve">(972) 581-1612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Texas Instruments Incorporated </w:t>
      </w:r>
    </w:p>
    <w:p>
      <w:pPr>
        <w:pStyle w:val="TextBody"/>
        <w:bidi w:val="0"/>
        <w:spacing w:before="0" w:after="0"/>
        <w:jc w:val="center"/>
        <w:rPr>
          <w:rFonts w:ascii="Times New Roman" w:hAnsi="Times New Roman"/>
          <w:b/>
          <w:sz w:val="16"/>
        </w:rPr>
      </w:pPr>
      <w:r>
        <w:rPr>
          <w:rFonts w:ascii="Times New Roman" w:hAnsi="Times New Roman"/>
          <w:b/>
          <w:sz w:val="16"/>
        </w:rPr>
        <w:t xml:space="preserve">(Issuer with respect to the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3"/>
        <w:gridCol w:w="4894"/>
      </w:tblGrid>
      <w:tr>
        <w:trPr/>
        <w:tc>
          <w:tcPr>
            <w:tcW w:w="51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4"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b/>
              </w:rPr>
            </w:pPr>
            <w:r>
              <w:rPr>
                <w:b/>
              </w:rPr>
              <w:t>Delaware</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center"/>
              <w:rPr>
                <w:b/>
              </w:rPr>
            </w:pPr>
            <w:r>
              <w:rPr>
                <w:b/>
              </w:rPr>
              <w:t>75-0289970</w:t>
            </w:r>
          </w:p>
        </w:tc>
      </w:tr>
      <w:tr>
        <w:trPr/>
        <w:tc>
          <w:tcPr>
            <w:tcW w:w="5188"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3"/>
        <w:gridCol w:w="120"/>
        <w:gridCol w:w="4852"/>
      </w:tblGrid>
      <w:tr>
        <w:trPr/>
        <w:tc>
          <w:tcPr>
            <w:tcW w:w="5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2" w:type="dxa"/>
            <w:tcBorders/>
            <w:vAlign w:val="center"/>
          </w:tcPr>
          <w:p>
            <w:pPr>
              <w:pStyle w:val="TableContents"/>
              <w:bidi w:val="0"/>
              <w:spacing w:before="0" w:after="283"/>
              <w:jc w:val="left"/>
              <w:rPr>
                <w:sz w:val="4"/>
                <w:szCs w:val="4"/>
              </w:rPr>
            </w:pPr>
            <w:r>
              <w:rPr>
                <w:sz w:val="4"/>
                <w:szCs w:val="4"/>
              </w:rPr>
            </w:r>
          </w:p>
        </w:tc>
      </w:tr>
      <w:tr>
        <w:trPr/>
        <w:tc>
          <w:tcPr>
            <w:tcW w:w="5233" w:type="dxa"/>
            <w:tcBorders/>
          </w:tcPr>
          <w:p>
            <w:pPr>
              <w:pStyle w:val="TableContents"/>
              <w:bidi w:val="0"/>
              <w:spacing w:before="0" w:after="283"/>
              <w:jc w:val="center"/>
              <w:rPr>
                <w:b/>
              </w:rPr>
            </w:pPr>
            <w:r>
              <w:rPr>
                <w:b/>
              </w:rPr>
              <w:t>12500 TI Boulevard</w:t>
            </w:r>
          </w:p>
        </w:tc>
        <w:tc>
          <w:tcPr>
            <w:tcW w:w="120"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left"/>
              <w:rPr>
                <w:sz w:val="4"/>
                <w:szCs w:val="4"/>
              </w:rPr>
            </w:pPr>
            <w:r>
              <w:rPr>
                <w:sz w:val="4"/>
                <w:szCs w:val="4"/>
              </w:rPr>
            </w:r>
          </w:p>
        </w:tc>
      </w:tr>
      <w:tr>
        <w:trPr/>
        <w:tc>
          <w:tcPr>
            <w:tcW w:w="5233" w:type="dxa"/>
            <w:tcBorders/>
          </w:tcPr>
          <w:p>
            <w:pPr>
              <w:pStyle w:val="TableContents"/>
              <w:bidi w:val="0"/>
              <w:spacing w:before="0" w:after="283"/>
              <w:jc w:val="center"/>
              <w:rPr>
                <w:b/>
              </w:rPr>
            </w:pPr>
            <w:r>
              <w:rPr>
                <w:b/>
              </w:rPr>
              <w:t>Dallas, Texas</w:t>
            </w:r>
          </w:p>
        </w:tc>
        <w:tc>
          <w:tcPr>
            <w:tcW w:w="120"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center"/>
              <w:rPr>
                <w:b/>
              </w:rPr>
            </w:pPr>
            <w:r>
              <w:rPr>
                <w:b/>
              </w:rPr>
              <w:t>75243</w:t>
            </w:r>
          </w:p>
        </w:tc>
      </w:tr>
      <w:tr>
        <w:trPr/>
        <w:tc>
          <w:tcPr>
            <w:tcW w:w="5233" w:type="dxa"/>
            <w:tcBorders/>
          </w:tcPr>
          <w:p>
            <w:pPr>
              <w:pStyle w:val="TableContents"/>
              <w:bidi w:val="0"/>
              <w:spacing w:before="0" w:after="283"/>
              <w:jc w:val="center"/>
              <w:rPr>
                <w:b/>
              </w:rPr>
            </w:pPr>
            <w:r>
              <w:rPr>
                <w:b/>
              </w:rPr>
              <w:t>(Address of Principal Executive Offices)</w:t>
            </w:r>
          </w:p>
        </w:tc>
        <w:tc>
          <w:tcPr>
            <w:tcW w:w="120"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Note Debt Issuance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Name and address of each examining or supervising authority to which it is subject.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Comptroller of the Currency </w:t>
      </w:r>
    </w:p>
    <w:p>
      <w:pPr>
        <w:pStyle w:val="TextBody"/>
        <w:bidi w:val="0"/>
        <w:spacing w:before="0" w:after="0"/>
        <w:jc w:val="left"/>
        <w:rPr>
          <w:rFonts w:ascii="Times New Roman" w:hAnsi="Times New Roman"/>
          <w:sz w:val="20"/>
        </w:rPr>
      </w:pPr>
      <w:r>
        <w:rPr>
          <w:rFonts w:ascii="Times New Roman" w:hAnsi="Times New Roman"/>
          <w:sz w:val="20"/>
        </w:rPr>
        <w:t xml:space="preserve">Washington, D.C.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Whether it is authorized to exercise corporate trust powers.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AFFILIATIONS WITH THE OBLIGOR. </w:t>
            </w:r>
            <w:r>
              <w:rPr>
                <w:rFonts w:ascii="Times New Roman" w:hAnsi="Times New Roman"/>
                <w:i/>
                <w:sz w:val="20"/>
              </w:rPr>
              <w:t>If the obligor is an affiliate of the Trustee, describe each such affiliation.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Items 3-15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Items 3-15 are not applicable because to the best of the Trustees knowledge, the obligor is not in default under any Indenture for which the Trustee acts as Trustee.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LIST OF EXHIBITS: </w:t>
            </w:r>
            <w:r>
              <w:rPr>
                <w:rFonts w:ascii="Times New Roman" w:hAnsi="Times New Roman"/>
                <w:i/>
                <w:sz w:val="20"/>
              </w:rPr>
              <w:t xml:space="preserve">List below all exhibits filed as a part of this statement of eligibility and qualification.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Articles of Association of the Trustee, attached as Exhibit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certificate of authority of the Trustee to commence business, attached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included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attached as Exhibit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Indenture referred to in Item 4. 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Trust Indenture Act of 1939, attached as Exhibit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of Condition of the Trustee as of September 30, 2024, published pursuant to law or the requirements of its supervising or examining authority, attached as Exhibit 7.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Dallas, State of Texas on the 7th of February,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 Herberger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Michael K. Herberger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Vice President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U. 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organizing an association (the Association) to perform any lawful activities of national banks, the undersigned enter into the following Articles of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FIRST. </w:t>
      </w:r>
      <w:r>
        <w:rPr>
          <w:rFonts w:ascii="Times New Roman" w:hAnsi="Times New Roman"/>
          <w:sz w:val="20"/>
        </w:rPr>
        <w:t xml:space="preserve">The title of this Association shall be U. S. Bank Trust Company, National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SECOND. </w:t>
      </w:r>
      <w:r>
        <w:rPr>
          <w:rFonts w:ascii="Times New Roman" w:hAnsi="Times New Roman"/>
          <w:sz w:val="20"/>
        </w:rPr>
        <w:t xml:space="preserve">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 </w:t>
      </w:r>
    </w:p>
    <w:p>
      <w:pPr>
        <w:pStyle w:val="TextBody"/>
        <w:bidi w:val="0"/>
        <w:spacing w:before="240" w:after="0"/>
        <w:jc w:val="left"/>
        <w:rPr>
          <w:rFonts w:ascii="Times New Roman" w:hAnsi="Times New Roman"/>
          <w:sz w:val="20"/>
        </w:rPr>
      </w:pPr>
      <w:r>
        <w:rPr>
          <w:rFonts w:ascii="Times New Roman" w:hAnsi="Times New Roman"/>
          <w:sz w:val="20"/>
        </w:rPr>
        <w:t xml:space="preserve">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 </w:t>
      </w:r>
    </w:p>
    <w:p>
      <w:pPr>
        <w:pStyle w:val="TextBody"/>
        <w:bidi w:val="0"/>
        <w:spacing w:before="240" w:after="0"/>
        <w:jc w:val="left"/>
        <w:rPr>
          <w:rFonts w:ascii="Times New Roman" w:hAnsi="Times New Roman"/>
          <w:sz w:val="20"/>
        </w:rPr>
      </w:pPr>
      <w:r>
        <w:rPr>
          <w:rFonts w:ascii="Times New Roman" w:hAnsi="Times New Roman"/>
          <w:sz w:val="20"/>
        </w:rPr>
        <w:t xml:space="preserve">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 </w:t>
      </w:r>
    </w:p>
    <w:p>
      <w:pPr>
        <w:pStyle w:val="TextBody"/>
        <w:bidi w:val="0"/>
        <w:spacing w:before="240" w:after="0"/>
        <w:jc w:val="left"/>
        <w:rPr>
          <w:rFonts w:ascii="Times New Roman" w:hAnsi="Times New Roman"/>
          <w:sz w:val="20"/>
        </w:rPr>
      </w:pPr>
      <w:r>
        <w:rPr>
          <w:rFonts w:ascii="Times New Roman" w:hAnsi="Times New Roman"/>
          <w:sz w:val="20"/>
        </w:rPr>
        <w:t xml:space="preserve">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resign at any time by delivering written notice to the board of directors, its chairperson, or to the Association, which resignation shall be effective when the notice is delivered unless the notice specifies a later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 </w:t>
      </w:r>
    </w:p>
    <w:p>
      <w:pPr>
        <w:pStyle w:val="TextBody"/>
        <w:bidi w:val="0"/>
        <w:spacing w:before="24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the Associations stock are subject to the prior written approval of a federal depository institution regulatory agency. If no other agency approval is required, the approval of the Comptroller of the Currency must be obtained prior to any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Articles of Association or required by law, all shares of voting stock shall be voted together as a class, on any matters requiring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 </w:t>
      </w:r>
    </w:p>
    <w:p>
      <w:pPr>
        <w:pStyle w:val="TextBody"/>
        <w:bidi w:val="0"/>
        <w:spacing w:before="240" w:after="0"/>
        <w:jc w:val="left"/>
        <w:rPr>
          <w:rFonts w:ascii="Times New Roman" w:hAnsi="Times New Roman"/>
          <w:sz w:val="20"/>
        </w:rPr>
      </w:pPr>
      <w:r>
        <w:rPr>
          <w:rFonts w:ascii="Times New Roman" w:hAnsi="Times New Roman"/>
          <w:b/>
          <w:sz w:val="20"/>
        </w:rPr>
        <w:t xml:space="preserve">SIXTH. </w:t>
      </w:r>
      <w:r>
        <w:rPr>
          <w:rFonts w:ascii="Times New Roman" w:hAnsi="Times New Roman"/>
          <w:sz w:val="20"/>
        </w:rPr>
        <w:t xml:space="preserve">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have the power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 the duties of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Delegate the performance of its duties, but not the responsibility for its duties, to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compensation and enter employment contracts with its officers and employees upon reasonable terms and conditions consistent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bonds from officers and employees and to fix the penalty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written policies authorized by the Associations management or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administer the business and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initial Bylaws, not inconsistent with law or the Articles of Association, for managing the business and regulating the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repeal Bylaws, except to the extent that the Articles of Association reserve this power in whole or in part to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perform all acts that are legal for a board of directors to perform.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 xml:space="preserve">EIGHTH. </w:t>
      </w:r>
      <w:r>
        <w:rPr>
          <w:rFonts w:ascii="Times New Roman" w:hAnsi="Times New Roman"/>
          <w:sz w:val="20"/>
        </w:rPr>
        <w:t xml:space="preserve">The corporate existence of this Association shall continue until termination according to the laws of the United States. </w:t>
      </w:r>
    </w:p>
    <w:p>
      <w:pPr>
        <w:pStyle w:val="TextBody"/>
        <w:bidi w:val="0"/>
        <w:spacing w:before="240" w:after="0"/>
        <w:jc w:val="left"/>
        <w:rPr>
          <w:rFonts w:ascii="Times New Roman" w:hAnsi="Times New Roman"/>
          <w:sz w:val="20"/>
        </w:rPr>
      </w:pPr>
      <w:r>
        <w:rPr>
          <w:rFonts w:ascii="Times New Roman" w:hAnsi="Times New Roman"/>
          <w:b/>
          <w:sz w:val="20"/>
        </w:rPr>
        <w:t xml:space="preserve">NINTH. </w:t>
      </w:r>
      <w:r>
        <w:rPr>
          <w:rFonts w:ascii="Times New Roman" w:hAnsi="Times New Roman"/>
          <w:sz w:val="20"/>
        </w:rPr>
        <w:t xml:space="preserve">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 </w:t>
      </w:r>
    </w:p>
    <w:p>
      <w:pPr>
        <w:pStyle w:val="TextBody"/>
        <w:bidi w:val="0"/>
        <w:spacing w:before="240" w:after="0"/>
        <w:jc w:val="left"/>
        <w:rPr>
          <w:rFonts w:ascii="Times New Roman" w:hAnsi="Times New Roman"/>
          <w:sz w:val="20"/>
        </w:rPr>
      </w:pPr>
      <w:r>
        <w:rPr>
          <w:rFonts w:ascii="Times New Roman" w:hAnsi="Times New Roman"/>
          <w:b/>
          <w:sz w:val="20"/>
        </w:rPr>
        <w:t xml:space="preserve">TENTH. </w:t>
      </w:r>
      <w:r>
        <w:rPr>
          <w:rFonts w:ascii="Times New Roman" w:hAnsi="Times New Roman"/>
          <w:sz w:val="20"/>
        </w:rPr>
        <w:t xml:space="preserve">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we have hereunto set our hands this 11th of June, 1997.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T. Grubb</w:t>
            </w:r>
          </w:p>
        </w:tc>
      </w:tr>
      <w:tr>
        <w:trPr/>
        <w:tc>
          <w:tcPr>
            <w:tcW w:w="4082" w:type="dxa"/>
            <w:tcBorders/>
          </w:tcPr>
          <w:p>
            <w:pPr>
              <w:pStyle w:val="TableContents"/>
              <w:bidi w:val="0"/>
              <w:spacing w:before="0" w:after="283"/>
              <w:jc w:val="left"/>
              <w:rPr/>
            </w:pPr>
            <w:r>
              <w:rPr/>
              <w:t>Jeffrey T. Grubb</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D. Sznewajs</w:t>
            </w:r>
          </w:p>
        </w:tc>
      </w:tr>
      <w:tr>
        <w:trPr/>
        <w:tc>
          <w:tcPr>
            <w:tcW w:w="4082" w:type="dxa"/>
            <w:tcBorders/>
          </w:tcPr>
          <w:p>
            <w:pPr>
              <w:pStyle w:val="TableContents"/>
              <w:bidi w:val="0"/>
              <w:spacing w:before="0" w:after="283"/>
              <w:jc w:val="left"/>
              <w:rPr/>
            </w:pPr>
            <w:r>
              <w:rPr/>
              <w:t>Robert D. Sznewajs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Dwight V. Board</w:t>
            </w:r>
          </w:p>
        </w:tc>
      </w:tr>
      <w:tr>
        <w:trPr/>
        <w:tc>
          <w:tcPr>
            <w:tcW w:w="4082" w:type="dxa"/>
            <w:tcBorders/>
          </w:tcPr>
          <w:p>
            <w:pPr>
              <w:pStyle w:val="TableContents"/>
              <w:bidi w:val="0"/>
              <w:spacing w:before="0" w:after="283"/>
              <w:jc w:val="left"/>
              <w:rPr/>
            </w:pPr>
            <w:r>
              <w:rPr/>
              <w:t>Dwight V.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 K. Chatterjee</w:t>
            </w:r>
          </w:p>
        </w:tc>
      </w:tr>
      <w:tr>
        <w:trPr/>
        <w:tc>
          <w:tcPr>
            <w:tcW w:w="4082" w:type="dxa"/>
            <w:tcBorders/>
          </w:tcPr>
          <w:p>
            <w:pPr>
              <w:pStyle w:val="TableContents"/>
              <w:bidi w:val="0"/>
              <w:spacing w:before="0" w:after="283"/>
              <w:jc w:val="left"/>
              <w:rPr/>
            </w:pPr>
            <w:r>
              <w:rPr/>
              <w:t>P. K. Chatterjee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Lane</w:t>
            </w:r>
          </w:p>
        </w:tc>
      </w:tr>
      <w:tr>
        <w:trPr/>
        <w:tc>
          <w:tcPr>
            <w:tcW w:w="4082" w:type="dxa"/>
            <w:tcBorders/>
          </w:tcPr>
          <w:p>
            <w:pPr>
              <w:pStyle w:val="TableContents"/>
              <w:bidi w:val="0"/>
              <w:spacing w:before="0" w:after="283"/>
              <w:jc w:val="left"/>
              <w:rPr/>
            </w:pPr>
            <w:r>
              <w:rPr/>
              <w:t>Robert Lane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123"/>
        <w:gridCol w:w="4615"/>
        <w:gridCol w:w="123"/>
        <w:gridCol w:w="4631"/>
      </w:tblGrid>
      <w:tr>
        <w:trPr/>
        <w:tc>
          <w:tcPr>
            <w:tcW w:w="71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61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r>
      <w:tr>
        <w:trPr/>
        <w:tc>
          <w:tcPr>
            <w:tcW w:w="713" w:type="dxa"/>
            <w:vMerge w:val="restart"/>
            <w:tcBorders/>
          </w:tcPr>
          <w:p>
            <w:pPr>
              <w:pStyle w:val="TableContents"/>
              <w:bidi w:val="0"/>
              <w:spacing w:before="0" w:after="283"/>
              <w:jc w:val="left"/>
              <w:rPr/>
            </w:pPr>
            <w:r>
              <w:rPr/>
              <w:drawing>
                <wp:inline distT="0" distB="0" distL="0" distR="0">
                  <wp:extent cx="390525"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390525" cy="419100"/>
                          </a:xfrm>
                          <a:prstGeom prst="rect">
                            <a:avLst/>
                          </a:prstGeom>
                        </pic:spPr>
                      </pic:pic>
                    </a:graphicData>
                  </a:graphic>
                </wp:inline>
              </w:drawing>
            </w:r>
            <w:r>
              <w:rPr/>
              <w:t xml:space="preserve">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615" w:type="dxa"/>
            <w:tcBorders>
              <w:bottom w:val="single" w:sz="2" w:space="0" w:color="000000"/>
            </w:tcBorders>
            <w:tcMar>
              <w:bottom w:w="28" w:type="dxa"/>
            </w:tcMar>
            <w:vAlign w:val="bottom"/>
          </w:tcPr>
          <w:p>
            <w:pPr>
              <w:pStyle w:val="TableContents"/>
              <w:bidi w:val="0"/>
              <w:spacing w:before="0" w:after="283"/>
              <w:jc w:val="left"/>
              <w:rPr/>
            </w:pPr>
            <w:r>
              <w:rPr/>
              <w:t>Office of the Comptroller of the Currency</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4631" w:type="dxa"/>
            <w:tcBorders>
              <w:bottom w:val="single" w:sz="2" w:space="0" w:color="000000"/>
            </w:tcBorders>
            <w:tcMar>
              <w:bottom w:w="28" w:type="dxa"/>
            </w:tcMar>
          </w:tcPr>
          <w:p>
            <w:pPr>
              <w:pStyle w:val="TableContents"/>
              <w:bidi w:val="0"/>
              <w:spacing w:before="0" w:after="283"/>
              <w:jc w:val="left"/>
              <w:rPr/>
            </w:pPr>
            <w:r>
              <w:rPr/>
              <w:t> </w:t>
            </w:r>
          </w:p>
        </w:tc>
      </w:tr>
      <w:tr>
        <w:trPr/>
        <w:tc>
          <w:tcPr>
            <w:tcW w:w="713" w:type="dxa"/>
            <w:vMerge w:val="continue"/>
            <w:tcBorders/>
          </w:tcPr>
          <w:p>
            <w:pPr>
              <w:pStyle w:val="Normal"/>
              <w:bidi w:val="0"/>
              <w:jc w:val="left"/>
              <w:rPr/>
            </w:pPr>
            <w:r>
              <w:rPr/>
            </w:r>
          </w:p>
        </w:tc>
        <w:tc>
          <w:tcPr>
            <w:tcW w:w="123" w:type="dxa"/>
            <w:tcBorders/>
            <w:vAlign w:val="bottom"/>
          </w:tcPr>
          <w:p>
            <w:pPr>
              <w:pStyle w:val="TableContents"/>
              <w:bidi w:val="0"/>
              <w:spacing w:before="0" w:after="283"/>
              <w:jc w:val="left"/>
              <w:rPr/>
            </w:pPr>
            <w:r>
              <w:rPr/>
              <w:t>  </w:t>
            </w:r>
          </w:p>
        </w:tc>
        <w:tc>
          <w:tcPr>
            <w:tcW w:w="461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631" w:type="dxa"/>
            <w:tcBorders/>
          </w:tcPr>
          <w:p>
            <w:pPr>
              <w:pStyle w:val="TableContents"/>
              <w:bidi w:val="0"/>
              <w:spacing w:before="0" w:after="283"/>
              <w:jc w:val="right"/>
              <w:rPr/>
            </w:pPr>
            <w:r>
              <w:rPr/>
              <w:t>Washington, DC 20219</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CERTIFICATE OF CORPORATE EXISTENCE AND FIDUCIARY POWERS </w:t>
      </w:r>
    </w:p>
    <w:p>
      <w:pPr>
        <w:pStyle w:val="TextBody"/>
        <w:bidi w:val="0"/>
        <w:spacing w:before="240" w:after="0"/>
        <w:jc w:val="left"/>
        <w:rPr>
          <w:rFonts w:ascii="Times New Roman" w:hAnsi="Times New Roman"/>
          <w:sz w:val="20"/>
        </w:rPr>
      </w:pPr>
      <w:r>
        <w:rPr>
          <w:rFonts w:ascii="Times New Roman" w:hAnsi="Times New Roman"/>
          <w:sz w:val="20"/>
        </w:rPr>
        <w:t xml:space="preserve">I, Michael J. Hsu, Acting Comptroller of the Currency, do hereby certify that: </w:t>
      </w:r>
    </w:p>
    <w:p>
      <w:pPr>
        <w:pStyle w:val="TextBody"/>
        <w:bidi w:val="0"/>
        <w:spacing w:before="240" w:after="0"/>
        <w:jc w:val="left"/>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bidi w:val="0"/>
        <w:spacing w:before="240" w:after="0"/>
        <w:jc w:val="left"/>
        <w:rPr>
          <w:rFonts w:ascii="Times New Roman" w:hAnsi="Times New Roman"/>
          <w:sz w:val="20"/>
        </w:rPr>
      </w:pPr>
      <w:r>
        <w:rPr>
          <w:rFonts w:ascii="Times New Roman" w:hAnsi="Times New Roman"/>
          <w:sz w:val="20"/>
        </w:rPr>
        <w:t xml:space="preserve">2. U.S. Bank Trust Company National Association, Portland, Oregon (Charter No. 23412), is a national banking association formed under the laws of the United States and is authorized thereunder to transact the business of banking and exercise fiduciary powers on the date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IN TESTIMONY WHEREOF, today, October 7, 2024, I have hereunto subscribed my name and caused my seal of office to be affixed to these presents at the U.S. Department of the Treasury, in the City of Washington, District of Columbia.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8875" cy="2533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2"/>
                    <a:stretch>
                      <a:fillRect/>
                    </a:stretch>
                  </pic:blipFill>
                  <pic:spPr bwMode="auto">
                    <a:xfrm>
                      <a:off x="0" y="0"/>
                      <a:ext cx="2428875" cy="25336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2025-00037-C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4 </w:t>
      </w:r>
    </w:p>
    <w:p>
      <w:pPr>
        <w:pStyle w:val="TextBody"/>
        <w:bidi w:val="0"/>
        <w:spacing w:before="240" w:after="0"/>
        <w:jc w:val="center"/>
        <w:rPr>
          <w:rFonts w:ascii="Times New Roman" w:hAnsi="Times New Roman"/>
          <w:b/>
          <w:sz w:val="20"/>
        </w:rPr>
      </w:pPr>
      <w:r>
        <w:rPr>
          <w:rFonts w:ascii="Times New Roman" w:hAnsi="Times New Roman"/>
          <w:b/>
          <w:sz w:val="20"/>
        </w:rPr>
        <w:t>U.S. BANK TRUST COMPANY, NATIONAL ASSOCIATION</w:t>
      </w:r>
      <w:r>
        <w:rPr>
          <w:rFonts w:ascii="Times New Roman" w:hAnsi="Times New Roman"/>
          <w:b/>
          <w:sz w:val="20"/>
          <w:u w:val="single"/>
        </w:rPr>
        <w:t xml:space="preserve"> </w:t>
      </w:r>
    </w:p>
    <w:p>
      <w:pPr>
        <w:pStyle w:val="TextBody"/>
        <w:bidi w:val="0"/>
        <w:spacing w:before="240" w:after="0"/>
        <w:jc w:val="center"/>
        <w:rPr>
          <w:rFonts w:ascii="Times New Roman" w:hAnsi="Times New Roman"/>
          <w:b/>
          <w:sz w:val="20"/>
        </w:rPr>
      </w:pPr>
      <w:r>
        <w:rPr>
          <w:rFonts w:ascii="Times New Roman" w:hAnsi="Times New Roman"/>
          <w:b/>
          <w:sz w:val="20"/>
          <w:u w:val="single"/>
        </w:rPr>
        <w:t>AMENDED AND RESTATED BYLAWS</w:t>
      </w:r>
      <w:r>
        <w:rPr>
          <w:rFonts w:ascii="Times New Roman" w:hAnsi="Times New Roman"/>
          <w:b/>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Annual Meeting</w:t>
      </w:r>
      <w:r>
        <w:rPr>
          <w:rFonts w:ascii="Times New Roman" w:hAnsi="Times New Roman"/>
          <w:sz w:val="20"/>
        </w:rPr>
        <w:t xml:space="preserve">.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Special Meetings</w:t>
      </w:r>
      <w:r>
        <w:rPr>
          <w:rFonts w:ascii="Times New Roman" w:hAnsi="Times New Roman"/>
          <w:sz w:val="20"/>
        </w:rPr>
        <w:t xml:space="preserve">. Except as otherwise specially provided by law, special meetings of the shareholders may be called for any purpose, at any time by a majority of the board of directors (the Board), or by any shareholder or group of shareholders owning at least ten percent of the outstanding stock. </w:t>
      </w:r>
    </w:p>
    <w:p>
      <w:pPr>
        <w:pStyle w:val="TextBody"/>
        <w:bidi w:val="0"/>
        <w:spacing w:before="240" w:after="0"/>
        <w:jc w:val="left"/>
        <w:rPr>
          <w:rFonts w:ascii="Times New Roman" w:hAnsi="Times New Roman"/>
          <w:sz w:val="20"/>
        </w:rPr>
      </w:pPr>
      <w:r>
        <w:rPr>
          <w:rFonts w:ascii="Times New Roman" w:hAnsi="Times New Roman"/>
          <w:sz w:val="20"/>
        </w:rPr>
        <w:t xml:space="preserve">Every such special meeting, unless otherwise provided by law, shall be called upon not less than ten (10) days nor more than sixty (60) days prior notice stating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Nominations for Directors</w:t>
      </w:r>
      <w:r>
        <w:rPr>
          <w:rFonts w:ascii="Times New Roman" w:hAnsi="Times New Roman"/>
          <w:sz w:val="20"/>
        </w:rPr>
        <w:t xml:space="preserve">. Nominations for election to the Board may be made by the Board or by any shareholder.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Proxies</w:t>
      </w:r>
      <w:r>
        <w:rPr>
          <w:rFonts w:ascii="Times New Roman" w:hAnsi="Times New Roman"/>
          <w:sz w:val="20"/>
        </w:rPr>
        <w:t xml:space="preserve">. Shareholders may vote at any meeting of the shareholders by proxies duly authorized in writing. Proxies shall be valid only for one meeting and any adjournments of such meeting and shall be filed with the records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Record Date</w:t>
      </w:r>
      <w:r>
        <w:rPr>
          <w:rFonts w:ascii="Times New Roman" w:hAnsi="Times New Roman"/>
          <w:sz w:val="20"/>
        </w:rPr>
        <w:t xml:space="preserve">. The record date for determining shareholders entitled to notice and to vote at any meeting will be thirty days before the date of such meeting, unless otherwise determined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Quorum and Voting</w:t>
      </w:r>
      <w:r>
        <w:rPr>
          <w:rFonts w:ascii="Times New Roman" w:hAnsi="Times New Roman"/>
          <w:sz w:val="20"/>
        </w:rPr>
        <w:t xml:space="preserve">.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Inspectors</w:t>
      </w:r>
      <w:r>
        <w:rPr>
          <w:rFonts w:ascii="Times New Roman" w:hAnsi="Times New Roman"/>
          <w:sz w:val="20"/>
        </w:rPr>
        <w:t xml:space="preserve">.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Waiver and Consent</w:t>
      </w:r>
      <w:r>
        <w:rPr>
          <w:rFonts w:ascii="Times New Roman" w:hAnsi="Times New Roman"/>
          <w:sz w:val="20"/>
        </w:rPr>
        <w:t xml:space="preserve">. The shareholders may act without notice or a meeting by a unanimous written consent by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Remote Meetings</w:t>
      </w:r>
      <w:r>
        <w:rPr>
          <w:rFonts w:ascii="Times New Roman" w:hAnsi="Times New Roman"/>
          <w:sz w:val="20"/>
        </w:rPr>
        <w:t xml:space="preserve">. The Board shall have the right to determine that a shareholder meeting not be held at a place, but instead be held solely by means of remote communication in the manner and to the extent permitted by the General Corporation Law of the State of Delaware.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Board of Directors</w:t>
      </w:r>
      <w:r>
        <w:rPr>
          <w:rFonts w:ascii="Times New Roman" w:hAnsi="Times New Roman"/>
          <w:sz w:val="20"/>
        </w:rPr>
        <w:t xml:space="preserve">. The Board shall have the power to manage and administer the business and affairs of the Association. Except as expressly limited by law, all corporate powers of the Association shall be vested in and may be exercised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 of Office</w:t>
      </w:r>
      <w:r>
        <w:rPr>
          <w:rFonts w:ascii="Times New Roman" w:hAnsi="Times New Roman"/>
          <w:sz w:val="20"/>
        </w:rPr>
        <w:t xml:space="preserve">. The directors of this Association shall hold office for one year and until their successors are duly elected and qualified, or until their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Powers</w:t>
      </w:r>
      <w:r>
        <w:rPr>
          <w:rFonts w:ascii="Times New Roman" w:hAnsi="Times New Roman"/>
          <w:sz w:val="20"/>
        </w:rPr>
        <w:t xml:space="preserve">. In addition to the foregoing, the Board shall have and may exercise all of the powers granted to or conferred upon it by the Articles of Association, the Bylaws and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Number</w:t>
      </w:r>
      <w:r>
        <w:rPr>
          <w:rFonts w:ascii="Times New Roman" w:hAnsi="Times New Roman"/>
          <w:sz w:val="20"/>
        </w:rPr>
        <w:t xml:space="preserve">.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Organization Meeting</w:t>
      </w:r>
      <w:r>
        <w:rPr>
          <w:rFonts w:ascii="Times New Roman" w:hAnsi="Times New Roman"/>
          <w:sz w:val="20"/>
        </w:rPr>
        <w:t xml:space="preserve">.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Regular Meetings</w:t>
      </w:r>
      <w:r>
        <w:rPr>
          <w:rFonts w:ascii="Times New Roman" w:hAnsi="Times New Roman"/>
          <w:sz w:val="20"/>
        </w:rPr>
        <w:t xml:space="preserve">. The regular meetings of the Board shall be held, without notice, as the Chairman or President may designate and deem suitable.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Special Meetings</w:t>
      </w:r>
      <w:r>
        <w:rPr>
          <w:rFonts w:ascii="Times New Roman" w:hAnsi="Times New Roman"/>
          <w:sz w:val="20"/>
        </w:rPr>
        <w:t xml:space="preserve">.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Quorum and Necessary Vote</w:t>
      </w:r>
      <w:r>
        <w:rPr>
          <w:rFonts w:ascii="Times New Roman" w:hAnsi="Times New Roman"/>
          <w:sz w:val="20"/>
        </w:rPr>
        <w:t xml:space="preserve">.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Written Consent</w:t>
      </w:r>
      <w:r>
        <w:rPr>
          <w:rFonts w:ascii="Times New Roman" w:hAnsi="Times New Roman"/>
          <w:sz w:val="20"/>
        </w:rPr>
        <w:t xml:space="preserve">. Except as otherwise required by applicable laws and regulations, the Board may act without a meeting by a unanimous written consent by all directors, to be filed with the Secretary of the Association as part of the corporate records.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Remote Meetings</w:t>
      </w:r>
      <w:r>
        <w:rPr>
          <w:rFonts w:ascii="Times New Roman" w:hAnsi="Times New Roman"/>
          <w:sz w:val="20"/>
        </w:rPr>
        <w:t xml:space="preserve">.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Vacancies</w:t>
      </w:r>
      <w:r>
        <w:rPr>
          <w:rFonts w:ascii="Times New Roman" w:hAnsi="Times New Roman"/>
          <w:sz w:val="20"/>
        </w:rPr>
        <w:t xml:space="preserve">. When any vacancy occurs among the directors, the remaining members of the Board may appoint a director to fill such vacancy at any regular meeting of the Board, or at a special meeting called for that purpose.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Advisory Board of Directors</w:t>
      </w:r>
      <w:r>
        <w:rPr>
          <w:rFonts w:ascii="Times New Roman" w:hAnsi="Times New Roman"/>
          <w:sz w:val="20"/>
        </w:rPr>
        <w:t xml:space="preserve">.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Trust Audit Committee</w:t>
      </w:r>
      <w:r>
        <w:rPr>
          <w:rFonts w:ascii="Times New Roman" w:hAnsi="Times New Roman"/>
          <w:sz w:val="20"/>
        </w:rPr>
        <w:t xml:space="preserve">.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Audit Committee of the financial holding company that is the ultimate parent of this Association, fulfilling the function of the trust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(1) Must not include any officers of the Association or an affiliate who participate significantly in the administration of the Associations fiduciary activities; and </w:t>
      </w:r>
    </w:p>
    <w:p>
      <w:pPr>
        <w:pStyle w:val="TextBody"/>
        <w:bidi w:val="0"/>
        <w:spacing w:before="120" w:after="0"/>
        <w:jc w:val="left"/>
        <w:rPr>
          <w:rFonts w:ascii="Times New Roman" w:hAnsi="Times New Roman"/>
          <w:sz w:val="20"/>
        </w:rPr>
      </w:pPr>
      <w:r>
        <w:rPr>
          <w:rFonts w:ascii="Times New Roman" w:hAnsi="Times New Roman"/>
          <w:sz w:val="20"/>
        </w:rPr>
        <w:t xml:space="preserve">(2) Must consist of a majority of members who are not also members of any committee to which the Board has delegated power to manage and control the fiduciary activities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Executive Committee</w:t>
      </w:r>
      <w:r>
        <w:rPr>
          <w:rFonts w:ascii="Times New Roman" w:hAnsi="Times New Roman"/>
          <w:sz w:val="20"/>
        </w:rPr>
        <w:t xml:space="preserve">. The Board may appoint an Executive Committee which shall consist of at least three directors and which shall have, and may exercise, to the extent permitted by applicable law, all the powers of the Board between meetings of the Board or otherwise when the Board is not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Trust Management Committee</w:t>
      </w:r>
      <w:r>
        <w:rPr>
          <w:rFonts w:ascii="Times New Roman" w:hAnsi="Times New Roman"/>
          <w:sz w:val="20"/>
        </w:rPr>
        <w:t xml:space="preserve">.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Other Committees</w:t>
      </w:r>
      <w:r>
        <w:rPr>
          <w:rFonts w:ascii="Times New Roman" w:hAnsi="Times New Roman"/>
          <w:sz w:val="20"/>
        </w:rPr>
        <w:t xml:space="preserve">.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Meetings, Minutes and Rules</w:t>
      </w:r>
      <w:r>
        <w:rPr>
          <w:rFonts w:ascii="Times New Roman" w:hAnsi="Times New Roman"/>
          <w:sz w:val="20"/>
        </w:rPr>
        <w:t xml:space="preserve">.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Chairman of the Board</w:t>
      </w:r>
      <w:r>
        <w:rPr>
          <w:rFonts w:ascii="Times New Roman" w:hAnsi="Times New Roman"/>
          <w:sz w:val="20"/>
        </w:rPr>
        <w:t xml:space="preserve">.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President</w:t>
      </w:r>
      <w:r>
        <w:rPr>
          <w:rFonts w:ascii="Times New Roman" w:hAnsi="Times New Roman"/>
          <w:sz w:val="20"/>
        </w:rPr>
        <w:t xml:space="preserve">.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Vice President</w:t>
      </w:r>
      <w:r>
        <w:rPr>
          <w:rFonts w:ascii="Times New Roman" w:hAnsi="Times New Roman"/>
          <w:sz w:val="20"/>
        </w:rPr>
        <w:t xml:space="preserve">.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Secretary</w:t>
      </w:r>
      <w:r>
        <w:rPr>
          <w:rFonts w:ascii="Times New Roman" w:hAnsi="Times New Roman"/>
          <w:sz w:val="20"/>
        </w:rPr>
        <w:t xml:space="preserve">.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Other Officers</w:t>
      </w:r>
      <w:r>
        <w:rPr>
          <w:rFonts w:ascii="Times New Roman" w:hAnsi="Times New Roman"/>
          <w:sz w:val="20"/>
        </w:rPr>
        <w:t xml:space="preserve">.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Tenure of Office</w:t>
      </w:r>
      <w:r>
        <w:rPr>
          <w:rFonts w:ascii="Times New Roman" w:hAnsi="Times New Roman"/>
          <w:sz w:val="20"/>
        </w:rPr>
        <w:t xml:space="preserve">.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Corporate Seal </w:t>
      </w:r>
    </w:p>
    <w:p>
      <w:pPr>
        <w:pStyle w:val="TextBody"/>
        <w:bidi w:val="0"/>
        <w:spacing w:before="240" w:after="0"/>
        <w:jc w:val="left"/>
        <w:rPr>
          <w:rFonts w:ascii="Times New Roman" w:hAnsi="Times New Roman"/>
          <w:sz w:val="20"/>
        </w:rPr>
      </w:pPr>
      <w:r>
        <w:rPr>
          <w:rFonts w:ascii="Times New Roman" w:hAnsi="Times New Roman"/>
          <w:sz w:val="20"/>
        </w:rPr>
        <w:t xml:space="preserve">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VII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Execution of Instruments</w:t>
      </w:r>
      <w:r>
        <w:rPr>
          <w:rFonts w:ascii="Times New Roman" w:hAnsi="Times New Roman"/>
          <w:sz w:val="20"/>
        </w:rPr>
        <w:t xml:space="preserve">.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Records</w:t>
      </w:r>
      <w:r>
        <w:rPr>
          <w:rFonts w:ascii="Times New Roman" w:hAnsi="Times New Roman"/>
          <w:sz w:val="20"/>
        </w:rPr>
        <w:t xml:space="preserve">.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Trust Files</w:t>
      </w:r>
      <w:r>
        <w:rPr>
          <w:rFonts w:ascii="Times New Roman" w:hAnsi="Times New Roman"/>
          <w:sz w:val="20"/>
        </w:rPr>
        <w:t xml:space="preserve">. There shall be maintained in the Association files all fiduciary records necessary to assure that its fiduciary responsibilities have been properly undertaken and discharged.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 Investments</w:t>
      </w:r>
      <w:r>
        <w:rPr>
          <w:rFonts w:ascii="Times New Roman" w:hAnsi="Times New Roman"/>
          <w:sz w:val="20"/>
        </w:rPr>
        <w:t xml:space="preserve">.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w:t>
      </w:r>
      <w:r>
        <w:rPr>
          <w:rFonts w:ascii="Times New Roman" w:hAnsi="Times New Roman"/>
          <w:sz w:val="20"/>
        </w:rPr>
        <w:t xml:space="preserve">.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Except where specified otherwise in these Bylaws, prior notice shall be proper if given not more than 30 days nor less than 10 days prior to the event for which notice is given.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VIII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 </w:t>
      </w:r>
    </w:p>
    <w:p>
      <w:pPr>
        <w:pStyle w:val="TextBody"/>
        <w:bidi w:val="0"/>
        <w:spacing w:before="240" w:after="0"/>
        <w:jc w:val="left"/>
        <w:rPr>
          <w:rFonts w:ascii="Times New Roman" w:hAnsi="Times New Roman"/>
          <w:sz w:val="20"/>
        </w:rPr>
      </w:pPr>
      <w:r>
        <w:rPr>
          <w:rFonts w:ascii="Times New Roman" w:hAnsi="Times New Roman"/>
          <w:sz w:val="20"/>
        </w:rPr>
        <w:t xml:space="preserve">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Bylaws: Interpretation and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9.1. These Bylaws shall be interpreted in accordance with and subject to appropriate provisions of law, and may be added to, altered, amended, or repealed, at any regular or special meeting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9.2. A copy of the Bylaws and all amendments shall at all times be kept in a convenient place at the principal office of the Association, and shall be open for inspection to all shareholders during Association hours.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Fiscal Year</w:t>
      </w:r>
      <w:r>
        <w:rPr>
          <w:rFonts w:ascii="Times New Roman" w:hAnsi="Times New Roman"/>
          <w:sz w:val="20"/>
        </w:rPr>
        <w:t xml:space="preserve">. The fiscal year of the Association shall begin on the first day of January in each year and shall end on the thirty-first day of December following.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w:t>
      </w:r>
      <w:r>
        <w:rPr>
          <w:rFonts w:ascii="Times New Roman" w:hAnsi="Times New Roman"/>
          <w:sz w:val="20"/>
        </w:rPr>
        <w:t xml:space="preserve">. This Association designates the Delaware General Corporation Law, as amended from time to time, as the governing law for its corporate governance procedures, to the extent not inconsistent with Federal banking statutes and regulations or bank safety and soundness.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(February 8, 2021)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bidi w:val="0"/>
        <w:spacing w:before="240" w:after="0"/>
        <w:jc w:val="left"/>
        <w:rPr>
          <w:rFonts w:ascii="Times New Roman" w:hAnsi="Times New Roman"/>
          <w:sz w:val="20"/>
        </w:rPr>
      </w:pPr>
      <w:r>
        <w:rPr>
          <w:rFonts w:ascii="Times New Roman" w:hAnsi="Times New Roman"/>
          <w:sz w:val="20"/>
        </w:rPr>
        <w:t xml:space="preserve">Dated: February 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 Herberger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Michael K. Herberger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as of 9/30/2024 </w:t>
      </w:r>
    </w:p>
    <w:p>
      <w:pPr>
        <w:pStyle w:val="TextBody"/>
        <w:bidi w:val="0"/>
        <w:spacing w:before="240" w:after="0"/>
        <w:jc w:val="center"/>
        <w:rPr>
          <w:rFonts w:ascii="Times New Roman" w:hAnsi="Times New Roman"/>
          <w:b/>
          <w:sz w:val="20"/>
        </w:rPr>
      </w:pPr>
      <w:r>
        <w:rPr>
          <w:rFonts w:ascii="Times New Roman" w:hAnsi="Times New Roman"/>
          <w:b/>
          <w:sz w:val="20"/>
        </w:rPr>
        <w:t xml:space="preserve">($000s)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91"/>
        <w:gridCol w:w="240"/>
        <w:gridCol w:w="140"/>
        <w:gridCol w:w="1071"/>
        <w:gridCol w:w="63"/>
      </w:tblGrid>
      <w:tr>
        <w:trPr/>
        <w:tc>
          <w:tcPr>
            <w:tcW w:w="8691"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69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9/30/2024</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r>
              <w:rPr/>
              <w:t>1,551,827</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4,568</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&amp; Lease Financing Receivables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1,070</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576,760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153,717</w:t>
            </w:r>
          </w:p>
        </w:tc>
        <w:tc>
          <w:tcPr>
            <w:tcW w:w="63" w:type="dxa"/>
            <w:tcBorders/>
            <w:vAlign w:val="bottom"/>
          </w:tcPr>
          <w:p>
            <w:pPr>
              <w:pStyle w:val="TableContents"/>
              <w:bidi w:val="0"/>
              <w:spacing w:before="0" w:after="283"/>
              <w:jc w:val="left"/>
              <w:rPr/>
            </w:pPr>
            <w:r>
              <w:rPr/>
              <w:t> </w:t>
            </w:r>
          </w:p>
        </w:tc>
      </w:tr>
      <w:tr>
        <w:trPr/>
        <w:tc>
          <w:tcPr>
            <w:tcW w:w="869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71" w:type="dxa"/>
            <w:tcBorders/>
            <w:shd w:fill="CCEEFF" w:val="clear"/>
            <w:vAlign w:val="bottom"/>
          </w:tcPr>
          <w:p>
            <w:pPr>
              <w:pStyle w:val="TableContents"/>
              <w:bidi w:val="0"/>
              <w:spacing w:before="0" w:after="283"/>
              <w:jc w:val="right"/>
              <w:rPr>
                <w:b/>
              </w:rPr>
            </w:pPr>
            <w:r>
              <w:rPr>
                <w:b/>
              </w:rPr>
              <w:t>2,287,942</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Fed Funds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Demand Notes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Acceptances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215,240</w:t>
            </w:r>
          </w:p>
        </w:tc>
        <w:tc>
          <w:tcPr>
            <w:tcW w:w="63" w:type="dxa"/>
            <w:tcBorders/>
            <w:vAlign w:val="bottom"/>
          </w:tcPr>
          <w:p>
            <w:pPr>
              <w:pStyle w:val="TableContents"/>
              <w:bidi w:val="0"/>
              <w:spacing w:before="0" w:after="283"/>
              <w:jc w:val="left"/>
              <w:rPr/>
            </w:pPr>
            <w:r>
              <w:rPr/>
              <w:t> </w:t>
            </w:r>
          </w:p>
        </w:tc>
      </w:tr>
      <w:tr>
        <w:trPr/>
        <w:tc>
          <w:tcPr>
            <w:tcW w:w="869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71" w:type="dxa"/>
            <w:tcBorders/>
            <w:shd w:fill="CCEEFF" w:val="clear"/>
            <w:vAlign w:val="bottom"/>
          </w:tcPr>
          <w:p>
            <w:pPr>
              <w:pStyle w:val="TableContents"/>
              <w:bidi w:val="0"/>
              <w:spacing w:before="0" w:after="283"/>
              <w:jc w:val="right"/>
              <w:rPr>
                <w:b/>
              </w:rPr>
            </w:pPr>
            <w:r>
              <w:rPr>
                <w:b/>
              </w:rPr>
              <w:t>215,240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and Preferred Stock</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200</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Surplus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1,171,635</w:t>
            </w:r>
          </w:p>
        </w:tc>
        <w:tc>
          <w:tcPr>
            <w:tcW w:w="63" w:type="dxa"/>
            <w:tcBorders/>
            <w:vAlign w:val="bottom"/>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Undivided Profits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900,867</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Minority Interest in Subsidiaries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869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Capital</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71" w:type="dxa"/>
            <w:tcBorders/>
            <w:shd w:fill="CCEEFF" w:val="clear"/>
            <w:vAlign w:val="bottom"/>
          </w:tcPr>
          <w:p>
            <w:pPr>
              <w:pStyle w:val="TableContents"/>
              <w:bidi w:val="0"/>
              <w:spacing w:before="0" w:after="283"/>
              <w:jc w:val="right"/>
              <w:rPr>
                <w:b/>
              </w:rPr>
            </w:pPr>
            <w:r>
              <w:rPr>
                <w:b/>
              </w:rPr>
              <w:t>2,072,702</w:t>
            </w:r>
          </w:p>
        </w:tc>
        <w:tc>
          <w:tcPr>
            <w:tcW w:w="63" w:type="dxa"/>
            <w:tcBorders/>
            <w:shd w:fill="CCEEFF" w:val="clear"/>
            <w:vAlign w:val="bottom"/>
          </w:tcPr>
          <w:p>
            <w:pPr>
              <w:pStyle w:val="TableContents"/>
              <w:bidi w:val="0"/>
              <w:spacing w:before="0" w:after="283"/>
              <w:jc w:val="left"/>
              <w:rPr/>
            </w:pPr>
            <w:r>
              <w:rPr/>
              <w:t> </w:t>
            </w:r>
          </w:p>
        </w:tc>
      </w:tr>
      <w:tr>
        <w:trPr/>
        <w:tc>
          <w:tcPr>
            <w:tcW w:w="869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Capital</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71" w:type="dxa"/>
            <w:tcBorders/>
            <w:vAlign w:val="bottom"/>
          </w:tcPr>
          <w:p>
            <w:pPr>
              <w:pStyle w:val="TableContents"/>
              <w:bidi w:val="0"/>
              <w:spacing w:before="0" w:after="283"/>
              <w:jc w:val="right"/>
              <w:rPr>
                <w:b/>
              </w:rPr>
            </w:pPr>
            <w:r>
              <w:rPr>
                <w:b/>
              </w:rPr>
              <w:t>2,287,942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23" w:name="d930306dexfilingfees.htm"/>
      <w:bookmarkStart w:id="24" w:name="ksd930306dexfilingfees"/>
      <w:bookmarkEnd w:id="23"/>
      <w:bookmarkEnd w:id="24"/>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sz w:val="20"/>
        </w:rPr>
      </w:pPr>
      <w:r>
        <w:rPr>
          <w:rFonts w:ascii="Times New Roman" w:hAnsi="Times New Roman"/>
          <w:sz w:val="20"/>
        </w:rPr>
        <w:t xml:space="preserve">Form </w:t>
      </w:r>
    </w:p>
    <w:p>
      <w:pPr>
        <w:pStyle w:val="TextBody"/>
        <w:bidi w:val="0"/>
        <w:spacing w:before="240" w:after="0"/>
        <w:jc w:val="center"/>
        <w:rPr>
          <w:rFonts w:ascii="Times New Roman" w:hAnsi="Times New Roman"/>
          <w:spacing w:val="0"/>
          <w:sz w:val="20"/>
        </w:rPr>
      </w:pPr>
      <w:r>
        <w:rPr>
          <w:rFonts w:ascii="Times New Roman" w:hAnsi="Times New Roman"/>
          <w:spacing w:val="0"/>
          <w:sz w:val="20"/>
        </w:rPr>
        <w:t>S-3</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sz w:val="20"/>
        </w:rPr>
      </w:pPr>
      <w:r>
        <w:rPr>
          <w:rFonts w:ascii="Times New Roman" w:hAnsi="Times New Roman"/>
          <w:sz w:val="20"/>
        </w:rPr>
        <w:t xml:space="preserve">Texas Instruments Incorporated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w:t>
      </w:r>
    </w:p>
    <w:p>
      <w:pPr>
        <w:pStyle w:val="TextBody"/>
        <w:bidi w:val="0"/>
        <w:spacing w:before="0" w:after="0"/>
        <w:jc w:val="center"/>
        <w:rPr>
          <w:rFonts w:ascii="Times New Roman" w:hAnsi="Times New Roman"/>
          <w:sz w:val="20"/>
        </w:rPr>
      </w:pPr>
      <w:r>
        <w:rPr>
          <w:rFonts w:ascii="Times New Roman" w:hAnsi="Times New Roman"/>
          <w:sz w:val="20"/>
        </w:rPr>
        <w:t xml:space="preserve">Charter) </w:t>
      </w:r>
    </w:p>
    <w:p>
      <w:pPr>
        <w:pStyle w:val="TextBody"/>
        <w:bidi w:val="0"/>
        <w:spacing w:before="480" w:after="0"/>
        <w:jc w:val="center"/>
        <w:rPr>
          <w:rFonts w:ascii="Times New Roman" w:hAnsi="Times New Roman"/>
          <w:spacing w:val="0"/>
          <w:sz w:val="20"/>
          <w:u w:val="single"/>
        </w:rPr>
      </w:pPr>
      <w:r>
        <w:rPr>
          <w:rFonts w:ascii="Times New Roman" w:hAnsi="Times New Roman"/>
          <w:spacing w:val="0"/>
          <w:sz w:val="20"/>
          <w:u w:val="single"/>
        </w:rPr>
        <w:t xml:space="preserve">Table 1: Newly Registered Securities </w:t>
      </w:r>
    </w:p>
    <w:p>
      <w:pPr>
        <w:pStyle w:val="TextBody"/>
        <w:bidi w:val="0"/>
        <w:spacing w:before="0" w:after="0"/>
        <w:jc w:val="left"/>
        <w:rPr/>
      </w:pPr>
      <w:r>
        <w:rPr/>
        <w:t> </w:t>
      </w:r>
    </w:p>
    <w:tbl>
      <w:tblPr>
        <w:tblW w:w="10065" w:type="dxa"/>
        <w:jc w:val="left"/>
        <w:tblInd w:w="0" w:type="dxa"/>
        <w:tblLayout w:type="fixed"/>
        <w:tblCellMar>
          <w:top w:w="0" w:type="dxa"/>
          <w:left w:w="0" w:type="dxa"/>
          <w:bottom w:w="0" w:type="dxa"/>
          <w:right w:w="0" w:type="dxa"/>
        </w:tblCellMar>
      </w:tblPr>
      <w:tblGrid>
        <w:gridCol w:w="1520"/>
        <w:gridCol w:w="60"/>
        <w:gridCol w:w="800"/>
        <w:gridCol w:w="60"/>
        <w:gridCol w:w="1505"/>
        <w:gridCol w:w="60"/>
        <w:gridCol w:w="1100"/>
        <w:gridCol w:w="60"/>
        <w:gridCol w:w="1025"/>
        <w:gridCol w:w="60"/>
        <w:gridCol w:w="995"/>
        <w:gridCol w:w="60"/>
        <w:gridCol w:w="1010"/>
        <w:gridCol w:w="60"/>
        <w:gridCol w:w="455"/>
        <w:gridCol w:w="60"/>
        <w:gridCol w:w="117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Security</w:t>
              <w:br/>
              <w:t>Type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Security</w:t>
              <w:b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Fee</w:t>
              <w:br/>
              <w:t>Calculation</w:t>
              <w:br/>
              <w:t>Rule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Amount</w:t>
              <w:br/>
              <w:t>Registered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center"/>
              <w:rPr/>
            </w:pPr>
            <w:r>
              <w:rPr/>
              <w:t>Proposed</w:t>
              <w:br/>
              <w:t>Maximum</w:t>
              <w:br/>
              <w:t>Offering</w:t>
              <w:br/>
              <w:t>Price Per</w:t>
              <w:br/>
              <w:t>Unit</w:t>
            </w:r>
          </w:p>
          <w:p>
            <w:pPr>
              <w:pStyle w:val="TableContents"/>
              <w:bidi w:val="0"/>
              <w:spacing w:before="0" w:after="0"/>
              <w:jc w:val="center"/>
              <w:rPr>
                <w:sz w:val="8"/>
              </w:rPr>
            </w:pPr>
            <w:r>
              <w:rPr>
                <w:sz w:val="8"/>
              </w:rPr>
              <w:t xml:space="preserve">(1)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Maximum</w:t>
              <w:br/>
              <w:t>Aggregate</w:t>
              <w:br/>
              <w:t>Offering</w:t>
              <w:br/>
              <w:t>Price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Fee</w:t>
              <w:br/>
              <w:t>Rate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Amount of</w:t>
              <w:br/>
              <w:t>Registration</w:t>
              <w:br/>
              <w:t>Fee</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center"/>
              <w:rPr/>
            </w:pPr>
            <w:r>
              <w:rPr/>
              <w:t>Fees to Be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Common Stock</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Common Stock</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center"/>
              <w:rPr/>
            </w:pPr>
            <w:r>
              <w:rPr/>
              <w:t>—</w:t>
            </w:r>
          </w:p>
          <w:p>
            <w:pPr>
              <w:pStyle w:val="TableContents"/>
              <w:bidi w:val="0"/>
              <w:spacing w:before="0" w:after="0"/>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center"/>
              <w:rPr/>
            </w:pPr>
            <w:r>
              <w:rPr/>
              <w:t>Fees to Be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Preferred Stock</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Preferred Stock</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center"/>
              <w:rPr/>
            </w:pPr>
            <w:r>
              <w:rPr/>
              <w:t>—</w:t>
            </w:r>
          </w:p>
          <w:p>
            <w:pPr>
              <w:pStyle w:val="TableContents"/>
              <w:bidi w:val="0"/>
              <w:spacing w:before="0" w:after="0"/>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center"/>
              <w:rPr/>
            </w:pPr>
            <w:r>
              <w:rPr/>
              <w:t>Fees to Be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Debt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Debt Securities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Debt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Debt Securities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center"/>
              <w:rPr/>
            </w:pPr>
            <w:r>
              <w:rPr/>
              <w:t>—</w:t>
            </w:r>
          </w:p>
          <w:p>
            <w:pPr>
              <w:pStyle w:val="TableContents"/>
              <w:bidi w:val="0"/>
              <w:spacing w:before="0" w:after="0"/>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center"/>
              <w:rPr/>
            </w:pPr>
            <w:r>
              <w:rPr/>
              <w:t>Fees to Be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Warrants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Warrants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center"/>
              <w:rPr/>
            </w:pPr>
            <w:r>
              <w:rPr/>
              <w:t>—</w:t>
            </w:r>
          </w:p>
          <w:p>
            <w:pPr>
              <w:pStyle w:val="TableContents"/>
              <w:bidi w:val="0"/>
              <w:spacing w:before="0" w:after="0"/>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center"/>
              <w:rPr/>
            </w:pPr>
            <w:r>
              <w:rPr/>
              <w:t>Fees to Be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Units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56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Previously</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Other</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Units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670"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610" w:type="dxa"/>
            <w:gridSpan w:val="7"/>
            <w:tcBorders/>
            <w:vAlign w:val="center"/>
          </w:tcPr>
          <w:p>
            <w:pPr>
              <w:pStyle w:val="TableContents"/>
              <w:bidi w:val="0"/>
              <w:spacing w:before="0" w:after="283"/>
              <w:jc w:val="center"/>
              <w:rPr/>
            </w:pPr>
            <w:r>
              <w:rPr/>
              <w:t>Total Offering Amounts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670"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610" w:type="dxa"/>
            <w:gridSpan w:val="7"/>
            <w:tcBorders/>
            <w:vAlign w:val="center"/>
          </w:tcPr>
          <w:p>
            <w:pPr>
              <w:pStyle w:val="TableContents"/>
              <w:bidi w:val="0"/>
              <w:spacing w:before="0" w:after="283"/>
              <w:jc w:val="center"/>
              <w:rPr/>
            </w:pPr>
            <w:r>
              <w:rPr/>
              <w:t>Total Fees Previously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670"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610" w:type="dxa"/>
            <w:gridSpan w:val="7"/>
            <w:tcBorders/>
            <w:vAlign w:val="center"/>
          </w:tcPr>
          <w:p>
            <w:pPr>
              <w:pStyle w:val="TableContents"/>
              <w:bidi w:val="0"/>
              <w:spacing w:before="0" w:after="283"/>
              <w:jc w:val="center"/>
              <w:rPr/>
            </w:pPr>
            <w:r>
              <w:rPr/>
              <w:t>Total Fee Offsets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152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4670" w:type="dxa"/>
            <w:gridSpan w:val="8"/>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51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52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10" w:type="dxa"/>
            <w:gridSpan w:val="7"/>
            <w:tcBorders>
              <w:bottom w:val="single" w:sz="6" w:space="0" w:color="000000"/>
            </w:tcBorders>
            <w:tcMar>
              <w:bottom w:w="28" w:type="dxa"/>
            </w:tcMar>
            <w:vAlign w:val="center"/>
          </w:tcPr>
          <w:p>
            <w:pPr>
              <w:pStyle w:val="TableContents"/>
              <w:bidi w:val="0"/>
              <w:spacing w:before="0" w:after="283"/>
              <w:jc w:val="center"/>
              <w:rPr/>
            </w:pPr>
            <w:r>
              <w:rPr/>
              <w:t>Net Fee Due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5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7476/000009747625000007/txn-20241231.htm" TargetMode="External"/><Relationship Id="rId4" Type="http://schemas.openxmlformats.org/officeDocument/2006/relationships/hyperlink" Target="http://www.sec.gov/Archives/edgar/data/97476/000009747611000066/d8a12b.htm" TargetMode="External"/><Relationship Id="rId5" Type="http://schemas.openxmlformats.org/officeDocument/2006/relationships/hyperlink" Target="http://www.sec.gov/Archives/edgar/data/97476/000119312519048076/d710795dex11.htm" TargetMode="External"/><Relationship Id="rId6" Type="http://schemas.openxmlformats.org/officeDocument/2006/relationships/hyperlink" Target="http://www.sec.gov/Archives/edgar/data/97476/000009747615000003/txn-12312014xexhibit3a.htm" TargetMode="External"/><Relationship Id="rId7" Type="http://schemas.openxmlformats.org/officeDocument/2006/relationships/hyperlink" Target="http://www.sec.gov/Archives/edgar/data/97476/000119312522018409/d252810dex3.htm" TargetMode="External"/><Relationship Id="rId8" Type="http://schemas.openxmlformats.org/officeDocument/2006/relationships/hyperlink" Target="http://www.sec.gov/Archives/edgar/data/97476/000119312511147104/dex42.htm" TargetMode="External"/><Relationship Id="rId9" Type="http://schemas.openxmlformats.org/officeDocument/2006/relationships/hyperlink" Target="http://www.sec.gov/Archives/edgar/data/97476/000119312511147104/dex42.htm" TargetMode="Externa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22995</Words>
  <Characters>118418</Characters>
  <CharactersWithSpaces>141784</CharactersWithSpaces>
  <Paragraphs>2049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EX-25.1</dc:title>
</cp:coreProperties>
</file>