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333-262523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February 5, 2024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February 5, 2024</w:t>
      </w:r>
    </w:p>
    <w:p>
      <w:pPr>
        <w:spacing w:after="0" w:line="203" w:lineRule="exact"/>
        <w:rPr>
          <w:sz w:val="24"/>
          <w:szCs w:val="24"/>
          <w:color w:val="auto"/>
        </w:rPr>
      </w:pPr>
    </w:p>
    <w:p>
      <w:pPr>
        <w:jc w:val="center"/>
        <w:ind w:right="378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43" w:lineRule="exact"/>
        <w:rPr>
          <w:sz w:val="24"/>
          <w:szCs w:val="24"/>
          <w:color w:val="auto"/>
        </w:rPr>
      </w:pPr>
    </w:p>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0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4.600% Notes due 2027</w:t>
      </w:r>
    </w:p>
    <w:p>
      <w:pPr>
        <w:spacing w:after="0" w:line="252"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$650,000,000 (the “2027 Notes”)</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February 8, 2027</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4.600%</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99.936% of principal amount</w:t>
      </w:r>
    </w:p>
    <w:p>
      <w:pPr>
        <w:spacing w:after="0" w:line="117" w:lineRule="exact"/>
        <w:rPr>
          <w:sz w:val="24"/>
          <w:szCs w:val="24"/>
          <w:color w:val="auto"/>
        </w:rPr>
      </w:pPr>
    </w:p>
    <w:p>
      <w:pPr>
        <w:ind w:left="1980" w:right="480"/>
        <w:spacing w:after="0" w:line="282" w:lineRule="auto"/>
        <w:rPr>
          <w:sz w:val="20"/>
          <w:szCs w:val="20"/>
          <w:color w:val="auto"/>
        </w:rPr>
      </w:pPr>
      <w:r>
        <w:rPr>
          <w:rFonts w:ascii="Times New Roman" w:cs="Times New Roman" w:eastAsia="Times New Roman" w:hAnsi="Times New Roman"/>
          <w:sz w:val="18"/>
          <w:szCs w:val="18"/>
          <w:color w:val="auto"/>
        </w:rPr>
        <w:t>February 8 and August 8, beginning on August 8, 2024, and on the maturity date</w:t>
      </w:r>
    </w:p>
    <w:p>
      <w:pPr>
        <w:spacing w:after="0" w:line="5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$648,284,000</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4.000% due January 15, 2027</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35 basis points</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4.623%</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99-08; 4.273%</w:t>
      </w:r>
    </w:p>
    <w:p>
      <w:pPr>
        <w:spacing w:after="0" w:line="117" w:lineRule="exact"/>
        <w:rPr>
          <w:sz w:val="24"/>
          <w:szCs w:val="24"/>
          <w:color w:val="auto"/>
        </w:rPr>
      </w:pPr>
    </w:p>
    <w:p>
      <w:pPr>
        <w:ind w:left="1980" w:right="40"/>
        <w:spacing w:after="0" w:line="254" w:lineRule="auto"/>
        <w:rPr>
          <w:sz w:val="20"/>
          <w:szCs w:val="20"/>
          <w:color w:val="auto"/>
        </w:rPr>
      </w:pPr>
      <w:r>
        <w:rPr>
          <w:rFonts w:ascii="Times New Roman" w:cs="Times New Roman" w:eastAsia="Times New Roman" w:hAnsi="Times New Roman"/>
          <w:sz w:val="18"/>
          <w:szCs w:val="18"/>
          <w:color w:val="auto"/>
        </w:rPr>
        <w:t>At any time before January 8, 2027 (one month before the maturity date) at the greater of: (1) (a) the sum of the present values of the remaining scheduled payments of principal and interest thereon discounted to the redemption date (assuming the Notes matured on January 8, 2027) on a semi-annual basis (assuming a 360-day year consisting of twelve 30-day months) at the Treasury Rate plus 10 basis points less (b) interest accrued to the date of redemption, and (2) 100% of the principal amount of the Notes to be redeemed, plus, in either case, accrued and unpaid interest thereon to the redemption date.</w:t>
      </w:r>
    </w:p>
    <w:p>
      <w:pPr>
        <w:spacing w:after="0" w:line="12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2">
            <w:col w:w="3040" w:space="720"/>
            <w:col w:w="726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ind w:left="1100"/>
        <w:spacing w:after="0" w:line="289" w:lineRule="auto"/>
        <w:rPr>
          <w:sz w:val="20"/>
          <w:szCs w:val="20"/>
          <w:color w:val="auto"/>
        </w:rPr>
      </w:pPr>
      <w:r>
        <w:rPr>
          <w:rFonts w:ascii="Times New Roman" w:cs="Times New Roman" w:eastAsia="Times New Roman" w:hAnsi="Times New Roman"/>
          <w:sz w:val="17"/>
          <w:szCs w:val="17"/>
          <w:color w:val="auto"/>
        </w:rPr>
        <w:t>At any time on or after January 8, 2027 (one month before the maturity date) at 100% of the principal amount of notes being redeemed plus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-598805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February 5, 2024</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February 8, 2024 (T+3)</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882508 CE2 / US882508CE26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4.600% Notes due 2029</w:t>
      </w:r>
    </w:p>
    <w:p>
      <w:pPr>
        <w:spacing w:after="0" w:line="3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$650,000,000 (the “2029 Notes”)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February 8, 2029</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4.600%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99.894% of principal amount</w:t>
      </w:r>
    </w:p>
    <w:p>
      <w:pPr>
        <w:spacing w:after="0" w:line="117"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February 8 and August 8, beginning on August 8, 2024, and on the maturity date</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$647,361,000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4.000% due January 31, 2029</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50 basis points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4.624%</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99-14</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4.124%</w:t>
      </w:r>
    </w:p>
    <w:p>
      <w:pPr>
        <w:spacing w:after="0" w:line="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3920" w:space="720"/>
            <w:col w:w="6220"/>
          </w:cols>
          <w:pgMar w:left="440" w:top="378"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At any time before January 8, 2029 (one month before the maturity date)</w:t>
            </w:r>
          </w:p>
        </w:tc>
      </w:tr>
      <w:tr>
        <w:trPr>
          <w:trHeight w:val="216"/>
        </w:trPr>
        <w:tc>
          <w:tcPr>
            <w:tcW w:w="4640" w:type="dxa"/>
            <w:vAlign w:val="bottom"/>
          </w:tcPr>
          <w:p>
            <w:pPr>
              <w:spacing w:after="0"/>
              <w:rPr>
                <w:sz w:val="18"/>
                <w:szCs w:val="18"/>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at the greater of: (1) (a) the sum of the present values of the remaining</w:t>
            </w:r>
          </w:p>
        </w:tc>
      </w:tr>
      <w:tr>
        <w:trPr>
          <w:trHeight w:val="216"/>
        </w:trPr>
        <w:tc>
          <w:tcPr>
            <w:tcW w:w="4640" w:type="dxa"/>
            <w:vAlign w:val="bottom"/>
          </w:tcPr>
          <w:p>
            <w:pPr>
              <w:spacing w:after="0"/>
              <w:rPr>
                <w:sz w:val="18"/>
                <w:szCs w:val="18"/>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scheduled payments of principal and interest thereon discounted to the</w:t>
            </w:r>
          </w:p>
        </w:tc>
      </w:tr>
      <w:tr>
        <w:trPr>
          <w:trHeight w:val="216"/>
        </w:trPr>
        <w:tc>
          <w:tcPr>
            <w:tcW w:w="4640" w:type="dxa"/>
            <w:vAlign w:val="bottom"/>
          </w:tcPr>
          <w:p>
            <w:pPr>
              <w:spacing w:after="0"/>
              <w:rPr>
                <w:sz w:val="18"/>
                <w:szCs w:val="18"/>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redemption date (assuming the Notes matured on January 8, 2029) on a</w:t>
            </w:r>
          </w:p>
        </w:tc>
      </w:tr>
      <w:tr>
        <w:trPr>
          <w:trHeight w:val="216"/>
        </w:trPr>
        <w:tc>
          <w:tcPr>
            <w:tcW w:w="4640" w:type="dxa"/>
            <w:vAlign w:val="bottom"/>
          </w:tcPr>
          <w:p>
            <w:pPr>
              <w:spacing w:after="0"/>
              <w:rPr>
                <w:sz w:val="18"/>
                <w:szCs w:val="18"/>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semi-annual basis (assuming a 360-day year consisting of twelve 30-day</w:t>
            </w:r>
          </w:p>
        </w:tc>
      </w:tr>
      <w:tr>
        <w:trPr>
          <w:trHeight w:val="216"/>
        </w:trPr>
        <w:tc>
          <w:tcPr>
            <w:tcW w:w="4640" w:type="dxa"/>
            <w:vAlign w:val="bottom"/>
          </w:tcPr>
          <w:p>
            <w:pPr>
              <w:spacing w:after="0"/>
              <w:rPr>
                <w:sz w:val="18"/>
                <w:szCs w:val="18"/>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months) at the Treasury Rate plus 10 basis points less (b) interest</w:t>
            </w:r>
          </w:p>
        </w:tc>
      </w:tr>
      <w:tr>
        <w:trPr>
          <w:trHeight w:val="216"/>
        </w:trPr>
        <w:tc>
          <w:tcPr>
            <w:tcW w:w="4640" w:type="dxa"/>
            <w:vAlign w:val="bottom"/>
          </w:tcPr>
          <w:p>
            <w:pPr>
              <w:spacing w:after="0"/>
              <w:rPr>
                <w:sz w:val="18"/>
                <w:szCs w:val="18"/>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accrued to the date of redemption, and (2) 100% of the principal amount</w:t>
            </w:r>
          </w:p>
        </w:tc>
      </w:tr>
      <w:tr>
        <w:trPr>
          <w:trHeight w:val="216"/>
        </w:trPr>
        <w:tc>
          <w:tcPr>
            <w:tcW w:w="4640" w:type="dxa"/>
            <w:vAlign w:val="bottom"/>
          </w:tcPr>
          <w:p>
            <w:pPr>
              <w:spacing w:after="0"/>
              <w:rPr>
                <w:sz w:val="18"/>
                <w:szCs w:val="18"/>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of the Notes to be redeemed, plus, in either case, accrued and unpaid</w:t>
            </w:r>
          </w:p>
        </w:tc>
      </w:tr>
      <w:tr>
        <w:trPr>
          <w:trHeight w:val="234"/>
        </w:trPr>
        <w:tc>
          <w:tcPr>
            <w:tcW w:w="4640" w:type="dxa"/>
            <w:vAlign w:val="bottom"/>
          </w:tcPr>
          <w:p>
            <w:pPr>
              <w:spacing w:after="0"/>
              <w:rPr>
                <w:sz w:val="20"/>
                <w:szCs w:val="20"/>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interest thereon to the redemption date.</w:t>
            </w:r>
          </w:p>
        </w:tc>
      </w:tr>
      <w:tr>
        <w:trPr>
          <w:trHeight w:val="30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At any time on or after January 8, 2029 (one month before the maturity</w:t>
            </w:r>
          </w:p>
        </w:tc>
      </w:tr>
      <w:tr>
        <w:trPr>
          <w:trHeight w:val="216"/>
        </w:trPr>
        <w:tc>
          <w:tcPr>
            <w:tcW w:w="4640" w:type="dxa"/>
            <w:vAlign w:val="bottom"/>
          </w:tcPr>
          <w:p>
            <w:pPr>
              <w:spacing w:after="0"/>
              <w:rPr>
                <w:sz w:val="18"/>
                <w:szCs w:val="18"/>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date) at 100% of the principal amount of notes being redeemed plus</w:t>
            </w:r>
          </w:p>
        </w:tc>
      </w:tr>
      <w:tr>
        <w:trPr>
          <w:trHeight w:val="234"/>
        </w:trPr>
        <w:tc>
          <w:tcPr>
            <w:tcW w:w="4640" w:type="dxa"/>
            <w:vAlign w:val="bottom"/>
          </w:tcPr>
          <w:p>
            <w:pPr>
              <w:spacing w:after="0"/>
              <w:rPr>
                <w:sz w:val="20"/>
                <w:szCs w:val="20"/>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February 5, 2024</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February 8, 2024 (T+3)</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882508 CG7 / US882508CG73</w:t>
            </w:r>
          </w:p>
        </w:tc>
      </w:tr>
      <w:tr>
        <w:trPr>
          <w:trHeight w:val="392"/>
        </w:trPr>
        <w:tc>
          <w:tcPr>
            <w:tcW w:w="4640" w:type="dxa"/>
            <w:vAlign w:val="bottom"/>
          </w:tcPr>
          <w:p>
            <w:pPr>
              <w:spacing w:after="0"/>
              <w:rPr>
                <w:sz w:val="24"/>
                <w:szCs w:val="2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850%</w:t>
            </w:r>
            <w:r>
              <w:rPr>
                <w:rFonts w:ascii="Times New Roman" w:cs="Times New Roman" w:eastAsia="Times New Roman" w:hAnsi="Times New Roman"/>
                <w:sz w:val="18"/>
                <w:szCs w:val="18"/>
                <w:color w:val="auto"/>
              </w:rPr>
              <w:t xml:space="preserve"> Notes due 2034</w:t>
            </w:r>
          </w:p>
        </w:tc>
      </w:tr>
      <w:tr>
        <w:trPr>
          <w:trHeight w:val="20"/>
        </w:trPr>
        <w:tc>
          <w:tcPr>
            <w:tcW w:w="46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58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$600,000,000 (the “2034 Notes”)</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February 8, 2034</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4.850%</w:t>
            </w:r>
          </w:p>
        </w:tc>
        <w:tc>
          <w:tcPr>
            <w:tcW w:w="4620" w:type="dxa"/>
            <w:vAlign w:val="bottom"/>
          </w:tcPr>
          <w:p>
            <w:pPr>
              <w:spacing w:after="0"/>
              <w:rPr>
                <w:sz w:val="24"/>
                <w:szCs w:val="24"/>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99.953% of principal amount</w:t>
            </w:r>
          </w:p>
        </w:tc>
      </w:tr>
      <w:tr>
        <w:trPr>
          <w:trHeight w:val="30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February 8 and August 8, beginning on August 8, 2024, and on the</w:t>
            </w:r>
          </w:p>
        </w:tc>
      </w:tr>
      <w:tr>
        <w:trPr>
          <w:trHeight w:val="234"/>
        </w:trPr>
        <w:tc>
          <w:tcPr>
            <w:tcW w:w="4640" w:type="dxa"/>
            <w:vAlign w:val="bottom"/>
          </w:tcPr>
          <w:p>
            <w:pPr>
              <w:spacing w:after="0"/>
              <w:rPr>
                <w:sz w:val="20"/>
                <w:szCs w:val="20"/>
                <w:color w:val="auto"/>
              </w:rPr>
            </w:pP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maturity date</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Day Count Convention:</w:t>
            </w:r>
          </w:p>
        </w:tc>
        <w:tc>
          <w:tcPr>
            <w:tcW w:w="1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30/360</w:t>
            </w:r>
          </w:p>
        </w:tc>
        <w:tc>
          <w:tcPr>
            <w:tcW w:w="4620" w:type="dxa"/>
            <w:vAlign w:val="bottom"/>
          </w:tcPr>
          <w:p>
            <w:pPr>
              <w:spacing w:after="0"/>
              <w:rPr>
                <w:sz w:val="24"/>
                <w:szCs w:val="24"/>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TI:</w:t>
            </w:r>
          </w:p>
        </w:tc>
        <w:tc>
          <w:tcPr>
            <w:tcW w:w="6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$597,618,000</w:t>
            </w:r>
          </w:p>
        </w:tc>
      </w:tr>
      <w:tr>
        <w:trPr>
          <w:trHeight w:val="365"/>
        </w:trPr>
        <w:tc>
          <w:tcPr>
            <w:tcW w:w="4640" w:type="dxa"/>
            <w:vAlign w:val="bottom"/>
          </w:tcPr>
          <w:p>
            <w:pPr>
              <w:spacing w:after="0"/>
              <w:rPr>
                <w:sz w:val="24"/>
                <w:szCs w:val="24"/>
                <w:color w:val="auto"/>
              </w:rPr>
            </w:pPr>
          </w:p>
        </w:tc>
        <w:tc>
          <w:tcPr>
            <w:tcW w:w="17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w:t>
            </w:r>
          </w:p>
        </w:tc>
        <w:tc>
          <w:tcPr>
            <w:tcW w:w="4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378"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4.500% due November 15, 2033</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70 basis points</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4.856%</w:t>
            </w:r>
          </w:p>
        </w:tc>
        <w:tc>
          <w:tcPr>
            <w:tcW w:w="4600" w:type="dxa"/>
            <w:vAlign w:val="bottom"/>
          </w:tcPr>
          <w:p>
            <w:pPr>
              <w:spacing w:after="0"/>
              <w:rPr>
                <w:sz w:val="24"/>
                <w:szCs w:val="24"/>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102-23+; 4.156%</w:t>
            </w:r>
          </w:p>
        </w:tc>
      </w:tr>
      <w:tr>
        <w:trPr>
          <w:trHeight w:val="30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At any time before November 8, 2033 (three months before the maturity</w:t>
            </w:r>
          </w:p>
        </w:tc>
      </w:tr>
      <w:tr>
        <w:trPr>
          <w:trHeight w:val="216"/>
        </w:trPr>
        <w:tc>
          <w:tcPr>
            <w:tcW w:w="4640" w:type="dxa"/>
            <w:vAlign w:val="bottom"/>
          </w:tcPr>
          <w:p>
            <w:pPr>
              <w:spacing w:after="0"/>
              <w:rPr>
                <w:sz w:val="18"/>
                <w:szCs w:val="18"/>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date) at the greater of: (1) (a) the sum of the present values of the</w:t>
            </w:r>
          </w:p>
        </w:tc>
      </w:tr>
      <w:tr>
        <w:trPr>
          <w:trHeight w:val="216"/>
        </w:trPr>
        <w:tc>
          <w:tcPr>
            <w:tcW w:w="4640" w:type="dxa"/>
            <w:vAlign w:val="bottom"/>
          </w:tcPr>
          <w:p>
            <w:pPr>
              <w:spacing w:after="0"/>
              <w:rPr>
                <w:sz w:val="18"/>
                <w:szCs w:val="18"/>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remaining scheduled payments of principal and interest thereon</w:t>
            </w:r>
          </w:p>
        </w:tc>
      </w:tr>
      <w:tr>
        <w:trPr>
          <w:trHeight w:val="216"/>
        </w:trPr>
        <w:tc>
          <w:tcPr>
            <w:tcW w:w="4640" w:type="dxa"/>
            <w:vAlign w:val="bottom"/>
          </w:tcPr>
          <w:p>
            <w:pPr>
              <w:spacing w:after="0"/>
              <w:rPr>
                <w:sz w:val="18"/>
                <w:szCs w:val="18"/>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discounted to the redemption date (assuming the Notes matured on</w:t>
            </w:r>
          </w:p>
        </w:tc>
      </w:tr>
      <w:tr>
        <w:trPr>
          <w:trHeight w:val="216"/>
        </w:trPr>
        <w:tc>
          <w:tcPr>
            <w:tcW w:w="4640" w:type="dxa"/>
            <w:vAlign w:val="bottom"/>
          </w:tcPr>
          <w:p>
            <w:pPr>
              <w:spacing w:after="0"/>
              <w:rPr>
                <w:sz w:val="18"/>
                <w:szCs w:val="18"/>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November 8, 2033) on a semi-annual basis (assuming a 360-day year</w:t>
            </w:r>
          </w:p>
        </w:tc>
      </w:tr>
      <w:tr>
        <w:trPr>
          <w:trHeight w:val="216"/>
        </w:trPr>
        <w:tc>
          <w:tcPr>
            <w:tcW w:w="4640" w:type="dxa"/>
            <w:vAlign w:val="bottom"/>
          </w:tcPr>
          <w:p>
            <w:pPr>
              <w:spacing w:after="0"/>
              <w:rPr>
                <w:sz w:val="18"/>
                <w:szCs w:val="18"/>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consisting of twelve 30-day months) at the Treasury Rate plus 12.5 basis</w:t>
            </w:r>
          </w:p>
        </w:tc>
      </w:tr>
      <w:tr>
        <w:trPr>
          <w:trHeight w:val="216"/>
        </w:trPr>
        <w:tc>
          <w:tcPr>
            <w:tcW w:w="4640" w:type="dxa"/>
            <w:vAlign w:val="bottom"/>
          </w:tcPr>
          <w:p>
            <w:pPr>
              <w:spacing w:after="0"/>
              <w:rPr>
                <w:sz w:val="18"/>
                <w:szCs w:val="18"/>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points less (b) interest accrued to the date of redemption, and (2) 100%</w:t>
            </w:r>
          </w:p>
        </w:tc>
      </w:tr>
      <w:tr>
        <w:trPr>
          <w:trHeight w:val="216"/>
        </w:trPr>
        <w:tc>
          <w:tcPr>
            <w:tcW w:w="4640" w:type="dxa"/>
            <w:vAlign w:val="bottom"/>
          </w:tcPr>
          <w:p>
            <w:pPr>
              <w:spacing w:after="0"/>
              <w:rPr>
                <w:sz w:val="18"/>
                <w:szCs w:val="18"/>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of the principal amount of the Notes to be redeemed, plus, in either case,</w:t>
            </w:r>
          </w:p>
        </w:tc>
      </w:tr>
      <w:tr>
        <w:trPr>
          <w:trHeight w:val="234"/>
        </w:trPr>
        <w:tc>
          <w:tcPr>
            <w:tcW w:w="4640" w:type="dxa"/>
            <w:vAlign w:val="bottom"/>
          </w:tcPr>
          <w:p>
            <w:pPr>
              <w:spacing w:after="0"/>
              <w:rPr>
                <w:sz w:val="20"/>
                <w:szCs w:val="20"/>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30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At any time on or after November 8, 2033 (three months before the</w:t>
            </w:r>
          </w:p>
        </w:tc>
      </w:tr>
      <w:tr>
        <w:trPr>
          <w:trHeight w:val="216"/>
        </w:trPr>
        <w:tc>
          <w:tcPr>
            <w:tcW w:w="4640" w:type="dxa"/>
            <w:vAlign w:val="bottom"/>
          </w:tcPr>
          <w:p>
            <w:pPr>
              <w:spacing w:after="0"/>
              <w:rPr>
                <w:sz w:val="18"/>
                <w:szCs w:val="18"/>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maturity date) at 100% of the principal amount of notes being redeemed</w:t>
            </w:r>
          </w:p>
        </w:tc>
      </w:tr>
      <w:tr>
        <w:trPr>
          <w:trHeight w:val="234"/>
        </w:trPr>
        <w:tc>
          <w:tcPr>
            <w:tcW w:w="4640" w:type="dxa"/>
            <w:vAlign w:val="bottom"/>
          </w:tcPr>
          <w:p>
            <w:pPr>
              <w:spacing w:after="0"/>
              <w:rPr>
                <w:sz w:val="20"/>
                <w:szCs w:val="20"/>
                <w:color w:val="auto"/>
              </w:rPr>
            </w:pP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plus accrued and unpaid interest thereon to the redemption date.</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February 5, 2024</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February 8, 2024 (T+3)</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882508 CH5 / US882508CH56</w:t>
            </w:r>
          </w:p>
        </w:tc>
      </w:tr>
      <w:tr>
        <w:trPr>
          <w:trHeight w:val="392"/>
        </w:trPr>
        <w:tc>
          <w:tcPr>
            <w:tcW w:w="464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150%</w:t>
            </w:r>
            <w:r>
              <w:rPr>
                <w:rFonts w:ascii="Times New Roman" w:cs="Times New Roman" w:eastAsia="Times New Roman" w:hAnsi="Times New Roman"/>
                <w:sz w:val="18"/>
                <w:szCs w:val="18"/>
                <w:color w:val="auto"/>
              </w:rPr>
              <w:t xml:space="preserve"> Notes due 2054</w:t>
            </w:r>
          </w:p>
        </w:tc>
      </w:tr>
      <w:tr>
        <w:trPr>
          <w:trHeight w:val="20"/>
        </w:trPr>
        <w:tc>
          <w:tcPr>
            <w:tcW w:w="46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58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63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$750,000,000 (the “2054 Notes”)</w:t>
            </w:r>
          </w:p>
        </w:tc>
      </w:tr>
      <w:tr>
        <w:trPr>
          <w:trHeight w:val="364"/>
        </w:trPr>
        <w:tc>
          <w:tcPr>
            <w:tcW w:w="4640" w:type="dxa"/>
            <w:vAlign w:val="bottom"/>
          </w:tcPr>
          <w:p>
            <w:pPr>
              <w:spacing w:after="0"/>
              <w:rPr>
                <w:sz w:val="24"/>
                <w:szCs w:val="24"/>
                <w:color w:val="auto"/>
              </w:rPr>
            </w:pPr>
          </w:p>
        </w:tc>
        <w:tc>
          <w:tcPr>
            <w:tcW w:w="17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w:t>
            </w:r>
          </w:p>
        </w:tc>
        <w:tc>
          <w:tcPr>
            <w:tcW w:w="4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18"/>
          <w:szCs w:val="18"/>
          <w:color w:val="auto"/>
        </w:rPr>
        <w:t>February 8, 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-213360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5.150%</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99.200% of principal amount</w:t>
      </w:r>
    </w:p>
    <w:p>
      <w:pPr>
        <w:spacing w:after="0" w:line="117" w:lineRule="exact"/>
        <w:rPr>
          <w:sz w:val="20"/>
          <w:szCs w:val="20"/>
          <w:color w:val="auto"/>
        </w:rPr>
      </w:pPr>
    </w:p>
    <w:p>
      <w:pPr>
        <w:ind w:left="280" w:right="420"/>
        <w:spacing w:after="0" w:line="282" w:lineRule="auto"/>
        <w:rPr>
          <w:sz w:val="20"/>
          <w:szCs w:val="20"/>
          <w:color w:val="auto"/>
        </w:rPr>
      </w:pPr>
      <w:r>
        <w:rPr>
          <w:rFonts w:ascii="Times New Roman" w:cs="Times New Roman" w:eastAsia="Times New Roman" w:hAnsi="Times New Roman"/>
          <w:sz w:val="18"/>
          <w:szCs w:val="18"/>
          <w:color w:val="auto"/>
        </w:rPr>
        <w:t>February 8 and August 8, beginning on August 8, 2024, and on the maturity date</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$739,500,000</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4.125% due August 15, 2053</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85 basis points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5.203%</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96-07+; 4.353%</w:t>
      </w:r>
    </w:p>
    <w:p>
      <w:pPr>
        <w:spacing w:after="0" w:line="117" w:lineRule="exact"/>
        <w:rPr>
          <w:sz w:val="20"/>
          <w:szCs w:val="20"/>
          <w:color w:val="auto"/>
        </w:rPr>
      </w:pPr>
    </w:p>
    <w:p>
      <w:pPr>
        <w:ind w:left="280"/>
        <w:spacing w:after="0" w:line="254" w:lineRule="auto"/>
        <w:rPr>
          <w:sz w:val="20"/>
          <w:szCs w:val="20"/>
          <w:color w:val="auto"/>
        </w:rPr>
      </w:pPr>
      <w:r>
        <w:rPr>
          <w:rFonts w:ascii="Times New Roman" w:cs="Times New Roman" w:eastAsia="Times New Roman" w:hAnsi="Times New Roman"/>
          <w:sz w:val="18"/>
          <w:szCs w:val="18"/>
          <w:color w:val="auto"/>
        </w:rPr>
        <w:t>At any time before August 8, 2053 (six months before the maturity date) at the greater of: (1) (a) the sum of the present values of the remaining scheduled payments of principal and interest thereon discounted to the redemption date (assuming the Notes matured on August 8, 2053) on a semi-annual basis (assuming a 360-day year consisting of twelve 30-day months) at the Treasury Rate plus 15 basis points less (b) interest accrued to the date of redemption, and (2) 100% of the principal amount of the Notes to be redeemed, plus, in either case, accrued and unpaid interest thereon to the redemption date.</w:t>
      </w:r>
    </w:p>
    <w:p>
      <w:pPr>
        <w:spacing w:after="0" w:line="80" w:lineRule="exact"/>
        <w:rPr>
          <w:sz w:val="20"/>
          <w:szCs w:val="20"/>
          <w:color w:val="auto"/>
        </w:rPr>
      </w:pPr>
    </w:p>
    <w:p>
      <w:pPr>
        <w:ind w:left="280" w:right="120"/>
        <w:spacing w:after="0" w:line="289" w:lineRule="auto"/>
        <w:rPr>
          <w:sz w:val="20"/>
          <w:szCs w:val="20"/>
          <w:color w:val="auto"/>
        </w:rPr>
      </w:pPr>
      <w:r>
        <w:rPr>
          <w:rFonts w:ascii="Times New Roman" w:cs="Times New Roman" w:eastAsia="Times New Roman" w:hAnsi="Times New Roman"/>
          <w:sz w:val="17"/>
          <w:szCs w:val="17"/>
          <w:color w:val="auto"/>
        </w:rPr>
        <w:t>At any time on or after August 8, 2053 (six months before the maturity date) at 100% of the principal amount of notes being redeemed plus accrued and unpaid interest thereon to the redemption date.</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February 5, 2024</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February 8, 2024 (T+3)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2">
            <w:col w:w="4740" w:space="720"/>
            <w:col w:w="5500"/>
          </w:cols>
          <w:pgMar w:left="440" w:top="270"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882508 CJ1 / US882508CJ13</w:t>
            </w:r>
          </w:p>
        </w:tc>
      </w:tr>
      <w:tr>
        <w:trPr>
          <w:trHeight w:val="391"/>
        </w:trPr>
        <w:tc>
          <w:tcPr>
            <w:tcW w:w="464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050%</w:t>
            </w:r>
            <w:r>
              <w:rPr>
                <w:rFonts w:ascii="Times New Roman" w:cs="Times New Roman" w:eastAsia="Times New Roman" w:hAnsi="Times New Roman"/>
                <w:sz w:val="18"/>
                <w:szCs w:val="18"/>
                <w:color w:val="auto"/>
              </w:rPr>
              <w:t xml:space="preserve"> Notes due 2063</w:t>
            </w:r>
          </w:p>
        </w:tc>
      </w:tr>
      <w:tr>
        <w:trPr>
          <w:trHeight w:val="20"/>
        </w:trPr>
        <w:tc>
          <w:tcPr>
            <w:tcW w:w="46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8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0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$350,000,000 (the “2063 Additional Notes”)</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2063 Additional Notes offered hereby constitute a further issuance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of the 5.050% Notes due 2063 that TI issued prior to the date hereof (the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“2063 Existing Notes”) and will be consolidated with, and form a single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series with, the 2063 Existing Notes for all purposes under the indenture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governing the 2063 Existing Notes, including with respect to voting (the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2063 Existing Notes, together with the 2063 Additional Notes, the “2063</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Notes”). Upon issuance, the 2063 Additional Notes will have the same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terms as the 2063 Existing Notes (other than the issue date, price to</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public and interest accrued prior to the issue date of the 2063 Additional</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Notes), will be fungible with the 2063 Existing Notes for U.S. federal</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income tax purposes and will have the same CUSIP and ISIN numbers</w:t>
            </w:r>
          </w:p>
        </w:tc>
      </w:tr>
      <w:tr>
        <w:trPr>
          <w:trHeight w:val="234"/>
        </w:trPr>
        <w:tc>
          <w:tcPr>
            <w:tcW w:w="4640" w:type="dxa"/>
            <w:vAlign w:val="bottom"/>
          </w:tcPr>
          <w:p>
            <w:pPr>
              <w:spacing w:after="0"/>
              <w:rPr>
                <w:sz w:val="20"/>
                <w:szCs w:val="20"/>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as the 2063 Existing Notes.</w:t>
            </w:r>
          </w:p>
        </w:tc>
      </w:tr>
      <w:tr>
        <w:trPr>
          <w:trHeight w:val="33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May 18, 2063</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5.050%</w:t>
            </w:r>
          </w:p>
        </w:tc>
        <w:tc>
          <w:tcPr>
            <w:tcW w:w="4640" w:type="dxa"/>
            <w:vAlign w:val="bottom"/>
          </w:tcPr>
          <w:p>
            <w:pPr>
              <w:spacing w:after="0"/>
              <w:rPr>
                <w:sz w:val="24"/>
                <w:szCs w:val="24"/>
                <w:color w:val="auto"/>
              </w:rPr>
            </w:pPr>
          </w:p>
        </w:tc>
      </w:tr>
      <w:tr>
        <w:trPr>
          <w:trHeight w:val="30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96.310% of principal amount, plus accrued interest from (and including)</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November 18, 2023 to (but excluding) the Settlement Date, totaling</w:t>
            </w:r>
          </w:p>
        </w:tc>
      </w:tr>
      <w:tr>
        <w:trPr>
          <w:trHeight w:val="234"/>
        </w:trPr>
        <w:tc>
          <w:tcPr>
            <w:tcW w:w="4640" w:type="dxa"/>
            <w:vAlign w:val="bottom"/>
          </w:tcPr>
          <w:p>
            <w:pPr>
              <w:spacing w:after="0"/>
              <w:rPr>
                <w:sz w:val="20"/>
                <w:szCs w:val="20"/>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$3,927,777.78</w:t>
            </w:r>
          </w:p>
        </w:tc>
      </w:tr>
      <w:tr>
        <w:trPr>
          <w:trHeight w:val="30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May 18 and November 18, beginning on May 18, 2024, and on the</w:t>
            </w:r>
          </w:p>
        </w:tc>
      </w:tr>
      <w:tr>
        <w:trPr>
          <w:trHeight w:val="234"/>
        </w:trPr>
        <w:tc>
          <w:tcPr>
            <w:tcW w:w="4640" w:type="dxa"/>
            <w:vAlign w:val="bottom"/>
          </w:tcPr>
          <w:p>
            <w:pPr>
              <w:spacing w:after="0"/>
              <w:rPr>
                <w:sz w:val="20"/>
                <w:szCs w:val="20"/>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maturity date</w:t>
            </w: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Day Count Convention:</w:t>
            </w:r>
          </w:p>
        </w:tc>
        <w:tc>
          <w:tcPr>
            <w:tcW w:w="1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30/360</w:t>
            </w:r>
          </w:p>
        </w:tc>
        <w:tc>
          <w:tcPr>
            <w:tcW w:w="4640" w:type="dxa"/>
            <w:vAlign w:val="bottom"/>
          </w:tcPr>
          <w:p>
            <w:pPr>
              <w:spacing w:after="0"/>
              <w:rPr>
                <w:sz w:val="24"/>
                <w:szCs w:val="24"/>
                <w:color w:val="auto"/>
              </w:rPr>
            </w:pPr>
          </w:p>
        </w:tc>
      </w:tr>
      <w:tr>
        <w:trPr>
          <w:trHeight w:val="365"/>
        </w:trPr>
        <w:tc>
          <w:tcPr>
            <w:tcW w:w="4640" w:type="dxa"/>
            <w:vAlign w:val="bottom"/>
          </w:tcPr>
          <w:p>
            <w:pPr>
              <w:spacing w:after="0"/>
              <w:rPr>
                <w:sz w:val="24"/>
                <w:szCs w:val="24"/>
                <w:color w:val="auto"/>
              </w:rPr>
            </w:pPr>
          </w:p>
        </w:tc>
        <w:tc>
          <w:tcPr>
            <w:tcW w:w="17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w:t>
            </w:r>
          </w:p>
        </w:tc>
        <w:tc>
          <w:tcPr>
            <w:tcW w:w="4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Reoffer 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 w:lineRule="exact"/>
        <w:rPr>
          <w:sz w:val="20"/>
          <w:szCs w:val="20"/>
          <w:color w:val="auto"/>
        </w:rPr>
      </w:pPr>
      <w:r>
        <w:rPr>
          <w:sz w:val="20"/>
          <w:szCs w:val="20"/>
          <w:color w:val="auto"/>
        </w:rPr>
        <w:br w:type="column"/>
      </w:r>
    </w:p>
    <w:p>
      <w:pPr>
        <w:ind w:left="280" w:right="40"/>
        <w:spacing w:after="0" w:line="282" w:lineRule="auto"/>
        <w:rPr>
          <w:sz w:val="20"/>
          <w:szCs w:val="20"/>
          <w:color w:val="auto"/>
        </w:rPr>
      </w:pPr>
      <w:r>
        <w:rPr>
          <w:rFonts w:ascii="Times New Roman" w:cs="Times New Roman" w:eastAsia="Times New Roman" w:hAnsi="Times New Roman"/>
          <w:sz w:val="18"/>
          <w:szCs w:val="18"/>
          <w:color w:val="auto"/>
        </w:rPr>
        <w:t>$334,985,000, plus accrued interest from (and including) November 18, 2023 to (but excluding) the Settlement Date, totaling $3,927,777.78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-391160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4.125% due August 15, 2053</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92 basis points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5.273%</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96-07+; 4.353%</w:t>
      </w:r>
    </w:p>
    <w:p>
      <w:pPr>
        <w:spacing w:after="0" w:line="117" w:lineRule="exact"/>
        <w:rPr>
          <w:sz w:val="20"/>
          <w:szCs w:val="20"/>
          <w:color w:val="auto"/>
        </w:rPr>
      </w:pPr>
    </w:p>
    <w:p>
      <w:pPr>
        <w:ind w:left="280"/>
        <w:spacing w:after="0" w:line="254" w:lineRule="auto"/>
        <w:rPr>
          <w:sz w:val="20"/>
          <w:szCs w:val="20"/>
          <w:color w:val="auto"/>
        </w:rPr>
      </w:pPr>
      <w:r>
        <w:rPr>
          <w:rFonts w:ascii="Times New Roman" w:cs="Times New Roman" w:eastAsia="Times New Roman" w:hAnsi="Times New Roman"/>
          <w:sz w:val="18"/>
          <w:szCs w:val="18"/>
          <w:color w:val="auto"/>
        </w:rPr>
        <w:t>At any time before November 18, 2062 (six months before the maturity date) at the greater of: (1) (a) the sum of the present values of the remaining scheduled payments of principal and interest thereon discounted to the redemption date (assuming the Notes matured on November 18, 2062) on a semi-annual basis (assuming a 360-day year consisting of twelve 30-day months) at the Treasury Rate plus 25 basis points less (b) interest accrued to the date of redemption, and (2) 100% of the principal amount of the Notes to be redeemed, plus, in either case, accrued and unpaid interest thereon to the redemption date.</w:t>
      </w:r>
    </w:p>
    <w:p>
      <w:pPr>
        <w:spacing w:after="0" w:line="80" w:lineRule="exact"/>
        <w:rPr>
          <w:sz w:val="20"/>
          <w:szCs w:val="20"/>
          <w:color w:val="auto"/>
        </w:rPr>
      </w:pPr>
    </w:p>
    <w:p>
      <w:pPr>
        <w:ind w:left="280" w:right="40"/>
        <w:spacing w:after="0" w:line="289" w:lineRule="auto"/>
        <w:rPr>
          <w:sz w:val="20"/>
          <w:szCs w:val="20"/>
          <w:color w:val="auto"/>
        </w:rPr>
      </w:pPr>
      <w:r>
        <w:rPr>
          <w:rFonts w:ascii="Times New Roman" w:cs="Times New Roman" w:eastAsia="Times New Roman" w:hAnsi="Times New Roman"/>
          <w:sz w:val="17"/>
          <w:szCs w:val="17"/>
          <w:color w:val="auto"/>
        </w:rPr>
        <w:t>At any time on or after November 18, 2062 (six months before the maturity date) at 100% of the principal amount of notes being redeemed plus accrued and unpaid interest thereon to the redemption date.</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February 5, 2024</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February 8, 2024 (T+3)</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882926 AA6 / US882926AA67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4740" w:space="720"/>
            <w:col w:w="550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4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6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31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7"/>
              </w:rPr>
              <w:t>Moody’s: Aa3 (stable outlook)</w:t>
            </w:r>
          </w:p>
        </w:tc>
      </w:tr>
      <w:tr>
        <w:trPr>
          <w:trHeight w:val="234"/>
        </w:trPr>
        <w:tc>
          <w:tcPr>
            <w:tcW w:w="4840" w:type="dxa"/>
            <w:vAlign w:val="bottom"/>
          </w:tcPr>
          <w:p>
            <w:pPr>
              <w:spacing w:after="0"/>
              <w:rPr>
                <w:sz w:val="20"/>
                <w:szCs w:val="20"/>
                <w:color w:val="auto"/>
              </w:rPr>
            </w:pPr>
          </w:p>
        </w:tc>
        <w:tc>
          <w:tcPr>
            <w:tcW w:w="31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S&amp;P: A+ (stable outlook)</w:t>
            </w:r>
          </w:p>
        </w:tc>
      </w:tr>
      <w:tr>
        <w:trPr>
          <w:trHeight w:val="30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31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4840" w:type="dxa"/>
            <w:vAlign w:val="bottom"/>
          </w:tcPr>
          <w:p>
            <w:pPr>
              <w:spacing w:after="0"/>
              <w:rPr>
                <w:sz w:val="18"/>
                <w:szCs w:val="18"/>
                <w:color w:val="auto"/>
              </w:rPr>
            </w:pPr>
          </w:p>
        </w:tc>
        <w:tc>
          <w:tcPr>
            <w:tcW w:w="31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9"/>
              </w:rPr>
              <w:t>Citigroup Global Markets Inc.</w:t>
            </w:r>
          </w:p>
        </w:tc>
      </w:tr>
      <w:tr>
        <w:trPr>
          <w:trHeight w:val="234"/>
        </w:trPr>
        <w:tc>
          <w:tcPr>
            <w:tcW w:w="4840" w:type="dxa"/>
            <w:vAlign w:val="bottom"/>
          </w:tcPr>
          <w:p>
            <w:pPr>
              <w:spacing w:after="0"/>
              <w:rPr>
                <w:sz w:val="20"/>
                <w:szCs w:val="20"/>
                <w:color w:val="auto"/>
              </w:rPr>
            </w:pPr>
          </w:p>
        </w:tc>
        <w:tc>
          <w:tcPr>
            <w:tcW w:w="31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Mizuho Securities USA LLC</w:t>
            </w: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A securities rating is not a recommendation to buy, sell or hold securities and may be subject to revision or withdrawal at any time.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February 8, 2024, which is the third business day following the date hereof (such settlement cycle being referred to as “T+3”).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T+3,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BofA Securities, Inc.at (800) 294-1322 (toll-free), Citigroup Global Markets Inc. at (800) 831-9146 (toll-free) or Mizuho Securities USA LLC at (866) 271-7403 (toll-free).</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920"/>
      </w:cols>
      <w:pgMar w:left="440" w:top="25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2024-02-06T05:11:21Z</dcterms:created>
  <dcterms:modified xsi:type="dcterms:W3CDTF">2024-02-06T05:11:21Z</dcterms:modified>
</cp:coreProperties>
</file>