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167005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SD</w:t>
      </w:r>
    </w:p>
    <w:p>
      <w:pPr>
        <w:spacing w:after="0" w:line="5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0"/>
          </w:cols>
          <w:pgMar w:left="440" w:top="409" w:right="719" w:bottom="1440" w:gutter="0" w:footer="0" w:header="0"/>
        </w:sectPr>
      </w:pPr>
    </w:p>
    <w:p>
      <w:pPr>
        <w:spacing w:after="0" w:line="200" w:lineRule="exact"/>
        <w:rPr>
          <w:sz w:val="24"/>
          <w:szCs w:val="24"/>
          <w:color w:val="auto"/>
        </w:rPr>
      </w:pPr>
    </w:p>
    <w:p>
      <w:pPr>
        <w:spacing w:after="0" w:line="343"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50" w:lineRule="exact"/>
        <w:rPr>
          <w:sz w:val="24"/>
          <w:szCs w:val="24"/>
          <w:color w:val="auto"/>
        </w:rPr>
      </w:pPr>
    </w:p>
    <w:p>
      <w:pPr>
        <w:sectPr>
          <w:pgSz w:w="11900" w:h="16838" w:orient="portrait"/>
          <w:cols w:equalWidth="0" w:num="3">
            <w:col w:w="4500" w:space="720"/>
            <w:col w:w="2880" w:space="720"/>
            <w:col w:w="1920"/>
          </w:cols>
          <w:pgMar w:left="440" w:top="409" w:right="719" w:bottom="1440" w:gutter="0" w:footer="0" w:header="0"/>
          <w:type w:val="continuous"/>
        </w:sectPr>
      </w:pPr>
    </w:p>
    <w:p>
      <w:pPr>
        <w:ind w:left="11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060" w:space="720"/>
            <w:col w:w="2640" w:space="720"/>
            <w:col w:w="2600"/>
          </w:cols>
          <w:pgMar w:left="440" w:top="409" w:right="719" w:bottom="1440" w:gutter="0" w:footer="0" w:header="0"/>
          <w:type w:val="continuous"/>
        </w:sectPr>
      </w:pPr>
    </w:p>
    <w:p>
      <w:pPr>
        <w:spacing w:after="0" w:line="24"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12500 TI Boulevard, Dallas, Texas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75243</w:t>
      </w:r>
    </w:p>
    <w:p>
      <w:pPr>
        <w:spacing w:after="0" w:line="61" w:lineRule="exact"/>
        <w:rPr>
          <w:sz w:val="24"/>
          <w:szCs w:val="24"/>
          <w:color w:val="auto"/>
        </w:rPr>
      </w:pPr>
    </w:p>
    <w:p>
      <w:pPr>
        <w:sectPr>
          <w:pgSz w:w="11900" w:h="16838" w:orient="portrait"/>
          <w:cols w:equalWidth="0" w:num="2">
            <w:col w:w="7400" w:space="720"/>
            <w:col w:w="2620"/>
          </w:cols>
          <w:pgMar w:left="440" w:top="409" w:right="71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300" w:space="720"/>
            <w:col w:w="2720"/>
          </w:cols>
          <w:pgMar w:left="440" w:top="409" w:right="719" w:bottom="1440" w:gutter="0" w:footer="0" w:header="0"/>
          <w:type w:val="continuous"/>
        </w:sectPr>
      </w:pPr>
    </w:p>
    <w:p>
      <w:pPr>
        <w:jc w:val="center"/>
        <w:ind w:right="-279"/>
        <w:spacing w:after="0"/>
        <w:rPr>
          <w:sz w:val="20"/>
          <w:szCs w:val="20"/>
          <w:color w:val="auto"/>
        </w:rPr>
      </w:pPr>
      <w:r>
        <w:rPr>
          <w:rFonts w:ascii="Arial" w:cs="Arial" w:eastAsia="Arial" w:hAnsi="Arial"/>
          <w:sz w:val="18"/>
          <w:szCs w:val="18"/>
          <w:b w:val="1"/>
          <w:bCs w:val="1"/>
          <w:color w:val="auto"/>
        </w:rPr>
        <w:t>Jeff McLaughlin, 214-479-3773</w:t>
      </w:r>
    </w:p>
    <w:p>
      <w:pPr>
        <w:spacing w:after="0" w:line="21" w:lineRule="exact"/>
        <w:rPr>
          <w:sz w:val="24"/>
          <w:szCs w:val="24"/>
          <w:color w:val="auto"/>
        </w:rPr>
      </w:pPr>
    </w:p>
    <w:p>
      <w:pPr>
        <w:ind w:left="2260"/>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0"/>
          </w:cols>
          <w:pgMar w:left="440" w:top="409" w:right="7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This Form SD should be read in conjunction with the definitions contained in the U.S. Securities and Exchange Commission (“SEC”) instructions to Form SD and related rules. “Conflict minerals” refers to four specific metals regardless of their country of origin or whether they are financing or benefiting armed conflict: tantalum, tin, tungsten and gold.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conflict minerals necessary to the functionality or production of products manufactured by Texas Instruments Incorporated (“TI”), or contracted by TI to be manufactured, and required to be reported on Form SD for 2020 (collectively, “CMs”), we exercised due diligence concerning the source and chain of custody of the CMs. For a description of our due diligence (which included a reasonable country of origin inquiry), please see our Conflict Minerals Report (Exhibit 1.01).</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This Form SD is available on our web site at ti.com/annualccr. We are not incorporating by reference the contents of our web site into this Form SD.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Conflict Minerals Report for 2020 is attached hereto as Exhibit 1.01.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 1.01 – </w:t>
      </w:r>
      <w:hyperlink w:anchor="page4">
        <w:r>
          <w:rPr>
            <w:rFonts w:ascii="Arial" w:cs="Arial" w:eastAsia="Arial" w:hAnsi="Arial"/>
            <w:sz w:val="18"/>
            <w:szCs w:val="18"/>
            <w:u w:val="single" w:color="auto"/>
            <w:color w:val="0000EE"/>
          </w:rPr>
          <w:t>Conflict Minerals Report as required by Items 1.01 and 1.02 of this Form.</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May 27, 2021</w:t>
      </w:r>
    </w:p>
    <w:p>
      <w:pPr>
        <w:spacing w:after="0" w:line="9" w:lineRule="exact"/>
        <w:rPr>
          <w:sz w:val="20"/>
          <w:szCs w:val="20"/>
          <w:color w:val="auto"/>
        </w:rPr>
      </w:pPr>
    </w:p>
    <w:p>
      <w:pPr>
        <w:ind w:left="5620"/>
        <w:spacing w:after="0"/>
        <w:tabs>
          <w:tab w:leader="none" w:pos="6120" w:val="left"/>
        </w:tabs>
        <w:rPr>
          <w:sz w:val="20"/>
          <w:szCs w:val="20"/>
          <w:color w:val="auto"/>
        </w:rPr>
      </w:pPr>
      <w:r>
        <w:rPr>
          <w:rFonts w:ascii="Arial" w:cs="Arial" w:eastAsia="Arial" w:hAnsi="Arial"/>
          <w:sz w:val="18"/>
          <w:szCs w:val="18"/>
          <w:color w:val="auto"/>
        </w:rPr>
        <w:t>BY:</w:t>
        <w:tab/>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5715</wp:posOffset>
            </wp:positionV>
            <wp:extent cx="3145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Rafael R. Lizardi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40"/>
          </w:cols>
          <w:pgMar w:left="440" w:top="274" w:right="8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Conflict Minerals Report of Texas Instruments Incorporated</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 the Year Ended December 31, 2020</w:t>
      </w:r>
    </w:p>
    <w:p>
      <w:pPr>
        <w:spacing w:after="0" w:line="211" w:lineRule="exact"/>
        <w:rPr>
          <w:sz w:val="20"/>
          <w:szCs w:val="20"/>
          <w:color w:val="auto"/>
        </w:rPr>
      </w:pPr>
    </w:p>
    <w:p>
      <w:pPr>
        <w:ind w:left="4" w:right="20"/>
        <w:spacing w:after="0" w:line="279" w:lineRule="auto"/>
        <w:rPr>
          <w:sz w:val="20"/>
          <w:szCs w:val="20"/>
          <w:color w:val="auto"/>
        </w:rPr>
      </w:pPr>
      <w:r>
        <w:rPr>
          <w:rFonts w:ascii="Arial" w:cs="Arial" w:eastAsia="Arial" w:hAnsi="Arial"/>
          <w:sz w:val="17"/>
          <w:szCs w:val="17"/>
          <w:color w:val="auto"/>
        </w:rPr>
        <w:t>This Conflict Minerals Report should be read in conjunction with the definitions contained in the U.S. Securities and Exchange Commission (“SEC”) instructions to Form SD and related rules. This Conflict Minerals Report and our conflict minerals policy are available on our web site at ti.com/annualccr. We are not incorporating by reference the contents of our web site into this Conflict Minerals Report. “Conflict minerals” refers to four specific metals regardless of their country of origin or whether they are financing or benefiting armed conflict: tantalum, tin, tungsten and gold.</w:t>
      </w:r>
    </w:p>
    <w:p>
      <w:pPr>
        <w:spacing w:after="0" w:line="198"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 of Due Diligence</w:t>
      </w:r>
    </w:p>
    <w:p>
      <w:pPr>
        <w:spacing w:after="0" w:line="225"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We have management systems and due diligence procedures (our “CM Process”) as a basis for supply-chain management and disclosure compliance relating to the conflict minerals necessary to the functionality or production of products manufactured by TI, or contracted by TI to be manufactured, and required to be reported for 2020 (collectively, “CMs”). We designed the CM Process with the intent to conform in all material respects with the five-step framework of the Organization for Economic Co-Operation and Development (“OECD”) Due Diligence Guidance for Responsible Supply Chains of Minerals from Conflict-Affected and High-Risk Areas (Third Edition):</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1: Establish strong company management systems</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2: Identify and assess risks in the supply chain</w:t>
      </w:r>
    </w:p>
    <w:p>
      <w:pPr>
        <w:spacing w:after="0" w:line="90"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3: Design and implement a strategy to respond to identified risks</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4: Carry out independent third-party audit of smelter/refiner’s due diligence practices</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5: Report annually on supply chain due diligence</w:t>
      </w:r>
    </w:p>
    <w:p>
      <w:pPr>
        <w:spacing w:after="0" w:line="252"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Third-Party Data</w:t>
      </w:r>
    </w:p>
    <w:p>
      <w:pPr>
        <w:spacing w:after="0" w:line="225" w:lineRule="exact"/>
        <w:rPr>
          <w:sz w:val="20"/>
          <w:szCs w:val="20"/>
          <w:color w:val="auto"/>
        </w:rPr>
      </w:pPr>
    </w:p>
    <w:p>
      <w:pPr>
        <w:ind w:left="4" w:right="220"/>
        <w:spacing w:after="0" w:line="275" w:lineRule="auto"/>
        <w:rPr>
          <w:sz w:val="20"/>
          <w:szCs w:val="20"/>
          <w:color w:val="auto"/>
        </w:rPr>
      </w:pPr>
      <w:r>
        <w:rPr>
          <w:rFonts w:ascii="Arial" w:cs="Arial" w:eastAsia="Arial" w:hAnsi="Arial"/>
          <w:sz w:val="17"/>
          <w:szCs w:val="17"/>
          <w:color w:val="auto"/>
        </w:rPr>
        <w:t>Our ability to determine the origin and chain of custody of CMs, and whether they directly or indirectly finance or benefit armed groups in the Democratic Republic of the Congo or any adjoining country (each a “Covered Country”) in any manner (the “Conflict Status”), is limited. Our supply chain for CMs is complex. In many cases, we are multiple steps removed from the smelter or refiner (“Smelter”), and we depend on information from our direct suppliers of materials that contain CMs and third-party manufacturers of our products that contain CMs (collectively, “Suppliers”) that themselves have incomplete information about the origin of the CMs incorporated in the products they supply to us.</w:t>
      </w:r>
    </w:p>
    <w:p>
      <w:pPr>
        <w:spacing w:after="0" w:line="176"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To gain insight into the country of origin, chain of custody and Conflict Status of the CMs in our supply chain, we relied primarily on the findings of the Responsible Minerals Assurance Process (“RMAP”). The RMAP is a voluntary program in which an independent third party evaluates Smelters’ management systems and procurement practices and determines whether the Smelter has demonstrated that all the materials it processed originated from conflict-free sources. The RMAP is overseen by the Responsible Minerals Initiative (“RMI”), which was established by members of the Responsible Business Alliance (“RBA”) and the Global e-Sustainability Initiative. TI is a member of the RBA and RMI.</w:t>
      </w:r>
    </w:p>
    <w:p>
      <w:pPr>
        <w:spacing w:after="0" w:line="203"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Diligence Measures Taken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measures we took to exercise due diligence on the source and chain of custody of our CMs are as follows: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1: Establish strong company management systems</w:t>
      </w:r>
    </w:p>
    <w:p>
      <w:pPr>
        <w:spacing w:after="0" w:line="131" w:lineRule="exact"/>
        <w:rPr>
          <w:sz w:val="20"/>
          <w:szCs w:val="20"/>
          <w:color w:val="auto"/>
        </w:rPr>
      </w:pPr>
    </w:p>
    <w:p>
      <w:pPr>
        <w:ind w:left="864" w:hanging="432"/>
        <w:spacing w:after="0"/>
        <w:tabs>
          <w:tab w:leader="none" w:pos="86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 and implement a conflict minerals policy;</w:t>
      </w:r>
    </w:p>
    <w:p>
      <w:pPr>
        <w:spacing w:after="0" w:line="49" w:lineRule="exact"/>
        <w:rPr>
          <w:rFonts w:ascii="Arial" w:cs="Arial" w:eastAsia="Arial" w:hAnsi="Arial"/>
          <w:sz w:val="18"/>
          <w:szCs w:val="18"/>
          <w:color w:val="auto"/>
        </w:rPr>
      </w:pPr>
    </w:p>
    <w:p>
      <w:pPr>
        <w:ind w:left="864" w:right="140" w:hanging="432"/>
        <w:spacing w:after="0" w:line="263" w:lineRule="auto"/>
        <w:tabs>
          <w:tab w:leader="none" w:pos="86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an organizational structure and processes intended to ensure that Suppliers are made aware of TI’s policy on CMs and that information received by TI that is relevant to supply-chain due diligence reaches TI employees who have knowledge of the SEC disclosure requirements;</w:t>
      </w:r>
    </w:p>
    <w:p>
      <w:pPr>
        <w:spacing w:after="0" w:line="8" w:lineRule="exact"/>
        <w:rPr>
          <w:rFonts w:ascii="Arial" w:cs="Arial" w:eastAsia="Arial" w:hAnsi="Arial"/>
          <w:sz w:val="18"/>
          <w:szCs w:val="18"/>
          <w:color w:val="auto"/>
        </w:rPr>
      </w:pPr>
    </w:p>
    <w:p>
      <w:pPr>
        <w:jc w:val="both"/>
        <w:ind w:left="864" w:right="60" w:hanging="432"/>
        <w:spacing w:after="0" w:line="263" w:lineRule="auto"/>
        <w:tabs>
          <w:tab w:leader="none" w:pos="864"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 a process, which uses a reporting tool developed by the RMI and data gathered through the RMAP (as further described below), to achieve control and transparency over our CM supply chain and identify the risk that our products may contain CMs directly or indirectly financing or benefiting armed groups in any Covered Country;</w:t>
      </w:r>
    </w:p>
    <w:p>
      <w:pPr>
        <w:spacing w:after="0" w:line="8" w:lineRule="exact"/>
        <w:rPr>
          <w:rFonts w:ascii="Arial" w:cs="Arial" w:eastAsia="Arial" w:hAnsi="Arial"/>
          <w:sz w:val="18"/>
          <w:szCs w:val="18"/>
          <w:color w:val="auto"/>
        </w:rPr>
      </w:pPr>
    </w:p>
    <w:p>
      <w:pPr>
        <w:ind w:left="864" w:hanging="432"/>
        <w:spacing w:after="0"/>
        <w:tabs>
          <w:tab w:leader="none" w:pos="864"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 a mechanism for Suppliers and others to communicate to TI their concerns with respect to our CM Process; and</w:t>
      </w:r>
    </w:p>
    <w:p>
      <w:pPr>
        <w:spacing w:after="0" w:line="49" w:lineRule="exact"/>
        <w:rPr>
          <w:rFonts w:ascii="Arial" w:cs="Arial" w:eastAsia="Arial" w:hAnsi="Arial"/>
          <w:sz w:val="18"/>
          <w:szCs w:val="18"/>
          <w:color w:val="auto"/>
        </w:rPr>
      </w:pPr>
    </w:p>
    <w:p>
      <w:pPr>
        <w:ind w:left="864" w:hanging="432"/>
        <w:spacing w:after="0"/>
        <w:tabs>
          <w:tab w:leader="none" w:pos="86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Rely on the RMAP to validate supply chain due diligence.</w:t>
      </w:r>
    </w:p>
    <w:p>
      <w:pPr>
        <w:spacing w:after="0" w:line="150"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24"/>
          </w:cols>
          <w:pgMar w:left="436" w:top="125"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Step 2: Identify and assess risks in the supply chain</w:t>
      </w:r>
    </w:p>
    <w:p>
      <w:pPr>
        <w:spacing w:after="0" w:line="131" w:lineRule="exact"/>
        <w:rPr>
          <w:sz w:val="20"/>
          <w:szCs w:val="20"/>
          <w:color w:val="auto"/>
        </w:rPr>
      </w:pPr>
    </w:p>
    <w:p>
      <w:pPr>
        <w:ind w:left="864" w:hanging="432"/>
        <w:spacing w:after="0"/>
        <w:tabs>
          <w:tab w:leader="none" w:pos="8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Communicate our CM policy to Suppliers;</w:t>
      </w:r>
    </w:p>
    <w:p>
      <w:pPr>
        <w:spacing w:after="0" w:line="49" w:lineRule="exact"/>
        <w:rPr>
          <w:rFonts w:ascii="Arial" w:cs="Arial" w:eastAsia="Arial" w:hAnsi="Arial"/>
          <w:sz w:val="18"/>
          <w:szCs w:val="18"/>
          <w:color w:val="auto"/>
        </w:rPr>
      </w:pPr>
    </w:p>
    <w:p>
      <w:pPr>
        <w:ind w:left="864" w:right="120" w:hanging="432"/>
        <w:spacing w:after="0" w:line="263" w:lineRule="auto"/>
        <w:tabs>
          <w:tab w:leader="none" w:pos="864"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Suppliers to provide information concerning Smelters in their supply chains by completing and sending to us the Conflict Minerals Reporting Template (a tool developed by the RMI that provides a common means for suppliers to provide their customers with information on the source of conflict minerals);</w:t>
      </w:r>
    </w:p>
    <w:p>
      <w:pPr>
        <w:spacing w:after="0" w:line="8" w:lineRule="exact"/>
        <w:rPr>
          <w:rFonts w:ascii="Arial" w:cs="Arial" w:eastAsia="Arial" w:hAnsi="Arial"/>
          <w:sz w:val="18"/>
          <w:szCs w:val="18"/>
          <w:color w:val="auto"/>
        </w:rPr>
      </w:pPr>
    </w:p>
    <w:p>
      <w:pPr>
        <w:ind w:left="864" w:hanging="432"/>
        <w:spacing w:after="0" w:line="273" w:lineRule="auto"/>
        <w:tabs>
          <w:tab w:leader="none" w:pos="864"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Analyze Suppliers’ Conflict Minerals Reporting Template responses for completeness and internal consistency, and follow up with Suppliers in an effort to obtain more information and ensure accuracy of information;</w:t>
      </w:r>
    </w:p>
    <w:p>
      <w:pPr>
        <w:spacing w:after="0" w:line="1" w:lineRule="exact"/>
        <w:rPr>
          <w:rFonts w:ascii="Arial" w:cs="Arial" w:eastAsia="Arial" w:hAnsi="Arial"/>
          <w:sz w:val="18"/>
          <w:szCs w:val="18"/>
          <w:color w:val="auto"/>
        </w:rPr>
      </w:pPr>
    </w:p>
    <w:p>
      <w:pPr>
        <w:ind w:left="864" w:right="80" w:hanging="432"/>
        <w:spacing w:after="0" w:line="273" w:lineRule="auto"/>
        <w:tabs>
          <w:tab w:leader="none" w:pos="8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 the information received from Suppliers with the data made available by the RMAP concerning the country of origin and Conflict Status of CMs processed or refined by Smelters; and</w:t>
      </w:r>
    </w:p>
    <w:p>
      <w:pPr>
        <w:spacing w:after="0" w:line="1" w:lineRule="exact"/>
        <w:rPr>
          <w:rFonts w:ascii="Arial" w:cs="Arial" w:eastAsia="Arial" w:hAnsi="Arial"/>
          <w:sz w:val="18"/>
          <w:szCs w:val="18"/>
          <w:color w:val="auto"/>
        </w:rPr>
      </w:pPr>
    </w:p>
    <w:p>
      <w:pPr>
        <w:ind w:left="864" w:right="20" w:hanging="432"/>
        <w:spacing w:after="0" w:line="263" w:lineRule="auto"/>
        <w:tabs>
          <w:tab w:leader="none" w:pos="86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other source materials for Smelters that are not compliant with the RMI if we were unable to determine, on the basis of the information provided by Suppliers and RMAP data, (i) the facility and country of origin of the CMs supplied to us, (ii) the Conflict Status of the CMs and (iii) whether the CMs were from recycled or scrap sources.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3: Design and implement a strategy to respond to identified risks</w:t>
      </w:r>
    </w:p>
    <w:p>
      <w:pPr>
        <w:spacing w:after="0" w:line="131" w:lineRule="exact"/>
        <w:rPr>
          <w:sz w:val="20"/>
          <w:szCs w:val="20"/>
          <w:color w:val="auto"/>
        </w:rPr>
      </w:pPr>
    </w:p>
    <w:p>
      <w:pPr>
        <w:ind w:left="864" w:right="500" w:hanging="432"/>
        <w:spacing w:after="0" w:line="273" w:lineRule="auto"/>
        <w:tabs>
          <w:tab w:leader="none" w:pos="864" w:val="left"/>
        </w:tabs>
        <w:numPr>
          <w:ilvl w:val="0"/>
          <w:numId w:val="7"/>
        </w:numPr>
        <w:rPr>
          <w:rFonts w:ascii="Arial" w:cs="Arial" w:eastAsia="Arial" w:hAnsi="Arial"/>
          <w:sz w:val="18"/>
          <w:szCs w:val="18"/>
          <w:color w:val="auto"/>
        </w:rPr>
      </w:pPr>
      <w:r>
        <w:rPr>
          <w:rFonts w:ascii="Arial" w:cs="Arial" w:eastAsia="Arial" w:hAnsi="Arial"/>
          <w:sz w:val="18"/>
          <w:szCs w:val="18"/>
          <w:color w:val="auto"/>
        </w:rPr>
        <w:t>Adopt a risk management plan in response to identified risks while continuing to do business with Supplier or suspending/terminating dealings with Supplier; and</w:t>
      </w:r>
    </w:p>
    <w:p>
      <w:pPr>
        <w:spacing w:after="0" w:line="1" w:lineRule="exact"/>
        <w:rPr>
          <w:rFonts w:ascii="Arial" w:cs="Arial" w:eastAsia="Arial" w:hAnsi="Arial"/>
          <w:sz w:val="18"/>
          <w:szCs w:val="18"/>
          <w:color w:val="auto"/>
        </w:rPr>
      </w:pPr>
    </w:p>
    <w:p>
      <w:pPr>
        <w:ind w:left="864" w:hanging="432"/>
        <w:spacing w:after="0"/>
        <w:tabs>
          <w:tab w:leader="none" w:pos="864"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Communicate the risk management plan to senior management.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4: Carry out independent third-party audit of smelter/refiner’s due diligence practices</w:t>
      </w:r>
    </w:p>
    <w:p>
      <w:pPr>
        <w:spacing w:after="0" w:line="131" w:lineRule="exact"/>
        <w:rPr>
          <w:sz w:val="20"/>
          <w:szCs w:val="20"/>
          <w:color w:val="auto"/>
        </w:rPr>
      </w:pPr>
    </w:p>
    <w:p>
      <w:pPr>
        <w:ind w:left="864" w:right="320" w:hanging="432"/>
        <w:spacing w:after="0" w:line="277" w:lineRule="auto"/>
        <w:tabs>
          <w:tab w:leader="none" w:pos="864"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information provided by independent third party audit programs, including the RMI, to confirm the existence and verify the OECD-conformance status of Smelters identified during due diligence.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 5: Report annually on the supply chain due diligence</w:t>
      </w:r>
    </w:p>
    <w:p>
      <w:pPr>
        <w:spacing w:after="0" w:line="131" w:lineRule="exact"/>
        <w:rPr>
          <w:sz w:val="20"/>
          <w:szCs w:val="20"/>
          <w:color w:val="auto"/>
        </w:rPr>
      </w:pPr>
    </w:p>
    <w:p>
      <w:pPr>
        <w:ind w:left="864" w:right="580" w:hanging="432"/>
        <w:spacing w:after="0" w:line="277" w:lineRule="auto"/>
        <w:tabs>
          <w:tab w:leader="none" w:pos="86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Annually submit a Conflict Minerals Disclosure and Report to the SEC, which reports the results of TI’s due diligence. This Conflict Minerals Report has been filed with the SEC and is available on our website at ti.com/annualccr.</w:t>
      </w:r>
    </w:p>
    <w:p>
      <w:pPr>
        <w:spacing w:after="0" w:line="19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IV.</w:t>
        <w:tab/>
        <w:t>Our Findings</w:t>
      </w:r>
    </w:p>
    <w:p>
      <w:pPr>
        <w:spacing w:after="0" w:line="225"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 xml:space="preserve">We have determined that 99.6% of the Smelters in the supply chain for our integrated circuits (“ICs”) </w:t>
      </w:r>
      <w:r>
        <w:rPr>
          <w:rFonts w:ascii="Arial" w:cs="Arial" w:eastAsia="Arial" w:hAnsi="Arial"/>
          <w:sz w:val="15"/>
          <w:szCs w:val="15"/>
          <w:color w:val="auto"/>
        </w:rPr>
        <w:t>1</w:t>
      </w:r>
      <w:r>
        <w:rPr>
          <w:rFonts w:ascii="Arial" w:cs="Arial" w:eastAsia="Arial" w:hAnsi="Arial"/>
          <w:sz w:val="18"/>
          <w:szCs w:val="18"/>
          <w:color w:val="auto"/>
        </w:rPr>
        <w:t xml:space="preserve"> were conflict-free.</w:t>
      </w:r>
      <w:r>
        <w:rPr>
          <w:rFonts w:ascii="Arial" w:cs="Arial" w:eastAsia="Arial" w:hAnsi="Arial"/>
          <w:sz w:val="15"/>
          <w:szCs w:val="15"/>
          <w:color w:val="auto"/>
        </w:rPr>
        <w:t>2</w:t>
      </w:r>
      <w:r>
        <w:rPr>
          <w:rFonts w:ascii="Arial" w:cs="Arial" w:eastAsia="Arial" w:hAnsi="Arial"/>
          <w:sz w:val="18"/>
          <w:szCs w:val="18"/>
          <w:color w:val="auto"/>
        </w:rPr>
        <w:t xml:space="preserve"> Our determination is based on the finding that 99.6% of the Smelters identified to us by our Suppliers as being potentially in the supply chain for ICs in 2020 supplied CMs exclusively from conflict-free sources. ICs accounted for approximately 92 percent of TI revenue in 2020.</w:t>
      </w:r>
    </w:p>
    <w:p>
      <w:pPr>
        <w:spacing w:after="0" w:line="184"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Of the Smelters identified for 2020 in our overall supply chain (including ICs as well as other products manufactured by or for TI), we have determined that the CMs potentially supplied to us by 99 percent of the Smelters were conflict-free, as compared with 98 percent for 2019. The remaining 1 percent of the Smelters identified for 2020 have committed to participate in a third-party audit of their Conflict Status. In no instance did we find CMs in our supply chain to be from a source that, to our knowledge, was directly or indirectly financing or benefiting armed conflict in a Covered Country.</w:t>
      </w:r>
    </w:p>
    <w:p>
      <w:pPr>
        <w:spacing w:after="0" w:line="157"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In 2020, we continued to make progress in our due diligence efforts with regard to Smelters that are not compliant with the RMI. While we primarily relied on information from our first-tier suppliers, in some cases we contacted second-tier suppliers for more complete information. That information, combined with information available through the RMAP, provided us with greater insight into the Conflict Status of CMs identified as potentially in our supply chain.</w:t>
      </w:r>
    </w:p>
    <w:p>
      <w:pPr>
        <w:spacing w:after="0" w:line="187" w:lineRule="exact"/>
        <w:rPr>
          <w:sz w:val="20"/>
          <w:szCs w:val="20"/>
          <w:color w:val="auto"/>
        </w:rPr>
      </w:pPr>
    </w:p>
    <w:p>
      <w:pPr>
        <w:jc w:val="both"/>
        <w:ind w:left="4" w:right="20"/>
        <w:spacing w:after="0" w:line="255" w:lineRule="auto"/>
        <w:rPr>
          <w:sz w:val="20"/>
          <w:szCs w:val="20"/>
          <w:color w:val="auto"/>
        </w:rPr>
      </w:pPr>
      <w:r>
        <w:rPr>
          <w:rFonts w:ascii="Arial" w:cs="Arial" w:eastAsia="Arial" w:hAnsi="Arial"/>
          <w:sz w:val="18"/>
          <w:szCs w:val="18"/>
          <w:color w:val="auto"/>
        </w:rPr>
        <w:t>We do not have complete information about the CMs in our entire supply chain. For 2020, approximately 77 percent of Suppliers identified Smelters in their supply chains on a company-wide, division or product-line basis, without specifying which Smelters were relevant to products they supplied to TI. (Accordingly, we refer in this Conflict Minerals Report to Smelters as being “potentially” in our supply chain and as CMs “potentially” supplied to TI.) Industry efforts to collect and verify CM origin information remain incomplete. For Smelters that have committed to participate in a third-party audit of their Conflict Status, that status is currently undeterminable because the audits are not complete. The results of our due diligence, which are summarized in the charts below, reflect these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8" w:lineRule="exact"/>
        <w:rPr>
          <w:sz w:val="20"/>
          <w:szCs w:val="20"/>
          <w:color w:val="auto"/>
        </w:rPr>
      </w:pPr>
    </w:p>
    <w:p>
      <w:pPr>
        <w:ind w:left="4" w:right="240" w:hanging="4"/>
        <w:spacing w:after="0" w:line="291" w:lineRule="auto"/>
        <w:tabs>
          <w:tab w:leader="none" w:pos="125" w:val="left"/>
        </w:tabs>
        <w:numPr>
          <w:ilvl w:val="0"/>
          <w:numId w:val="10"/>
        </w:numPr>
        <w:rPr>
          <w:rFonts w:ascii="Arial" w:cs="Arial" w:eastAsia="Arial" w:hAnsi="Arial"/>
          <w:sz w:val="13"/>
          <w:szCs w:val="13"/>
          <w:color w:val="auto"/>
        </w:rPr>
      </w:pPr>
      <w:r>
        <w:rPr>
          <w:rFonts w:ascii="Arial" w:cs="Arial" w:eastAsia="Arial" w:hAnsi="Arial"/>
          <w:sz w:val="16"/>
          <w:szCs w:val="16"/>
          <w:color w:val="auto"/>
        </w:rPr>
        <w:t>“Integrated circuits” refers to finished semiconductor products that contain chips manufactured by or for TI and packaging subcomponents such as mold compounds, bond wires and lead frames. It excludes DLP® products, semiconductor modules and all other products manufactured by or for TI.</w:t>
      </w:r>
    </w:p>
    <w:p>
      <w:pPr>
        <w:ind w:left="4" w:right="40"/>
        <w:spacing w:after="0" w:line="277" w:lineRule="auto"/>
        <w:rPr>
          <w:rFonts w:ascii="Arial" w:cs="Arial" w:eastAsia="Arial" w:hAnsi="Arial"/>
          <w:sz w:val="13"/>
          <w:szCs w:val="13"/>
          <w:color w:val="auto"/>
        </w:rPr>
      </w:pPr>
      <w:r>
        <w:rPr>
          <w:rFonts w:ascii="Arial" w:cs="Arial" w:eastAsia="Arial" w:hAnsi="Arial"/>
          <w:sz w:val="15"/>
          <w:szCs w:val="15"/>
          <w:color w:val="auto"/>
        </w:rPr>
        <w:t xml:space="preserve">2 </w:t>
      </w:r>
      <w:r>
        <w:rPr>
          <w:rFonts w:ascii="Arial" w:cs="Arial" w:eastAsia="Arial" w:hAnsi="Arial"/>
          <w:sz w:val="17"/>
          <w:szCs w:val="17"/>
          <w:color w:val="auto"/>
        </w:rPr>
        <w:t>Of the 236 Smelters potentially in our IC supply chain, 235 have been certified by the RMI as processing Conflict Minerals from conflict-free sources.</w:t>
      </w:r>
      <w:r>
        <w:rPr>
          <w:rFonts w:ascii="Arial" w:cs="Arial" w:eastAsia="Arial" w:hAnsi="Arial"/>
          <w:sz w:val="15"/>
          <w:szCs w:val="15"/>
          <w:color w:val="auto"/>
        </w:rPr>
        <w:t xml:space="preserve"> </w:t>
      </w:r>
      <w:r>
        <w:rPr>
          <w:rFonts w:ascii="Arial" w:cs="Arial" w:eastAsia="Arial" w:hAnsi="Arial"/>
          <w:sz w:val="17"/>
          <w:szCs w:val="17"/>
          <w:color w:val="auto"/>
        </w:rPr>
        <w:t>The remaining Smelter, Heraeus Germany GmbH Co., KG, experienced a lapse in its certification due to an administrative-related factor but is actively working with the RMI to reactivate its certification. We expect the certification process to be completed in the near term.</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04"/>
          </w:cols>
          <w:pgMar w:left="436" w:top="274" w:right="459" w:bottom="1440" w:gutter="0" w:footer="0" w:header="0"/>
        </w:sectPr>
      </w:pPr>
    </w:p>
    <w:bookmarkStart w:id="5" w:name="page6"/>
    <w:bookmarkEnd w:id="5"/>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Smelter Status – Overview</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IC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3002280</wp:posOffset>
            </wp:positionV>
            <wp:extent cx="5666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413385</wp:posOffset>
            </wp:positionV>
            <wp:extent cx="5915025" cy="2237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1502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Overall Supply Chain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(including 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214630</wp:posOffset>
            </wp:positionV>
            <wp:extent cx="5280660" cy="42691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80660" cy="4269105"/>
                    </a:xfrm>
                    <a:prstGeom prst="rect">
                      <a:avLst/>
                    </a:prstGeom>
                    <a:noFill/>
                  </pic:spPr>
                </pic:pic>
              </a:graphicData>
            </a:graphic>
          </wp:anchor>
        </w:drawing>
      </w:r>
    </w:p>
    <w:p>
      <w:pPr>
        <w:sectPr>
          <w:pgSz w:w="11900" w:h="16838" w:orient="portrait"/>
          <w:cols w:equalWidth="0" w:num="1">
            <w:col w:w="9019"/>
          </w:cols>
          <w:pgMar w:left="1440" w:top="2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261" w:right="1440" w:bottom="1440" w:gutter="0" w:footer="0" w:header="0"/>
          <w:type w:val="continuous"/>
        </w:sectPr>
      </w:pPr>
    </w:p>
    <w:bookmarkStart w:id="6" w:name="page7"/>
    <w:bookmarkEnd w:id="6"/>
    <w:p>
      <w:pPr>
        <w:jc w:val="center"/>
        <w:ind w:right="-2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Smelter Status – By 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414020</wp:posOffset>
            </wp:positionV>
            <wp:extent cx="5648960" cy="4225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422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For an explanation of the color codes, see the notes to the Smelter Status - Overview charts directly above.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Smelters identified by our Suppliers as potentially in our supply chain are listed in Appendix A hereto. Our efforts to determine the mine or location of origin of the CMs consisted of the due diligence measures described above.</w:t>
      </w:r>
    </w:p>
    <w:p>
      <w:pPr>
        <w:spacing w:after="0" w:line="197"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Scope</w:t>
      </w:r>
    </w:p>
    <w:p>
      <w:pPr>
        <w:spacing w:after="0" w:line="225"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In 2020, our products were divided into two reportable segments as described in our annual report on Form 10-K for the year ended December 31, 2020: Analog (consisting of Power and Signal Chain product lines) and Embedded Processing (including microcontrollers, digital signal processors, and applications processors). 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4"/>
          <w:szCs w:val="14"/>
          <w:color w:val="auto"/>
        </w:rPr>
        <w:t>®</w:t>
      </w:r>
      <w:r>
        <w:rPr>
          <w:rFonts w:ascii="Arial" w:cs="Arial" w:eastAsia="Arial" w:hAnsi="Arial"/>
          <w:sz w:val="17"/>
          <w:szCs w:val="17"/>
          <w:color w:val="auto"/>
        </w:rPr>
        <w:t xml:space="preserve"> products, calculators, and certain custom semiconductors known as application-specific integrated circuits). For further information about our products, please see the description of our products in Item 1 of the Form 10-K, which description is incorporated herein by reference.</w:t>
      </w:r>
    </w:p>
    <w:p>
      <w:pPr>
        <w:spacing w:after="0" w:line="20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VI.</w:t>
        <w:tab/>
        <w:t>Risk-Mitigation Efforts</w:t>
      </w:r>
    </w:p>
    <w:p>
      <w:pPr>
        <w:spacing w:after="0" w:line="22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Since the period covered by this Conflict Minerals Report, we have taken, or will take, the following steps to mitigate the risk that our CMs directly or indirectly finance or benefit armed groups in the Covered Countries, including to improve our due diligence:</w:t>
      </w:r>
    </w:p>
    <w:p>
      <w:pPr>
        <w:spacing w:after="0" w:line="76" w:lineRule="exact"/>
        <w:rPr>
          <w:sz w:val="20"/>
          <w:szCs w:val="20"/>
          <w:color w:val="auto"/>
        </w:rPr>
      </w:pPr>
    </w:p>
    <w:p>
      <w:pPr>
        <w:ind w:left="864" w:hanging="432"/>
        <w:spacing w:after="0"/>
        <w:tabs>
          <w:tab w:leader="none" w:pos="8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redistribute copies of our CM policy to Suppliers;</w:t>
      </w:r>
    </w:p>
    <w:p>
      <w:pPr>
        <w:spacing w:after="0" w:line="49" w:lineRule="exact"/>
        <w:rPr>
          <w:rFonts w:ascii="Arial" w:cs="Arial" w:eastAsia="Arial" w:hAnsi="Arial"/>
          <w:sz w:val="18"/>
          <w:szCs w:val="18"/>
          <w:color w:val="auto"/>
        </w:rPr>
      </w:pPr>
    </w:p>
    <w:p>
      <w:pPr>
        <w:ind w:left="864" w:hanging="432"/>
        <w:spacing w:after="0"/>
        <w:tabs>
          <w:tab w:leader="none" w:pos="8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emphasize to Suppliers our expectation that they respond fully and promptly to our information requests;</w:t>
      </w:r>
    </w:p>
    <w:p>
      <w:pPr>
        <w:spacing w:after="0" w:line="49" w:lineRule="exact"/>
        <w:rPr>
          <w:rFonts w:ascii="Arial" w:cs="Arial" w:eastAsia="Arial" w:hAnsi="Arial"/>
          <w:sz w:val="18"/>
          <w:szCs w:val="18"/>
          <w:color w:val="auto"/>
        </w:rPr>
      </w:pPr>
    </w:p>
    <w:p>
      <w:pPr>
        <w:ind w:left="864" w:hanging="432"/>
        <w:spacing w:after="0" w:line="277" w:lineRule="auto"/>
        <w:tabs>
          <w:tab w:leader="none" w:pos="8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instruct Suppliers to advise us if they determine that any person or entity in their supply chain is directly or indirectly financing or benefiting armed groups in the Covered Countries;</w:t>
      </w:r>
    </w:p>
    <w:p>
      <w:pPr>
        <w:sectPr>
          <w:pgSz w:w="11900" w:h="16838" w:orient="portrait"/>
          <w:cols w:equalWidth="0" w:num="1">
            <w:col w:w="10984"/>
          </w:cols>
          <w:pgMar w:left="436" w:top="261" w:right="479" w:bottom="1440" w:gutter="0" w:footer="0" w:header="0"/>
        </w:sectPr>
      </w:pPr>
    </w:p>
    <w:p>
      <w:pPr>
        <w:spacing w:after="0" w:line="96"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84"/>
          </w:cols>
          <w:pgMar w:left="436" w:top="261" w:right="479" w:bottom="1440" w:gutter="0" w:footer="0" w:header="0"/>
          <w:type w:val="continuous"/>
        </w:sectPr>
      </w:pPr>
    </w:p>
    <w:bookmarkStart w:id="7" w:name="page8"/>
    <w:bookmarkEnd w:id="7"/>
    <w:p>
      <w:pPr>
        <w:ind w:left="860" w:hanging="432"/>
        <w:spacing w:after="0"/>
        <w:tabs>
          <w:tab w:leader="none" w:pos="860"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encourage Suppliers to direct all Smelters in their supply chains to participate in the RMAP or a similar third-party audit program; and</w:t>
      </w:r>
    </w:p>
    <w:p>
      <w:pPr>
        <w:spacing w:after="0" w:line="46" w:lineRule="exact"/>
        <w:rPr>
          <w:rFonts w:ascii="Arial" w:cs="Arial" w:eastAsia="Arial" w:hAnsi="Arial"/>
          <w:sz w:val="16"/>
          <w:szCs w:val="16"/>
          <w:color w:val="auto"/>
        </w:rPr>
      </w:pPr>
    </w:p>
    <w:p>
      <w:pPr>
        <w:ind w:left="860" w:right="460" w:hanging="432"/>
        <w:spacing w:after="0" w:line="260"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contact various Smelters directly for information if their operating status changed, their RMI status changed, or they have refused to participate in an RMI audit.</w:t>
      </w:r>
    </w:p>
    <w:p>
      <w:pPr>
        <w:spacing w:after="0" w:line="2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6"/>
          <w:szCs w:val="16"/>
          <w:color w:val="auto"/>
        </w:rPr>
        <w:t>Independent Private Sector Audit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obtained an independent private sector audit of this Conflict Minerals Report. The report by Crowe LLP is set forth as Appendix B to this Conflict Minerals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[Intentionally blank]</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820"/>
          </w:cols>
          <w:pgMar w:left="440" w:top="274" w:right="639" w:bottom="1440" w:gutter="0" w:footer="0" w:header="0"/>
        </w:sectPr>
      </w:pPr>
    </w:p>
    <w:bookmarkStart w:id="8" w:name="page9"/>
    <w:bookmarkEnd w:id="8"/>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Included in this Appendix A are Smelters that were identified to us by our Suppliers as potentially in our supply chain for 2020. As explained in this Conflict Minerals Report, the presence of a Smelter on the lists in this Appendix A does not mean that TI products necessarily contained CMs processed by that Smelter.</w:t>
      </w:r>
    </w:p>
    <w:p>
      <w:pPr>
        <w:spacing w:after="0" w:line="205" w:lineRule="exact"/>
        <w:rPr>
          <w:sz w:val="20"/>
          <w:szCs w:val="20"/>
          <w:color w:val="auto"/>
        </w:rPr>
      </w:pPr>
    </w:p>
    <w:tbl>
      <w:tblPr>
        <w:tblLayout w:type="fixed"/>
        <w:tblInd w:w="134" w:type="dxa"/>
        <w:tblCellMar>
          <w:top w:w="0" w:type="dxa"/>
          <w:left w:w="0" w:type="dxa"/>
          <w:bottom w:w="0" w:type="dxa"/>
          <w:right w:w="0" w:type="dxa"/>
        </w:tblCellMar>
      </w:tblPr>
      <w:tr>
        <w:trPr>
          <w:trHeight w:val="230"/>
        </w:trPr>
        <w:tc>
          <w:tcPr>
            <w:tcW w:w="7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6"/>
              </w:rPr>
              <w:t>Table 1</w:t>
            </w:r>
          </w:p>
        </w:tc>
        <w:tc>
          <w:tcPr>
            <w:tcW w:w="42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 RMAP compliant Smelters: 237</w:t>
            </w:r>
          </w:p>
        </w:tc>
        <w:tc>
          <w:tcPr>
            <w:tcW w:w="29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 Smelters</w:t>
            </w:r>
          </w:p>
        </w:tc>
        <w:tc>
          <w:tcPr>
            <w:tcW w:w="29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40</w:t>
            </w:r>
          </w:p>
        </w:tc>
      </w:tr>
      <w:tr>
        <w:trPr>
          <w:trHeight w:val="209"/>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 Smelters</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51</w:t>
            </w:r>
          </w:p>
        </w:tc>
      </w:tr>
      <w:tr>
        <w:trPr>
          <w:trHeight w:val="209"/>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 Smelters</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37</w:t>
            </w:r>
          </w:p>
        </w:tc>
      </w:tr>
      <w:tr>
        <w:trPr>
          <w:trHeight w:val="210"/>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 Smelters</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109</w:t>
            </w:r>
          </w:p>
        </w:tc>
      </w:tr>
      <w:tr>
        <w:trPr>
          <w:trHeight w:val="209"/>
        </w:trPr>
        <w:tc>
          <w:tcPr>
            <w:tcW w:w="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6"/>
              </w:rPr>
              <w:t>Table 2</w:t>
            </w:r>
          </w:p>
        </w:tc>
        <w:tc>
          <w:tcPr>
            <w:tcW w:w="4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 undeterminable Smelters: 2</w:t>
            </w: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 Smelters</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209"/>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 Smelters</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w:t>
            </w:r>
          </w:p>
        </w:tc>
      </w:tr>
      <w:tr>
        <w:trPr>
          <w:trHeight w:val="210"/>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 Smelters</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209"/>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2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 Smelters</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Table 1</w:t>
      </w:r>
      <w:r>
        <w:rPr>
          <w:rFonts w:ascii="Arial" w:cs="Arial" w:eastAsia="Arial" w:hAnsi="Arial"/>
          <w:sz w:val="18"/>
          <w:szCs w:val="18"/>
          <w:color w:val="auto"/>
        </w:rPr>
        <w:t>:</w:t>
      </w:r>
    </w:p>
    <w:p>
      <w:pPr>
        <w:spacing w:after="0" w:line="225"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Listed below are the 237 Smelters identified to us by our Suppliers as potentially in our supply chain for 2020 that the RMAP has reported as compliant with its audit protocols. On that basis, we have determined that the CMs supplied by these Smelters were conflict-free. The location information is as reported by the RMAP as of February 24, 2021.</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*Smelters that potentially supply the CMs for our ICs.</w:t>
      </w:r>
    </w:p>
    <w:p>
      <w:pPr>
        <w:spacing w:after="0" w:line="246" w:lineRule="exact"/>
        <w:rPr>
          <w:sz w:val="20"/>
          <w:szCs w:val="20"/>
          <w:color w:val="auto"/>
        </w:rPr>
      </w:pPr>
    </w:p>
    <w:tbl>
      <w:tblPr>
        <w:tblLayout w:type="fixed"/>
        <w:tblInd w:w="134" w:type="dxa"/>
        <w:tblCellMar>
          <w:top w:w="0" w:type="dxa"/>
          <w:left w:w="0" w:type="dxa"/>
          <w:bottom w:w="0" w:type="dxa"/>
          <w:right w:w="0" w:type="dxa"/>
        </w:tblCellMar>
      </w:tblPr>
      <w:tr>
        <w:trPr>
          <w:trHeight w:val="248"/>
        </w:trPr>
        <w:tc>
          <w:tcPr>
            <w:tcW w:w="680" w:type="dxa"/>
            <w:vAlign w:val="bottom"/>
            <w:tcBorders>
              <w:top w:val="single" w:sz="8" w:color="auto"/>
              <w:left w:val="single" w:sz="8" w:color="auto"/>
              <w:right w:val="single" w:sz="8" w:color="auto"/>
            </w:tcBorders>
            <w:shd w:val="clear" w:color="auto" w:fill="C6D9F1"/>
          </w:tcPr>
          <w:p>
            <w:pPr>
              <w:spacing w:after="0"/>
              <w:rPr>
                <w:sz w:val="21"/>
                <w:szCs w:val="21"/>
                <w:color w:val="auto"/>
              </w:rPr>
            </w:pPr>
          </w:p>
        </w:tc>
        <w:tc>
          <w:tcPr>
            <w:tcW w:w="6120" w:type="dxa"/>
            <w:vAlign w:val="bottom"/>
            <w:tcBorders>
              <w:top w:val="single" w:sz="8" w:color="auto"/>
              <w:right w:val="single" w:sz="8" w:color="auto"/>
            </w:tcBorders>
            <w:shd w:val="clear" w:color="auto" w:fill="C6D9F1"/>
          </w:tcPr>
          <w:p>
            <w:pPr>
              <w:ind w:left="100"/>
              <w:spacing w:after="0"/>
              <w:rPr>
                <w:sz w:val="20"/>
                <w:szCs w:val="20"/>
                <w:color w:val="auto"/>
              </w:rPr>
            </w:pPr>
            <w:r>
              <w:rPr>
                <w:rFonts w:ascii="Arial" w:cs="Arial" w:eastAsia="Arial" w:hAnsi="Arial"/>
                <w:sz w:val="18"/>
                <w:szCs w:val="18"/>
                <w:b w:val="1"/>
                <w:bCs w:val="1"/>
                <w:color w:val="auto"/>
              </w:rPr>
              <w:t>Smelter</w:t>
            </w:r>
          </w:p>
        </w:tc>
        <w:tc>
          <w:tcPr>
            <w:tcW w:w="1180" w:type="dxa"/>
            <w:vAlign w:val="bottom"/>
            <w:tcBorders>
              <w:top w:val="single" w:sz="8" w:color="auto"/>
              <w:right w:val="single" w:sz="8" w:color="auto"/>
            </w:tcBorders>
            <w:shd w:val="clear" w:color="auto" w:fill="C6D9F1"/>
          </w:tcPr>
          <w:p>
            <w:pPr>
              <w:ind w:left="80"/>
              <w:spacing w:after="0"/>
              <w:rPr>
                <w:sz w:val="20"/>
                <w:szCs w:val="20"/>
                <w:color w:val="auto"/>
              </w:rPr>
            </w:pPr>
            <w:r>
              <w:rPr>
                <w:rFonts w:ascii="Arial" w:cs="Arial" w:eastAsia="Arial" w:hAnsi="Arial"/>
                <w:sz w:val="18"/>
                <w:szCs w:val="18"/>
                <w:b w:val="1"/>
                <w:bCs w:val="1"/>
                <w:color w:val="auto"/>
              </w:rPr>
              <w:t>Metal</w:t>
            </w:r>
          </w:p>
        </w:tc>
        <w:tc>
          <w:tcPr>
            <w:tcW w:w="2940" w:type="dxa"/>
            <w:vAlign w:val="bottom"/>
            <w:tcBorders>
              <w:top w:val="single" w:sz="8" w:color="auto"/>
              <w:right w:val="single" w:sz="8" w:color="auto"/>
            </w:tcBorders>
            <w:shd w:val="clear" w:color="auto" w:fill="C6D9F1"/>
          </w:tcPr>
          <w:p>
            <w:pPr>
              <w:ind w:left="100"/>
              <w:spacing w:after="0"/>
              <w:rPr>
                <w:sz w:val="20"/>
                <w:szCs w:val="20"/>
                <w:color w:val="auto"/>
              </w:rPr>
            </w:pPr>
            <w:r>
              <w:rPr>
                <w:rFonts w:ascii="Arial" w:cs="Arial" w:eastAsia="Arial" w:hAnsi="Arial"/>
                <w:sz w:val="18"/>
                <w:szCs w:val="18"/>
                <w:b w:val="1"/>
                <w:bCs w:val="1"/>
                <w:color w:val="auto"/>
              </w:rPr>
              <w:t>Country Location</w:t>
            </w:r>
          </w:p>
        </w:tc>
      </w:tr>
      <w:tr>
        <w:trPr>
          <w:trHeight w:val="63"/>
        </w:trPr>
        <w:tc>
          <w:tcPr>
            <w:tcW w:w="680" w:type="dxa"/>
            <w:vAlign w:val="bottom"/>
            <w:tcBorders>
              <w:left w:val="single" w:sz="8" w:color="auto"/>
              <w:bottom w:val="single" w:sz="8" w:color="auto"/>
              <w:right w:val="single" w:sz="8" w:color="auto"/>
            </w:tcBorders>
            <w:shd w:val="clear" w:color="auto" w:fill="C6D9F1"/>
          </w:tcPr>
          <w:p>
            <w:pPr>
              <w:spacing w:after="0"/>
              <w:rPr>
                <w:sz w:val="5"/>
                <w:szCs w:val="5"/>
                <w:color w:val="auto"/>
              </w:rPr>
            </w:pPr>
          </w:p>
        </w:tc>
        <w:tc>
          <w:tcPr>
            <w:tcW w:w="6120" w:type="dxa"/>
            <w:vAlign w:val="bottom"/>
            <w:tcBorders>
              <w:bottom w:val="single" w:sz="8" w:color="auto"/>
              <w:right w:val="single" w:sz="8" w:color="auto"/>
            </w:tcBorders>
            <w:shd w:val="clear" w:color="auto" w:fill="C6D9F1"/>
          </w:tcPr>
          <w:p>
            <w:pPr>
              <w:spacing w:after="0"/>
              <w:rPr>
                <w:sz w:val="5"/>
                <w:szCs w:val="5"/>
                <w:color w:val="auto"/>
              </w:rPr>
            </w:pPr>
          </w:p>
        </w:tc>
        <w:tc>
          <w:tcPr>
            <w:tcW w:w="1180" w:type="dxa"/>
            <w:vAlign w:val="bottom"/>
            <w:tcBorders>
              <w:bottom w:val="single" w:sz="8" w:color="auto"/>
              <w:right w:val="single" w:sz="8" w:color="auto"/>
            </w:tcBorders>
            <w:shd w:val="clear" w:color="auto" w:fill="C6D9F1"/>
          </w:tcPr>
          <w:p>
            <w:pPr>
              <w:spacing w:after="0"/>
              <w:rPr>
                <w:sz w:val="5"/>
                <w:szCs w:val="5"/>
                <w:color w:val="auto"/>
              </w:rPr>
            </w:pPr>
          </w:p>
        </w:tc>
        <w:tc>
          <w:tcPr>
            <w:tcW w:w="2940" w:type="dxa"/>
            <w:vAlign w:val="bottom"/>
            <w:tcBorders>
              <w:bottom w:val="single" w:sz="8" w:color="auto"/>
              <w:right w:val="single" w:sz="8" w:color="auto"/>
            </w:tcBorders>
            <w:shd w:val="clear" w:color="auto" w:fill="C6D9F1"/>
          </w:tcPr>
          <w:p>
            <w:pPr>
              <w:spacing w:after="0"/>
              <w:rPr>
                <w:sz w:val="5"/>
                <w:szCs w:val="5"/>
                <w:color w:val="auto"/>
              </w:rPr>
            </w:pP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A.L.M.T. Corp.*</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ACL Metais Eireli*</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Asia Tungsten Products Vietnam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VIETNAM</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Chenzhou Diamond Tungsten Products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Chongyi Zhangyuan Tungsten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Fujian Ganmin RareMetal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Ganzhou Haichuang Tungsten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Ganzhou Huaxing Tungsten Products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Ganzhou Jiangwu Ferrotungsten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Ganzhou Seadragon W &amp; Mo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Global Tungsten &amp; Powders Corp.*</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Guangdong Xianglu Tungsten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H.C. Starck Tungsten GmbH*</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Hunan Chenzhou Mining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Hunan Chunchang Nonferrous Metals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Hunan Litian Tungsten Industry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Hydrometallurg, JSC*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 New Metals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Jiangwu H.C. Starck Tungsten Products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Gan Bei Tungsten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Tonggu Non-ferrous Metallurgical &amp; Chemical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Xinsheng Tungsten Industry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Yaosheng Tungsten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Kennametal Fallon*</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Kennametal Huntsville*</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KGETS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Lianyou Metals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Malipo Haiyu Tungsten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bl>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24"/>
          </w:cols>
          <w:pgMar w:left="436" w:top="274" w:right="4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29"/>
        </w:trPr>
        <w:tc>
          <w:tcPr>
            <w:tcW w:w="680" w:type="dxa"/>
            <w:vAlign w:val="bottom"/>
            <w:tcBorders>
              <w:top w:val="single" w:sz="8" w:color="auto"/>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29.</w:t>
            </w:r>
          </w:p>
        </w:tc>
        <w:tc>
          <w:tcPr>
            <w:tcW w:w="61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Masan High-Tech Materials*</w:t>
            </w:r>
          </w:p>
        </w:tc>
        <w:tc>
          <w:tcPr>
            <w:tcW w:w="11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VIETNAM</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30.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Moliren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31.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Niagara Refining LLC*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32.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Philippine Chuangxin Industrial Co., Inc.*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PHILIPPINES</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33.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TANIOBIS Smelting GmbH &amp; Co. KG*</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34.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Tejing (Vietnam) Tungsten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VIETNAM</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35.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Unecha Refractory metals plant*</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36.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Wolfram Bergbau und Hütten AG*</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AUSTRIA</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37.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Woltech Korea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38.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Xiamen Tungsten (H.C.)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39.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Xiamen Tungsten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40.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Xinfeng Huarui Tungsten &amp; Molybdenum New Material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41.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Alpha*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42.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Chenzhou Yunxiang Mining and Metallurgy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43.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Chifeng Dajingzi Tin Industry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44.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 Tin Group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45.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Dowa*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46.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 Vinto*</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BOLIVIA</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47.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Fenix Metals*</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POLAND</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48.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Gejiu Kai Meng Industry and Trade LLC*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49.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Gejiu Non-Ferrous Metal Processing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Gejiu Yunxin Nonferrous Electrolysis Co., Ltd. *</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Gejiu Zili Mining and Metallurgy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Guangdong Hanhe Non-Ferrous Metal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HuiChang Hill Tin Industry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New Nasan Technology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Luna Smelter,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RWANDA</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Ma’anshan Weitai Tin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Magnu’s Minerais Metais e Ligas Ltda.*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Malaysia Smelting Corporation (MSC)*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MALAYSIA</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Melt Metais e Ligas S.A.*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Metallic Resources, Inc.*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Metallo Belgium N.V.*</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BELGIUM</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Metallo Spain S.L.U.*</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SPAIN</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Mineração Taboca S.A.*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Minsur*</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PERU</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Mitsubishi Materials Corporation*</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O.M. Manufacturing Philippines, Inc.*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PHILIPPINES</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O.M. Manufacturing (Thailand)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Operaciones Metalurgical S.A.*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BOLIVIA</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Artha Cipta Langgeng*</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70.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ATD Makmur Mandiri Jaya*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71.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Babel Surya Alam Lestari*</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r>
      <w:tr>
        <w:trPr>
          <w:trHeight w:val="210"/>
        </w:trPr>
        <w:tc>
          <w:tcPr>
            <w:tcW w:w="680" w:type="dxa"/>
            <w:vAlign w:val="bottom"/>
            <w:tcBorders>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72.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Bangka Serumpun*</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900"/>
          </w:cols>
          <w:pgMar w:left="560" w:top="268" w:right="4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29"/>
        </w:trPr>
        <w:tc>
          <w:tcPr>
            <w:tcW w:w="6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73.</w:t>
            </w:r>
          </w:p>
        </w:tc>
        <w:tc>
          <w:tcPr>
            <w:tcW w:w="61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Menara Cipta Mulia*</w:t>
            </w:r>
          </w:p>
        </w:tc>
        <w:tc>
          <w:tcPr>
            <w:tcW w:w="11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Mitra Stania Prima*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Prima Timah Utama*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Rajawali Rimba Perkasa*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Rajehan Ariq*</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Refined Bangka Tin*</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Stanindo Inti Perkasa*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Timah Tbk Kundur*</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Timah Tbk Mentok*</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Resind Indústria e Comércio Ltda.*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Rui Da Hung*</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Soft Metais Ltda.*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 Nguyen Mining and Metallurgy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VIETNAM</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Thaisarco*</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Technology &amp; Refining*</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White Solder Metalurgia e Mineração Ltda.*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Yunnan Chengfeng Non-ferrous Metals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Yunnan Tin Company Limited*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Yunnan Yunfan Non-ferrous Metals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Asaka Riken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Changsha South Tantalum Niobium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 Block Metals, LLC*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Exotech Inc.*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F&amp;X Electro-Materials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FIR Metals &amp; Resource Ltd. *</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Global Advanced Metals Aizu*</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Global Advanced Metals Boyertown*</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H.C. Starck Hermsdorf GmbH*</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H.C. Starck Inc.*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Hengyang King Xing Lifeng New Materials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Dinghai Tantalum &amp; Niobium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Tuohong New Raw Material*</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JiuJiang JinXin Nonferrous Metals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Jiujiang Tanbre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Jiujiang Zhongao Tantalum &amp; Niobium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KEMET de Mexico*</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MEXICO</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LSM Brasil S.A.*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Metallurgical Products India Pvt., Ltd. *</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Meta Materials*</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NORTH MACEDONIA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Mineração Taboca S.A.*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Mitsui Mining and Smelting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Ningxia Orient Tantalum Industry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NPM Silmet AS*</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ESTONIA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QuantumClean*</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Resind Indústria e Comércio Ltda.*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900"/>
          </w:cols>
          <w:pgMar w:left="560" w:top="268" w:right="4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29"/>
        </w:trPr>
        <w:tc>
          <w:tcPr>
            <w:tcW w:w="680" w:type="dxa"/>
            <w:vAlign w:val="bottom"/>
            <w:tcBorders>
              <w:top w:val="single" w:sz="8" w:color="auto"/>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118.</w:t>
            </w:r>
          </w:p>
        </w:tc>
        <w:tc>
          <w:tcPr>
            <w:tcW w:w="61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Solikamsk Magnesium Works OAO*</w:t>
            </w:r>
          </w:p>
        </w:tc>
        <w:tc>
          <w:tcPr>
            <w:tcW w:w="11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119.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Taki Chemical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TANIOBIS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TANIOBIS GmbH*</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TANIOBIS Japan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TANIOBIS Smelting GmbH &amp; Co. KG*</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Telex Metals*</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Ulba Metallurgical Plant JSC*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KAZAKHSTAN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XIMEI RESOURCES (GUANGDONG) LIMITED*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XinXing HaoRong Electronic Material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Yanling Jincheng Tantalum * Niobium Co., Ltd. *</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Tantalum</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129.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8853 S.p.A. *</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130.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Advanced Chemical Company*</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131.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Aida Chemical Industries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132.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 Etihad Gold Refinery DMCC*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ARAB EMIRATES</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133.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Allgemeine Gold-und Silberscheideanstalt A.G.*</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134.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Almalyk Mining and Metallurgical Complex (AMMC)*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UZBEKISTAN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135.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AngloGold Ashanti Córrego do Sítio Mineração*</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136.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Argor-Heraeus S.A.*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137.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Asahi Pretec Corp.*</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138.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Asahi Refining Canada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CANADA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139.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Asahi Refining USA Inc.*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140.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Asaka Riken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141.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 Traders and Refiners*</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AFRICA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142.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Aurubis AG*</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143.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Bangalore Refinery*</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144.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Bangko Sentral ng Pilipinas (Central Bank of the Philippines)*</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PHILIPPINES</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145.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Boliden AB*</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SWEDEN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146.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 Hafner GmbH + Co. KG*</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147.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CCR Refinery - Glencore Canada Corporation*</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CANADA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148.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Cendres + Metaux S.A. *</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149.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Chimet S.p.A.*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150.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Chugai Mining*</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151.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Daye Non-Ferrous Metals Mining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152.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DODUCO Contacts and Refining GmbH*</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153.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Dowa*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154.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DSC (Do Sung Corporation)*</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155.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Eco-System Recycling Co., Ltd. East Plant*</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156.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Eco-System Recycling Co., Ltd. North Plant*</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157.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Eco-System Recycling Co., Ltd. West Plant*</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158.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Emirates Gold DMCC*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ARAB EMIRATES</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159.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Geib Refining Corporation*</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160.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Refinery of Zijin Mining Group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161.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Great Wall Precious Metals Co., Ltd. of CBPM</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162.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Heimerle + Meule GmbH*</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163.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Heraeus Metals Hong Kong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900"/>
          </w:cols>
          <w:pgMar w:left="560" w:top="268" w:right="4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29"/>
        </w:trPr>
        <w:tc>
          <w:tcPr>
            <w:tcW w:w="680" w:type="dxa"/>
            <w:vAlign w:val="bottom"/>
            <w:tcBorders>
              <w:top w:val="single" w:sz="8" w:color="auto"/>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164.</w:t>
            </w:r>
          </w:p>
        </w:tc>
        <w:tc>
          <w:tcPr>
            <w:tcW w:w="61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Inner Mongolia Qiankun Gold and Silver Refinery Share Co., Ltd.*</w:t>
            </w:r>
          </w:p>
        </w:tc>
        <w:tc>
          <w:tcPr>
            <w:tcW w:w="11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165.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Ishifuku Metal Industry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166.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Istanbul Gold Refinery*</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TURKEY</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167.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Italpreziosi*</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168.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 Mint*</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169.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Copper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170.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JSC Novosibirsk Refinery*</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171.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JSC Uralelectromed*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172.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JX Nippon Mining &amp; Metals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173.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Kazzinc*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KAZAKHSTAN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174.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Kennecott Utah Copper LLC*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175.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KGHM Polska Miedz Spolka Akcyjna*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POLAND</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176.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Kojima Chemicals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177.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Zinc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178.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Kyrgyzaltyn JSC*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KYRGYZSTAN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179.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L’Orfebre S.A.*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ANDORRA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180.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LS-NIKKO Copper Inc.*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181.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LT Metal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182.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Marsam Metals *</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BRAZIL</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183.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Materion*</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184.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Matsuda Sangyo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185.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Metalor Technologies (Hong Kong)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186.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Metalor Technologies (Singapore) Pte.,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SINGAPORE</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187.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Metalor Technologies (Suzhou)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188.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Metalor Technologies S.A.*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189.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Metalor USA Refining Corporation*</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190.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Metalúrgica Met-Mex Peñoles S.A. De C.V.*</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MEXICO</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191.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Mitsubishi Materials Corporation*</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192.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Mitsui Mining and Smelting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193.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MMTC-PAMP India Pvt.,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INDIA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194.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Moscow Special Alloys Processing Plant*</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195.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Nadir Metal Rafineri San. Ve Tic. 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TURKEY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196.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Navoi Mining and Metallurgical Combinat*</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UZBEKISTAN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197.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Nihon Material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198.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Ögussa Österreichische Gold- und Silber-Scheideanstalt GmbH*</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AUSTRIA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199.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Ohura Precious Metal Industry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195"/>
        </w:trPr>
        <w:tc>
          <w:tcPr>
            <w:tcW w:w="680" w:type="dxa"/>
            <w:vAlign w:val="bottom"/>
            <w:tcBorders>
              <w:left w:val="single" w:sz="8" w:color="auto"/>
              <w:right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rPr>
              <w:t>200.</w:t>
            </w:r>
          </w:p>
        </w:tc>
        <w:tc>
          <w:tcPr>
            <w:tcW w:w="61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OJSC “The Gulidov Krasnoyarsk Non-Ferrous Metals Plant” (OJSC</w:t>
            </w:r>
          </w:p>
        </w:tc>
        <w:tc>
          <w:tcPr>
            <w:tcW w:w="11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Gold</w:t>
            </w:r>
          </w:p>
        </w:tc>
        <w:tc>
          <w:tcPr>
            <w:tcW w:w="294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RUSSIAN FEDERATION</w:t>
            </w:r>
          </w:p>
        </w:tc>
      </w:tr>
      <w:tr>
        <w:trPr>
          <w:trHeight w:val="230"/>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Krastsvetmet)*</w:t>
            </w:r>
          </w:p>
        </w:tc>
        <w:tc>
          <w:tcPr>
            <w:tcW w:w="118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201.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PAMP S.A.*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202.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Planta Recuperadora de Metales SpA*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CHILE</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203.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Prioksky Plant of Non-Ferrous Metals*</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204.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PT Aneka Tambang (Persero) Tbk*</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205.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PX Précinox S.A.*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206.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Rand Refinery (Pty)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SOUTH AFRICA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207.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REMONDIS PMR B.V.*</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NETHERLANDS</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208.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Royal Canadian Mint*</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CANADA</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900"/>
          </w:cols>
          <w:pgMar w:left="560" w:top="268" w:right="439" w:bottom="1440" w:gutter="0" w:footer="0" w:header="0"/>
        </w:sectPr>
      </w:pPr>
    </w:p>
    <w:bookmarkStart w:id="13" w:name="page14"/>
    <w:bookmarkEnd w:id="13"/>
    <w:tbl>
      <w:tblPr>
        <w:tblLayout w:type="fixed"/>
        <w:tblInd w:w="134" w:type="dxa"/>
        <w:tblCellMar>
          <w:top w:w="0" w:type="dxa"/>
          <w:left w:w="0" w:type="dxa"/>
          <w:bottom w:w="0" w:type="dxa"/>
          <w:right w:w="0" w:type="dxa"/>
        </w:tblCellMar>
      </w:tblPr>
      <w:tr>
        <w:trPr>
          <w:trHeight w:val="229"/>
        </w:trPr>
        <w:tc>
          <w:tcPr>
            <w:tcW w:w="680" w:type="dxa"/>
            <w:vAlign w:val="bottom"/>
            <w:tcBorders>
              <w:top w:val="single" w:sz="8" w:color="auto"/>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209.</w:t>
            </w:r>
          </w:p>
        </w:tc>
        <w:tc>
          <w:tcPr>
            <w:tcW w:w="61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SAAMP*</w:t>
            </w:r>
          </w:p>
        </w:tc>
        <w:tc>
          <w:tcPr>
            <w:tcW w:w="11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FRANCE</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210.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Safimet S.p.A.*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211.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SAFINA A.S.*</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CZECHIA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212.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Samduck Precious Metals*</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213.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SAXONIA Edelmetalle GmbH*</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214.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SEMPSA Joyería Platería S.A.*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SPAIN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215.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Shandong Gold Smelting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216.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Shandong Zhaojin Gold &amp; Silver Refinery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217.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Sichuan Tianze Precious Metals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218.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Singway Technology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219.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SOE Shyolkovsky Factory of Secondary Precious Metals*</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220.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Solar Applied Materials Technology Corp.*</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TAIWAN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221.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Sumitomo Metal Mining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222.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SungEel HiMetal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223.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T.C.A S.p.A*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ITALY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224.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Tanaka Kikinzoku Kogyo K.K.*</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225.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Tokuriki Honten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226.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TOO Tau-Ken-Altyn*</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KAZAKHSTAN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227.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Torecom*</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228.</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TSK Pretech*</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229.</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Umicore Precious Metals Thailand*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THAILAND</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230.</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Umicore S.A. Business Unit Precious Metals Refining*</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BELGIUM</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231.</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Precious Metal Refining, Inc.*</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232.</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Valcambi S.A.*</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233.</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Western Australian Mint trading as The Perth Mint*</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AUSTRALIA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234.</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WIELAND Edelmetalle GmbH*</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235.</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Yamakin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236.</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Yokohama Metal Co., Ltd.*</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237.</w:t>
            </w:r>
          </w:p>
        </w:tc>
        <w:tc>
          <w:tcPr>
            <w:tcW w:w="6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Zhongyuan Gold Smelter of Zhongjin Gold Corporation*</w:t>
            </w:r>
          </w:p>
        </w:tc>
        <w:tc>
          <w:tcPr>
            <w:tcW w:w="1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Table 2</w:t>
      </w:r>
      <w:r>
        <w:rPr>
          <w:rFonts w:ascii="Arial" w:cs="Arial" w:eastAsia="Arial" w:hAnsi="Arial"/>
          <w:sz w:val="18"/>
          <w:szCs w:val="18"/>
          <w:color w:val="auto"/>
        </w:rPr>
        <w:t>:</w:t>
      </w:r>
    </w:p>
    <w:p>
      <w:pPr>
        <w:spacing w:after="0" w:line="225"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Listed below are the 2 Smelters identified to us by our Suppliers as potentially in our supply chain for 2020 that have processed CMs of undeterminable origin. “Active” means the Smelter has committed to participate in a third-party audit of its Conflict Status, as reported by the RMAP. The location information and “Active” status are as reported by the RMAP as of February 24, 2021.</w:t>
      </w:r>
    </w:p>
    <w:p>
      <w:pPr>
        <w:spacing w:after="0" w:line="205" w:lineRule="exact"/>
        <w:rPr>
          <w:sz w:val="20"/>
          <w:szCs w:val="20"/>
          <w:color w:val="auto"/>
        </w:rPr>
      </w:pPr>
    </w:p>
    <w:tbl>
      <w:tblPr>
        <w:tblLayout w:type="fixed"/>
        <w:tblInd w:w="134" w:type="dxa"/>
        <w:tblCellMar>
          <w:top w:w="0" w:type="dxa"/>
          <w:left w:w="0" w:type="dxa"/>
          <w:bottom w:w="0" w:type="dxa"/>
          <w:right w:w="0" w:type="dxa"/>
        </w:tblCellMar>
      </w:tblPr>
      <w:tr>
        <w:trPr>
          <w:trHeight w:val="288"/>
        </w:trPr>
        <w:tc>
          <w:tcPr>
            <w:tcW w:w="680" w:type="dxa"/>
            <w:vAlign w:val="bottom"/>
            <w:tcBorders>
              <w:top w:val="single" w:sz="8" w:color="auto"/>
              <w:left w:val="single" w:sz="8" w:color="auto"/>
              <w:bottom w:val="single" w:sz="8" w:color="C6D9F1"/>
              <w:right w:val="single" w:sz="8" w:color="auto"/>
            </w:tcBorders>
            <w:shd w:val="clear" w:color="auto" w:fill="C6D9F1"/>
          </w:tcPr>
          <w:p>
            <w:pPr>
              <w:ind w:left="160"/>
              <w:spacing w:after="0"/>
              <w:rPr>
                <w:sz w:val="20"/>
                <w:szCs w:val="20"/>
                <w:color w:val="auto"/>
              </w:rPr>
            </w:pPr>
            <w:r>
              <w:rPr>
                <w:rFonts w:ascii="Arial" w:cs="Arial" w:eastAsia="Arial" w:hAnsi="Arial"/>
                <w:sz w:val="18"/>
                <w:szCs w:val="18"/>
                <w:b w:val="1"/>
                <w:bCs w:val="1"/>
                <w:color w:val="auto"/>
              </w:rPr>
              <w:t>No.</w:t>
            </w:r>
          </w:p>
        </w:tc>
        <w:tc>
          <w:tcPr>
            <w:tcW w:w="6000" w:type="dxa"/>
            <w:vAlign w:val="bottom"/>
            <w:tcBorders>
              <w:top w:val="single" w:sz="8" w:color="auto"/>
              <w:bottom w:val="single" w:sz="8" w:color="C6D9F1"/>
              <w:right w:val="single" w:sz="8" w:color="auto"/>
            </w:tcBorders>
            <w:shd w:val="clear" w:color="auto" w:fill="C6D9F1"/>
          </w:tcPr>
          <w:p>
            <w:pPr>
              <w:ind w:left="100"/>
              <w:spacing w:after="0"/>
              <w:rPr>
                <w:sz w:val="20"/>
                <w:szCs w:val="20"/>
                <w:color w:val="auto"/>
              </w:rPr>
            </w:pPr>
            <w:r>
              <w:rPr>
                <w:rFonts w:ascii="Arial" w:cs="Arial" w:eastAsia="Arial" w:hAnsi="Arial"/>
                <w:sz w:val="18"/>
                <w:szCs w:val="18"/>
                <w:b w:val="1"/>
                <w:bCs w:val="1"/>
                <w:color w:val="auto"/>
              </w:rPr>
              <w:t>Smelter</w:t>
            </w:r>
          </w:p>
        </w:tc>
        <w:tc>
          <w:tcPr>
            <w:tcW w:w="1080" w:type="dxa"/>
            <w:vAlign w:val="bottom"/>
            <w:tcBorders>
              <w:top w:val="single" w:sz="8" w:color="auto"/>
              <w:bottom w:val="single" w:sz="8" w:color="C6D9F1"/>
              <w:right w:val="single" w:sz="8" w:color="auto"/>
            </w:tcBorders>
            <w:shd w:val="clear" w:color="auto" w:fill="C6D9F1"/>
          </w:tcPr>
          <w:p>
            <w:pPr>
              <w:ind w:left="100"/>
              <w:spacing w:after="0"/>
              <w:rPr>
                <w:sz w:val="20"/>
                <w:szCs w:val="20"/>
                <w:color w:val="auto"/>
              </w:rPr>
            </w:pPr>
            <w:r>
              <w:rPr>
                <w:rFonts w:ascii="Arial" w:cs="Arial" w:eastAsia="Arial" w:hAnsi="Arial"/>
                <w:sz w:val="18"/>
                <w:szCs w:val="18"/>
                <w:b w:val="1"/>
                <w:bCs w:val="1"/>
                <w:color w:val="auto"/>
              </w:rPr>
              <w:t>Metal</w:t>
            </w:r>
          </w:p>
        </w:tc>
        <w:tc>
          <w:tcPr>
            <w:tcW w:w="2280" w:type="dxa"/>
            <w:vAlign w:val="bottom"/>
            <w:tcBorders>
              <w:top w:val="single" w:sz="8" w:color="auto"/>
              <w:bottom w:val="single" w:sz="8" w:color="C6D9F1"/>
              <w:right w:val="single" w:sz="8" w:color="auto"/>
            </w:tcBorders>
            <w:shd w:val="clear" w:color="auto" w:fill="C6D9F1"/>
          </w:tcPr>
          <w:p>
            <w:pPr>
              <w:ind w:left="100"/>
              <w:spacing w:after="0"/>
              <w:rPr>
                <w:sz w:val="20"/>
                <w:szCs w:val="20"/>
                <w:color w:val="auto"/>
              </w:rPr>
            </w:pPr>
            <w:r>
              <w:rPr>
                <w:rFonts w:ascii="Arial" w:cs="Arial" w:eastAsia="Arial" w:hAnsi="Arial"/>
                <w:sz w:val="18"/>
                <w:szCs w:val="18"/>
                <w:b w:val="1"/>
                <w:bCs w:val="1"/>
                <w:color w:val="auto"/>
              </w:rPr>
              <w:t>Country</w:t>
            </w:r>
          </w:p>
        </w:tc>
        <w:tc>
          <w:tcPr>
            <w:tcW w:w="880" w:type="dxa"/>
            <w:vAlign w:val="bottom"/>
            <w:tcBorders>
              <w:top w:val="single" w:sz="8" w:color="auto"/>
              <w:bottom w:val="single" w:sz="8" w:color="C6D9F1"/>
              <w:right w:val="single" w:sz="8" w:color="auto"/>
            </w:tcBorders>
            <w:shd w:val="clear" w:color="auto" w:fill="C6D9F1"/>
          </w:tcPr>
          <w:p>
            <w:pPr>
              <w:ind w:left="100"/>
              <w:spacing w:after="0"/>
              <w:rPr>
                <w:sz w:val="20"/>
                <w:szCs w:val="20"/>
                <w:color w:val="auto"/>
              </w:rPr>
            </w:pPr>
            <w:r>
              <w:rPr>
                <w:rFonts w:ascii="Arial" w:cs="Arial" w:eastAsia="Arial" w:hAnsi="Arial"/>
                <w:sz w:val="18"/>
                <w:szCs w:val="18"/>
                <w:b w:val="1"/>
                <w:bCs w:val="1"/>
                <w:color w:val="auto"/>
              </w:rPr>
              <w:t>Active</w:t>
            </w:r>
          </w:p>
        </w:tc>
      </w:tr>
      <w:tr>
        <w:trPr>
          <w:trHeight w:val="210"/>
        </w:trPr>
        <w:tc>
          <w:tcPr>
            <w:tcW w:w="6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60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CV Venus Inti Perkasa</w:t>
            </w:r>
          </w:p>
        </w:tc>
        <w:tc>
          <w:tcPr>
            <w:tcW w:w="10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2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8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Ö</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6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Heraeus Germany GmbH Co., KG*</w:t>
            </w:r>
          </w:p>
        </w:tc>
        <w:tc>
          <w:tcPr>
            <w:tcW w:w="10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Ö</w:t>
            </w:r>
          </w:p>
        </w:tc>
      </w:tr>
    </w:tbl>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24"/>
          </w:cols>
          <w:pgMar w:left="436" w:top="268" w:right="4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Private Sector Auditor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33731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373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480"/>
        <w:spacing w:after="0"/>
        <w:rPr>
          <w:sz w:val="20"/>
          <w:szCs w:val="20"/>
          <w:color w:val="auto"/>
        </w:rPr>
      </w:pPr>
      <w:r>
        <w:rPr>
          <w:rFonts w:ascii="Arial" w:cs="Arial" w:eastAsia="Arial" w:hAnsi="Arial"/>
          <w:sz w:val="13"/>
          <w:szCs w:val="13"/>
          <w:b w:val="1"/>
          <w:bCs w:val="1"/>
          <w:color w:val="002D62"/>
        </w:rPr>
        <w:t>Crowe LLP</w:t>
      </w:r>
    </w:p>
    <w:p>
      <w:pPr>
        <w:spacing w:after="0" w:line="12" w:lineRule="exact"/>
        <w:rPr>
          <w:sz w:val="20"/>
          <w:szCs w:val="20"/>
          <w:color w:val="auto"/>
        </w:rPr>
      </w:pPr>
    </w:p>
    <w:p>
      <w:pPr>
        <w:ind w:left="7480"/>
        <w:spacing w:after="0"/>
        <w:rPr>
          <w:sz w:val="20"/>
          <w:szCs w:val="20"/>
          <w:color w:val="auto"/>
        </w:rPr>
      </w:pPr>
      <w:r>
        <w:rPr>
          <w:rFonts w:ascii="Arial" w:cs="Arial" w:eastAsia="Arial" w:hAnsi="Arial"/>
          <w:sz w:val="11"/>
          <w:szCs w:val="11"/>
          <w:color w:val="002D62"/>
        </w:rPr>
        <w:t>Independent Member Crowe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ACCOUNTANT’S REPORT ON CONFLICT MINERALS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4" w:lineRule="auto"/>
        <w:rPr>
          <w:sz w:val="20"/>
          <w:szCs w:val="20"/>
          <w:color w:val="auto"/>
        </w:rPr>
      </w:pPr>
      <w:r>
        <w:rPr>
          <w:rFonts w:ascii="Arial" w:cs="Arial" w:eastAsia="Arial" w:hAnsi="Arial"/>
          <w:sz w:val="18"/>
          <w:szCs w:val="18"/>
          <w:color w:val="auto"/>
        </w:rPr>
        <w:t>Texas Instruments Incorporated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have examined:</w:t>
      </w:r>
    </w:p>
    <w:p>
      <w:pPr>
        <w:spacing w:after="0" w:line="239" w:lineRule="exact"/>
        <w:rPr>
          <w:sz w:val="20"/>
          <w:szCs w:val="20"/>
          <w:color w:val="auto"/>
        </w:rPr>
      </w:pPr>
    </w:p>
    <w:p>
      <w:pPr>
        <w:jc w:val="both"/>
        <w:ind w:left="860" w:hanging="432"/>
        <w:spacing w:after="0" w:line="234"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design of Texas Instruments Incorporated’s (the “Company”) due diligence framework as set forth in the section titled “Design of Due Diligence” of the Conflict Minerals Report for the reporting period from January 1, 2020 through December 31, 2020, is in conformity, in all material respects, with the criteria set forth in the Organization for Economic Co-Operation and Development Due Diligence Guidance for Responsible Supply Chains of Minerals from Conflict-Affected and High-Risk Areas, Third Edition 2016 (“OECD Due Diligence Guidance”), and</w:t>
      </w:r>
    </w:p>
    <w:p>
      <w:pPr>
        <w:spacing w:after="0" w:line="3" w:lineRule="exact"/>
        <w:rPr>
          <w:rFonts w:ascii="Arial" w:cs="Arial" w:eastAsia="Arial" w:hAnsi="Arial"/>
          <w:sz w:val="18"/>
          <w:szCs w:val="18"/>
          <w:color w:val="auto"/>
        </w:rPr>
      </w:pPr>
    </w:p>
    <w:p>
      <w:pPr>
        <w:jc w:val="both"/>
        <w:ind w:left="860" w:right="20" w:hanging="432"/>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Company’s description of the due diligence measures it performed, as set forth in the section titled “Due Diligence Measures Taken” of the Conflict Minerals Report for the reporting period from January 1, 2020 through December 31, 2020, is consistent, in all material respects, with the due diligence process that the Company undertook.</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management is responsible for the design of the Company’s due diligence framework and the description of the Company’s due diligence measures set forth in the Conflict Minerals Report, and performance of the due diligence measures. Our responsibility is to express an opinion on the design of the Company’s due diligence framework and on the description of the due diligence measures the Company performed, based on our examination.</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examination was conducted in accordance with attestation standards established by the American Institute of Certified Public Accountants and the standards applicable to attestation engagements contained in Government Auditing Standards, issued by the Comptroller General of the United States. Those standards require that we plan and perform the examination to obtain reasonable assurance about whether the design of the Company’s due diligence framework and the description of the due diligence measures the Company performed is in accordance with the criteria, in all material respects. An examination involves performing procedures to obtain evidence about the Company’s due diligence framework and the description of the due diligence measures the Company performed. The nature, timing, and extent of the procedures selected depend on our judgment, including an assessment of the risks of material misstatement of the Company’s due diligence framework and its description of the due diligence measures the Company performed, whether due to fraud or error. We believe the evidence we obtained is sufficient and appropriate to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Our examination was not conducted for the purpose of evaluating:</w:t>
      </w:r>
    </w:p>
    <w:p>
      <w:pPr>
        <w:spacing w:after="0" w:line="239" w:lineRule="exact"/>
        <w:rPr>
          <w:sz w:val="20"/>
          <w:szCs w:val="20"/>
          <w:color w:val="auto"/>
        </w:rPr>
      </w:pPr>
    </w:p>
    <w:p>
      <w:pPr>
        <w:ind w:left="860" w:hanging="432"/>
        <w:spacing w:after="0" w:line="234"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consistency of the due diligence measures that the Company performed with either the design of the Company’s due diligence framework or the OECD Due Diligence Guidance;</w:t>
      </w:r>
    </w:p>
    <w:p>
      <w:pPr>
        <w:spacing w:after="0" w:line="1" w:lineRule="exact"/>
        <w:rPr>
          <w:rFonts w:ascii="Arial" w:cs="Arial" w:eastAsia="Arial" w:hAnsi="Arial"/>
          <w:sz w:val="18"/>
          <w:szCs w:val="18"/>
          <w:color w:val="auto"/>
        </w:rPr>
      </w:pPr>
    </w:p>
    <w:p>
      <w:pPr>
        <w:ind w:left="860" w:hanging="432"/>
        <w:spacing w:after="0" w:line="234"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completeness of the Company’s description of the due diligence measures performed;</w:t>
      </w:r>
    </w:p>
    <w:p>
      <w:pPr>
        <w:ind w:left="860" w:hanging="432"/>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suitability of the design or operating effectiveness of the Company’s due diligence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5" w:name="page16"/>
    <w:bookmarkEnd w:id="15"/>
    <w:p>
      <w:pPr>
        <w:ind w:left="860" w:right="20" w:hanging="432"/>
        <w:spacing w:after="0" w:line="234"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a third party can determine from the Conflict Minerals Report if the due diligence measures the Company performed are consistent with the OECD Due Diligence Guidance;</w:t>
      </w:r>
    </w:p>
    <w:p>
      <w:pPr>
        <w:spacing w:after="0" w:line="1" w:lineRule="exact"/>
        <w:rPr>
          <w:rFonts w:ascii="Arial" w:cs="Arial" w:eastAsia="Arial" w:hAnsi="Arial"/>
          <w:sz w:val="18"/>
          <w:szCs w:val="18"/>
          <w:color w:val="auto"/>
        </w:rPr>
      </w:pPr>
    </w:p>
    <w:p>
      <w:pPr>
        <w:ind w:left="860" w:right="20" w:hanging="432"/>
        <w:spacing w:after="0" w:line="234"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reasonable country of origin inquiry (RCOI), including the suitability of the design of the RCOI, its operating effectiveness, or the results thereof; or</w:t>
      </w:r>
    </w:p>
    <w:p>
      <w:pPr>
        <w:spacing w:after="0" w:line="1" w:lineRule="exact"/>
        <w:rPr>
          <w:rFonts w:ascii="Arial" w:cs="Arial" w:eastAsia="Arial" w:hAnsi="Arial"/>
          <w:sz w:val="18"/>
          <w:szCs w:val="18"/>
          <w:color w:val="auto"/>
        </w:rPr>
      </w:pPr>
    </w:p>
    <w:p>
      <w:pPr>
        <w:ind w:left="860" w:right="20" w:hanging="432"/>
        <w:spacing w:after="0" w:line="246"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conclusions about the source or chain of custody of its conflict minerals, those products subject to due diligence, or the DRC Conflict Free status of its products.</w:t>
      </w:r>
    </w:p>
    <w:p>
      <w:pPr>
        <w:spacing w:after="0" w:line="19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Accordingly, we do not express an opinion or any other form of assurance on the aforementioned matters or any other matters included in any section of the Conflict Minerals Report other than the sections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our opinion,</w:t>
      </w:r>
    </w:p>
    <w:p>
      <w:pPr>
        <w:spacing w:after="0" w:line="239" w:lineRule="exact"/>
        <w:rPr>
          <w:sz w:val="20"/>
          <w:szCs w:val="20"/>
          <w:color w:val="auto"/>
        </w:rPr>
      </w:pPr>
    </w:p>
    <w:p>
      <w:pPr>
        <w:jc w:val="both"/>
        <w:ind w:left="860" w:right="20" w:hanging="432"/>
        <w:spacing w:after="0" w:line="234"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the Company’s due diligence framework for the reporting period from January 1, 2020 through December 31, 2020, as set forth in the section titled “Design of Due Diligence” of the Conflict Minerals Report is in conformity with the OECD Due Diligence Guidance, in all material respects and</w:t>
      </w:r>
    </w:p>
    <w:p>
      <w:pPr>
        <w:spacing w:after="0" w:line="2" w:lineRule="exact"/>
        <w:rPr>
          <w:rFonts w:ascii="Arial" w:cs="Arial" w:eastAsia="Arial" w:hAnsi="Arial"/>
          <w:sz w:val="18"/>
          <w:szCs w:val="18"/>
          <w:color w:val="auto"/>
        </w:rPr>
      </w:pPr>
    </w:p>
    <w:p>
      <w:pPr>
        <w:jc w:val="both"/>
        <w:ind w:left="860" w:right="20" w:hanging="432"/>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description of the due diligence measures it performed, as set forth in the section titled “Due Diligence Measures Taken” of the Conflict Minerals Report for the reporting period from January 1, 2020 through December 31, 2020, is consistent with the due diligence process that the Company undertook,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309245</wp:posOffset>
            </wp:positionV>
            <wp:extent cx="1388745" cy="360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87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Crowe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May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sectPr>
      <w:pgSz w:w="11900" w:h="16838" w:orient="portrait"/>
      <w:cols w:equalWidth="0" w:num="1">
        <w:col w:w="11020"/>
      </w:cols>
      <w:pgMar w:left="440" w:top="28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upperLetter"/>
      <w:start w:val="9"/>
    </w:lvl>
  </w:abstractNum>
  <w:abstractNum w:abstractNumId="2">
    <w:nsid w:val="1F16E9E8"/>
    <w:multiLevelType w:val="hybridMultilevel"/>
    <w:lvl w:ilvl="0">
      <w:lvlJc w:val="left"/>
      <w:lvlText w:val="%1."/>
      <w:numFmt w:val="upperLetter"/>
      <w:start w:val="35"/>
    </w:lvl>
  </w:abstractNum>
  <w:abstractNum w:abstractNumId="3">
    <w:nsid w:val="1190CDE7"/>
    <w:multiLevelType w:val="hybridMultilevel"/>
    <w:lvl w:ilvl="0">
      <w:lvlJc w:val="left"/>
      <w:lvlText w:val="%1."/>
      <w:numFmt w:val="upperLetter"/>
      <w:start w:val="6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bullet"/>
      <w:start w:val="1"/>
    </w:lvl>
  </w:abstractNum>
  <w:abstractNum w:abstractNumId="10">
    <w:nsid w:val="1BEFD79F"/>
    <w:multiLevelType w:val="hybridMultilevel"/>
    <w:lvl w:ilvl="0">
      <w:lvlJc w:val="left"/>
      <w:lvlText w:val="%1."/>
      <w:numFmt w:val="upperLetter"/>
      <w:start w:val="22"/>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2"/>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2021-05-27T10:35:15Z</dcterms:created>
  <dcterms:modified xsi:type="dcterms:W3CDTF">2021-05-27T10:35:15Z</dcterms:modified>
</cp:coreProperties>
</file>