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333-186803</w:t>
      </w:r>
    </w:p>
    <w:p>
      <w:pPr>
        <w:spacing w:after="0" w:line="206" w:lineRule="exact"/>
        <w:rPr>
          <w:sz w:val="24"/>
          <w:szCs w:val="24"/>
          <w:color w:val="auto"/>
        </w:rPr>
      </w:pPr>
    </w:p>
    <w:p>
      <w:pPr>
        <w:ind w:right="120"/>
        <w:spacing w:after="0" w:line="250"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249"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DE1A1E"/>
        </w:rPr>
        <w:t>SUBJECT TO COMPLETION, DATED APRIL 27, 2015</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22,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101600</wp:posOffset>
            </wp:positionV>
            <wp:extent cx="2864485"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5040" w:hanging="816"/>
        <w:spacing w:after="0"/>
        <w:tabs>
          <w:tab w:leader="none" w:pos="5040" w:val="left"/>
        </w:tabs>
        <w:numPr>
          <w:ilvl w:val="0"/>
          <w:numId w:val="1"/>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32"/>
          <w:szCs w:val="32"/>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121920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86" w:lineRule="exact"/>
        <w:rPr>
          <w:sz w:val="24"/>
          <w:szCs w:val="24"/>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Texas Instruments Incorporated is offering $ aggregate principal amount of its per year, as set forth above. Interest on the Notes will be payable semi-annually in arrears on</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right"/>
        <w:spacing w:after="0" w:line="257" w:lineRule="auto"/>
        <w:rPr>
          <w:sz w:val="20"/>
          <w:szCs w:val="20"/>
          <w:color w:val="auto"/>
        </w:rPr>
      </w:pPr>
      <w:r>
        <w:rPr>
          <w:rFonts w:ascii="Times New Roman" w:cs="Times New Roman" w:eastAsia="Times New Roman" w:hAnsi="Times New Roman"/>
          <w:sz w:val="18"/>
          <w:szCs w:val="18"/>
          <w:color w:val="auto"/>
        </w:rPr>
        <w:t>% Notes due 20 and</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right"/>
        <w:ind w:right="140"/>
        <w:spacing w:after="0" w:line="257" w:lineRule="auto"/>
        <w:rPr>
          <w:sz w:val="20"/>
          <w:szCs w:val="20"/>
          <w:color w:val="auto"/>
        </w:rPr>
      </w:pPr>
      <w:r>
        <w:rPr>
          <w:rFonts w:ascii="Times New Roman" w:cs="Times New Roman" w:eastAsia="Times New Roman" w:hAnsi="Times New Roman"/>
          <w:sz w:val="18"/>
          <w:szCs w:val="18"/>
          <w:color w:val="auto"/>
        </w:rPr>
        <w:t>(the “Notes”), which will bear interest at the rate of each year, beginning          ,</w:t>
      </w:r>
    </w:p>
    <w:p>
      <w:pPr>
        <w:spacing w:after="0" w:line="1" w:lineRule="exact"/>
        <w:rPr>
          <w:sz w:val="24"/>
          <w:szCs w:val="24"/>
          <w:color w:val="auto"/>
        </w:rPr>
      </w:pPr>
    </w:p>
    <w:p>
      <w:pPr>
        <w:sectPr>
          <w:pgSz w:w="11900" w:h="16838" w:orient="portrait"/>
          <w:cols w:equalWidth="0" w:num="3">
            <w:col w:w="6520" w:space="0"/>
            <w:col w:w="1180" w:space="160"/>
            <w:col w:w="3560"/>
          </w:cols>
          <w:pgMar w:left="240" w:top="22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2015.</w:t>
      </w:r>
    </w:p>
    <w:p>
      <w:pPr>
        <w:sectPr>
          <w:pgSz w:w="11900" w:h="16838" w:orient="portrait"/>
          <w:cols w:equalWidth="0" w:num="1">
            <w:col w:w="11420"/>
          </w:cols>
          <w:pgMar w:left="240" w:top="226" w:right="239" w:bottom="1440" w:gutter="0" w:footer="0" w:header="0"/>
          <w:type w:val="continuous"/>
        </w:sectPr>
      </w:pPr>
    </w:p>
    <w:p>
      <w:pPr>
        <w:spacing w:after="0" w:line="16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The Notes will mature on</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20</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81" w:lineRule="exact"/>
        <w:rPr>
          <w:sz w:val="24"/>
          <w:szCs w:val="24"/>
          <w:color w:val="auto"/>
        </w:rPr>
      </w:pPr>
    </w:p>
    <w:p>
      <w:pPr>
        <w:sectPr>
          <w:pgSz w:w="11900" w:h="16838" w:orient="portrait"/>
          <w:cols w:equalWidth="0" w:num="3">
            <w:col w:w="2460" w:space="720"/>
            <w:col w:w="260" w:space="220"/>
            <w:col w:w="7760"/>
          </w:cols>
          <w:pgMar w:left="240" w:top="226" w:right="239" w:bottom="1440" w:gutter="0" w:footer="0" w:header="0"/>
          <w:type w:val="continuous"/>
        </w:sect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We may redeem some or all of the Notes at any time, each at the redemption price indicated under the caption “Description of the Notes—Optional Redemption.”</w:t>
      </w:r>
    </w:p>
    <w:p>
      <w:pPr>
        <w:spacing w:after="0" w:line="106" w:lineRule="exact"/>
        <w:rPr>
          <w:sz w:val="24"/>
          <w:szCs w:val="24"/>
          <w:color w:val="auto"/>
        </w:rPr>
      </w:pPr>
    </w:p>
    <w:p>
      <w:pPr>
        <w:ind w:right="860" w:firstLine="456"/>
        <w:spacing w:after="0" w:line="275" w:lineRule="auto"/>
        <w:rPr>
          <w:sz w:val="20"/>
          <w:szCs w:val="20"/>
          <w:color w:val="auto"/>
        </w:rPr>
      </w:pPr>
      <w:r>
        <w:rPr>
          <w:rFonts w:ascii="Times New Roman" w:cs="Times New Roman" w:eastAsia="Times New Roman" w:hAnsi="Times New Roman"/>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67945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4" w:lineRule="exact"/>
        <w:rPr>
          <w:sz w:val="24"/>
          <w:szCs w:val="24"/>
          <w:color w:val="auto"/>
        </w:rPr>
      </w:pPr>
    </w:p>
    <w:p>
      <w:pPr>
        <w:ind w:left="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Notes involves risks. See “</w:t>
      </w:r>
      <w:hyperlink w:anchor="page13">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107950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44" w:lineRule="exact"/>
        <w:rPr>
          <w:sz w:val="24"/>
          <w:szCs w:val="24"/>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76835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Note</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2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center"/>
              <w:ind w:right="3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20" w:type="dxa"/>
            <w:vAlign w:val="bottom"/>
            <w:gridSpan w:val="3"/>
          </w:tcPr>
          <w:p>
            <w:pPr>
              <w:jc w:val="center"/>
              <w:ind w:left="15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center"/>
              <w:ind w:left="15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r>
      <w:tr>
        <w:trPr>
          <w:trHeight w:val="363"/>
        </w:trPr>
        <w:tc>
          <w:tcPr>
            <w:tcW w:w="3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on the Notes will accrue from May</w:t>
            </w:r>
          </w:p>
        </w:tc>
        <w:tc>
          <w:tcPr>
            <w:tcW w:w="4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2015 to the date of delivery.</w:t>
            </w: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7"/>
        </w:trPr>
        <w:tc>
          <w:tcPr>
            <w:tcW w:w="4860" w:type="dxa"/>
            <w:vAlign w:val="bottom"/>
            <w:gridSpan w:val="2"/>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4840" w:type="dxa"/>
            <w:vAlign w:val="bottom"/>
            <w:gridSpan w:val="6"/>
          </w:tcPr>
          <w:p>
            <w:pPr>
              <w:spacing w:after="0"/>
              <w:rPr>
                <w:sz w:val="11"/>
                <w:szCs w:val="11"/>
                <w:color w:val="auto"/>
              </w:rPr>
            </w:pPr>
          </w:p>
        </w:tc>
      </w:tr>
      <w:tr>
        <w:trPr>
          <w:trHeight w:val="290"/>
        </w:trPr>
        <w:tc>
          <w:tcPr>
            <w:tcW w:w="11420" w:type="dxa"/>
            <w:vAlign w:val="bottom"/>
            <w:gridSpan w:val="9"/>
          </w:tcPr>
          <w:p>
            <w:pPr>
              <w:ind w:left="460"/>
              <w:spacing w:after="0"/>
              <w:rPr>
                <w:sz w:val="20"/>
                <w:szCs w:val="20"/>
                <w:color w:val="auto"/>
              </w:rPr>
            </w:pPr>
            <w:r>
              <w:rPr>
                <w:rFonts w:ascii="Times New Roman" w:cs="Times New Roman" w:eastAsia="Times New Roman" w:hAnsi="Times New Roman"/>
                <w:sz w:val="18"/>
                <w:szCs w:val="18"/>
                <w:color w:val="auto"/>
              </w:rPr>
              <w:t>The underwriters expect to deliver the Notes to purchasers on or about May   , 2015, only in book-entry form through the facilities of The Depository</w:t>
            </w:r>
          </w:p>
        </w:tc>
      </w:tr>
      <w:tr>
        <w:trPr>
          <w:trHeight w:val="22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Trust Company.</w:t>
            </w:r>
          </w:p>
        </w:tc>
        <w:tc>
          <w:tcPr>
            <w:tcW w:w="1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51"/>
        </w:trPr>
        <w:tc>
          <w:tcPr>
            <w:tcW w:w="3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1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3600" w:type="dxa"/>
            <w:vAlign w:val="bottom"/>
          </w:tcPr>
          <w:p>
            <w:pPr>
              <w:spacing w:after="0"/>
              <w:rPr>
                <w:sz w:val="24"/>
                <w:szCs w:val="24"/>
                <w:color w:val="auto"/>
              </w:rPr>
            </w:pPr>
          </w:p>
        </w:tc>
        <w:tc>
          <w:tcPr>
            <w:tcW w:w="4460" w:type="dxa"/>
            <w:vAlign w:val="bottom"/>
            <w:gridSpan w:val="3"/>
          </w:tcPr>
          <w:p>
            <w:pPr>
              <w:ind w:left="104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1"/>
        </w:trPr>
        <w:tc>
          <w:tcPr>
            <w:tcW w:w="360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J.P. Morgan</w:t>
            </w:r>
          </w:p>
        </w:tc>
        <w:tc>
          <w:tcPr>
            <w:tcW w:w="1260" w:type="dxa"/>
            <w:vAlign w:val="bottom"/>
          </w:tcPr>
          <w:p>
            <w:pPr>
              <w:spacing w:after="0"/>
              <w:rPr>
                <w:sz w:val="24"/>
                <w:szCs w:val="24"/>
                <w:color w:val="auto"/>
              </w:rPr>
            </w:pPr>
          </w:p>
        </w:tc>
        <w:tc>
          <w:tcPr>
            <w:tcW w:w="3200" w:type="dxa"/>
            <w:vAlign w:val="bottom"/>
            <w:gridSpan w:val="2"/>
          </w:tcPr>
          <w:p>
            <w:pPr>
              <w:jc w:val="center"/>
              <w:ind w:right="1240"/>
              <w:spacing w:after="0"/>
              <w:rPr>
                <w:sz w:val="20"/>
                <w:szCs w:val="20"/>
                <w:color w:val="auto"/>
              </w:rPr>
            </w:pPr>
            <w:r>
              <w:rPr>
                <w:rFonts w:ascii="Times New Roman" w:cs="Times New Roman" w:eastAsia="Times New Roman" w:hAnsi="Times New Roman"/>
                <w:sz w:val="32"/>
                <w:szCs w:val="32"/>
                <w:b w:val="1"/>
                <w:bCs w:val="1"/>
                <w:color w:val="auto"/>
              </w:rPr>
              <w:t>MUFG</w:t>
            </w:r>
          </w:p>
        </w:tc>
        <w:tc>
          <w:tcPr>
            <w:tcW w:w="3360" w:type="dxa"/>
            <w:vAlign w:val="bottom"/>
            <w:gridSpan w:val="5"/>
          </w:tcPr>
          <w:p>
            <w:pPr>
              <w:jc w:val="center"/>
              <w:ind w:left="1015"/>
              <w:spacing w:after="0"/>
              <w:rPr>
                <w:sz w:val="20"/>
                <w:szCs w:val="20"/>
                <w:color w:val="auto"/>
              </w:rPr>
            </w:pPr>
            <w:r>
              <w:rPr>
                <w:rFonts w:ascii="Times New Roman" w:cs="Times New Roman" w:eastAsia="Times New Roman" w:hAnsi="Times New Roman"/>
                <w:sz w:val="32"/>
                <w:szCs w:val="32"/>
                <w:b w:val="1"/>
                <w:bCs w:val="1"/>
                <w:color w:val="auto"/>
              </w:rPr>
              <w:t>Morgan Stanley</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Citigroup</w:t>
            </w:r>
          </w:p>
        </w:tc>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32"/>
                <w:szCs w:val="32"/>
                <w:b w:val="1"/>
                <w:bCs w:val="1"/>
                <w:color w:val="auto"/>
              </w:rPr>
              <w:t>BofA Merrill Lynch</w:t>
            </w:r>
          </w:p>
        </w:tc>
        <w:tc>
          <w:tcPr>
            <w:tcW w:w="3360" w:type="dxa"/>
            <w:vAlign w:val="bottom"/>
            <w:gridSpan w:val="5"/>
          </w:tcPr>
          <w:p>
            <w:pPr>
              <w:ind w:left="860"/>
              <w:spacing w:after="0"/>
              <w:rPr>
                <w:sz w:val="20"/>
                <w:szCs w:val="20"/>
                <w:color w:val="auto"/>
              </w:rPr>
            </w:pPr>
            <w:r>
              <w:rPr>
                <w:rFonts w:ascii="Times New Roman" w:cs="Times New Roman" w:eastAsia="Times New Roman" w:hAnsi="Times New Roman"/>
                <w:sz w:val="32"/>
                <w:szCs w:val="32"/>
                <w:b w:val="1"/>
                <w:bCs w:val="1"/>
                <w:color w:val="auto"/>
              </w:rPr>
              <w:t>Mizuho Securities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83820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5" w:lineRule="exact"/>
        <w:rPr>
          <w:sz w:val="24"/>
          <w:szCs w:val="24"/>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April</w:t>
      </w:r>
      <w:r>
        <w:rPr>
          <w:sz w:val="20"/>
          <w:szCs w:val="20"/>
          <w:color w:val="auto"/>
        </w:rPr>
        <w:tab/>
      </w:r>
      <w:r>
        <w:rPr>
          <w:rFonts w:ascii="Times New Roman" w:cs="Times New Roman" w:eastAsia="Times New Roman" w:hAnsi="Times New Roman"/>
          <w:sz w:val="16"/>
          <w:szCs w:val="16"/>
          <w:color w:val="auto"/>
        </w:rPr>
        <w:t>, 2015</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ind w:firstLine="456"/>
        <w:spacing w:after="0" w:line="297" w:lineRule="auto"/>
        <w:rPr>
          <w:sz w:val="20"/>
          <w:szCs w:val="20"/>
          <w:color w:val="auto"/>
        </w:rPr>
      </w:pPr>
      <w:r>
        <w:rPr>
          <w:rFonts w:ascii="Times New Roman" w:cs="Times New Roman" w:eastAsia="Times New Roman" w:hAnsi="Times New Roman"/>
          <w:sz w:val="16"/>
          <w:szCs w:val="16"/>
          <w:b w:val="1"/>
          <w:bCs w:val="1"/>
          <w:color w:val="auto"/>
        </w:rPr>
        <w:t>We are responsible for the information contained in or incorporated by reference in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119380</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320" w:type="dxa"/>
            <w:vAlign w:val="bottom"/>
            <w:gridSpan w:val="4"/>
          </w:tcPr>
          <w:p>
            <w:pPr>
              <w:jc w:val="right"/>
              <w:ind w:right="4574"/>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232"/>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4360" w:type="dxa"/>
            <w:vAlign w:val="bottom"/>
          </w:tcPr>
          <w:p>
            <w:pPr>
              <w:spacing w:after="0"/>
              <w:rPr>
                <w:sz w:val="20"/>
                <w:szCs w:val="2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40" w:type="dxa"/>
            <w:vAlign w:val="bottom"/>
            <w:gridSpan w:val="3"/>
            <w:vMerge w:val="restart"/>
          </w:tcPr>
          <w:p>
            <w:pPr>
              <w:jc w:val="right"/>
              <w:ind w:right="470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3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500" w:type="dxa"/>
            <w:vAlign w:val="bottom"/>
            <w:gridSpan w:val="19"/>
            <w:vMerge w:val="restart"/>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Cautionary Note on Forward-Looking Statements</w:t>
              </w:r>
            </w:hyperlink>
          </w:p>
        </w:tc>
        <w:tc>
          <w:tcPr>
            <w:tcW w:w="500" w:type="dxa"/>
            <w:vAlign w:val="bottom"/>
            <w:gridSpan w:val="2"/>
            <w:vMerge w:val="restart"/>
          </w:tcPr>
          <w:p>
            <w:pPr>
              <w:spacing w:after="0"/>
              <w:rPr>
                <w:sz w:val="16"/>
                <w:szCs w:val="16"/>
                <w:color w:val="auto"/>
              </w:rPr>
            </w:pPr>
          </w:p>
        </w:tc>
        <w:tc>
          <w:tcPr>
            <w:tcW w:w="6940" w:type="dxa"/>
            <w:vAlign w:val="bottom"/>
            <w:gridSpan w:val="3"/>
            <w:vMerge w:val="continue"/>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S-ii</w:t>
            </w:r>
          </w:p>
        </w:tc>
        <w:tc>
          <w:tcPr>
            <w:tcW w:w="0" w:type="dxa"/>
            <w:vAlign w:val="bottom"/>
          </w:tcPr>
          <w:p>
            <w:pPr>
              <w:spacing w:after="0"/>
              <w:rPr>
                <w:sz w:val="1"/>
                <w:szCs w:val="1"/>
                <w:color w:val="auto"/>
              </w:rPr>
            </w:pPr>
          </w:p>
        </w:tc>
      </w:tr>
      <w:tr>
        <w:trPr>
          <w:trHeight w:val="291"/>
        </w:trPr>
        <w:tc>
          <w:tcPr>
            <w:tcW w:w="3500" w:type="dxa"/>
            <w:vAlign w:val="bottom"/>
            <w:tcBorders>
              <w:bottom w:val="single" w:sz="8" w:color="0000EE"/>
            </w:tcBorders>
            <w:gridSpan w:val="19"/>
            <w:vMerge w:val="continue"/>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About This Prospectus Supplement</w:t>
              </w:r>
            </w:hyperlink>
          </w:p>
        </w:tc>
        <w:tc>
          <w:tcPr>
            <w:tcW w:w="150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Summary</w:t>
              </w:r>
            </w:hyperlink>
          </w:p>
        </w:tc>
        <w:tc>
          <w:tcPr>
            <w:tcW w:w="3300" w:type="dxa"/>
            <w:vAlign w:val="bottom"/>
            <w:gridSpan w:val="19"/>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Risk Factors</w:t>
              </w:r>
            </w:hyperlink>
          </w:p>
        </w:tc>
        <w:tc>
          <w:tcPr>
            <w:tcW w:w="310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Use of Proceeds</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17">
              <w:r>
                <w:rPr>
                  <w:rFonts w:ascii="Times New Roman" w:cs="Times New Roman" w:eastAsia="Times New Roman" w:hAnsi="Times New Roman"/>
                  <w:sz w:val="18"/>
                  <w:szCs w:val="18"/>
                  <w:color w:val="0000EE"/>
                  <w:w w:val="96"/>
                </w:rPr>
                <w:t>Capitalization</w:t>
              </w:r>
            </w:hyperlink>
          </w:p>
        </w:tc>
        <w:tc>
          <w:tcPr>
            <w:tcW w:w="140" w:type="dxa"/>
            <w:vAlign w:val="bottom"/>
            <w:tcBorders>
              <w:top w:val="single" w:sz="8" w:color="0000EE"/>
            </w:tcBorders>
          </w:tcPr>
          <w:p>
            <w:pPr>
              <w:spacing w:after="0"/>
              <w:rPr>
                <w:sz w:val="17"/>
                <w:szCs w:val="17"/>
                <w:color w:val="auto"/>
              </w:rPr>
            </w:pPr>
          </w:p>
        </w:tc>
        <w:tc>
          <w:tcPr>
            <w:tcW w:w="286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Description of the Notes</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Material U.S. Federal Income Tax Consequences</w:t>
              </w:r>
            </w:hyperlink>
          </w:p>
        </w:tc>
        <w:tc>
          <w:tcPr>
            <w:tcW w:w="54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29">
              <w:r>
                <w:rPr>
                  <w:rFonts w:ascii="Times New Roman" w:cs="Times New Roman" w:eastAsia="Times New Roman" w:hAnsi="Times New Roman"/>
                  <w:sz w:val="18"/>
                  <w:szCs w:val="18"/>
                  <w:color w:val="0000EE"/>
                  <w:w w:val="96"/>
                </w:rPr>
                <w:t>Underwriting</w:t>
              </w:r>
            </w:hyperlink>
          </w:p>
        </w:tc>
        <w:tc>
          <w:tcPr>
            <w:tcW w:w="3040" w:type="dxa"/>
            <w:vAlign w:val="bottom"/>
            <w:gridSpan w:val="17"/>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33">
              <w:r>
                <w:rPr>
                  <w:rFonts w:ascii="Times New Roman" w:cs="Times New Roman" w:eastAsia="Times New Roman" w:hAnsi="Times New Roman"/>
                  <w:sz w:val="18"/>
                  <w:szCs w:val="18"/>
                  <w:color w:val="0000EE"/>
                  <w:w w:val="96"/>
                </w:rPr>
                <w:t>Validity of Securities</w:t>
              </w:r>
            </w:hyperlink>
          </w:p>
        </w:tc>
        <w:tc>
          <w:tcPr>
            <w:tcW w:w="250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Experts</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Where You Can Find More Information</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60" w:type="dxa"/>
            <w:vAlign w:val="bottom"/>
            <w:gridSpan w:val="3"/>
          </w:tcPr>
          <w:p>
            <w:pPr>
              <w:jc w:val="right"/>
              <w:ind w:right="5454"/>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0" w:type="dxa"/>
            <w:vAlign w:val="bottom"/>
          </w:tcPr>
          <w:p>
            <w:pPr>
              <w:spacing w:after="0"/>
              <w:rPr>
                <w:sz w:val="1"/>
                <w:szCs w:val="1"/>
                <w:color w:val="auto"/>
              </w:rPr>
            </w:pPr>
          </w:p>
        </w:tc>
      </w:tr>
      <w:tr>
        <w:trPr>
          <w:trHeight w:val="286"/>
        </w:trPr>
        <w:tc>
          <w:tcPr>
            <w:tcW w:w="4000" w:type="dxa"/>
            <w:vAlign w:val="bottom"/>
            <w:gridSpan w:val="21"/>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The Company</w:t>
              </w:r>
            </w:hyperlink>
          </w:p>
        </w:tc>
        <w:tc>
          <w:tcPr>
            <w:tcW w:w="7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About this Prospectus</w:t>
              </w:r>
            </w:hyperlink>
          </w:p>
        </w:tc>
        <w:tc>
          <w:tcPr>
            <w:tcW w:w="7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Where You Can Find More Information</w:t>
              </w:r>
            </w:hyperlink>
          </w:p>
        </w:tc>
        <w:tc>
          <w:tcPr>
            <w:tcW w:w="7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Caution Concerning Forward-Looking Statements</w:t>
              </w:r>
            </w:hyperlink>
          </w:p>
        </w:tc>
        <w:tc>
          <w:tcPr>
            <w:tcW w:w="460" w:type="dxa"/>
            <w:vAlign w:val="bottom"/>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Use of Proceeds</w:t>
              </w:r>
            </w:hyperlink>
          </w:p>
        </w:tc>
        <w:tc>
          <w:tcPr>
            <w:tcW w:w="7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Ratios of Earnings to Fixed Charges</w:t>
              </w:r>
            </w:hyperlink>
          </w:p>
        </w:tc>
        <w:tc>
          <w:tcPr>
            <w:tcW w:w="1440" w:type="dxa"/>
            <w:vAlign w:val="bottom"/>
            <w:gridSpan w:val="5"/>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Description of Capital Stock</w:t>
              </w:r>
            </w:hyperlink>
          </w:p>
        </w:tc>
        <w:tc>
          <w:tcPr>
            <w:tcW w:w="1980" w:type="dxa"/>
            <w:vAlign w:val="bottom"/>
            <w:gridSpan w:val="8"/>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Description of Debt Securities</w:t>
              </w:r>
            </w:hyperlink>
          </w:p>
        </w:tc>
        <w:tc>
          <w:tcPr>
            <w:tcW w:w="1860" w:type="dxa"/>
            <w:vAlign w:val="bottom"/>
            <w:gridSpan w:val="7"/>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6"/>
              </w:rPr>
            </w:pPr>
            <w:hyperlink w:anchor="page52">
              <w:r>
                <w:rPr>
                  <w:rFonts w:ascii="Times New Roman" w:cs="Times New Roman" w:eastAsia="Times New Roman" w:hAnsi="Times New Roman"/>
                  <w:sz w:val="18"/>
                  <w:szCs w:val="18"/>
                  <w:color w:val="0000EE"/>
                  <w:w w:val="96"/>
                </w:rPr>
                <w:t>Description of Warrants</w:t>
              </w:r>
            </w:hyperlink>
          </w:p>
        </w:tc>
        <w:tc>
          <w:tcPr>
            <w:tcW w:w="2280" w:type="dxa"/>
            <w:vAlign w:val="bottom"/>
            <w:gridSpan w:val="9"/>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Description of Units</w:t>
              </w:r>
            </w:hyperlink>
          </w:p>
        </w:tc>
        <w:tc>
          <w:tcPr>
            <w:tcW w:w="7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Forms of Securities</w:t>
              </w:r>
            </w:hyperlink>
          </w:p>
        </w:tc>
        <w:tc>
          <w:tcPr>
            <w:tcW w:w="2560" w:type="dxa"/>
            <w:vAlign w:val="bottom"/>
            <w:gridSpan w:val="12"/>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Plan of Distribution</w:t>
              </w:r>
            </w:hyperlink>
          </w:p>
        </w:tc>
        <w:tc>
          <w:tcPr>
            <w:tcW w:w="7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56">
              <w:r>
                <w:rPr>
                  <w:rFonts w:ascii="Times New Roman" w:cs="Times New Roman" w:eastAsia="Times New Roman" w:hAnsi="Times New Roman"/>
                  <w:sz w:val="18"/>
                  <w:szCs w:val="18"/>
                  <w:color w:val="0000EE"/>
                  <w:w w:val="96"/>
                </w:rPr>
                <w:t>Validity of Securities</w:t>
              </w:r>
            </w:hyperlink>
          </w:p>
        </w:tc>
        <w:tc>
          <w:tcPr>
            <w:tcW w:w="2500" w:type="dxa"/>
            <w:vAlign w:val="bottom"/>
            <w:gridSpan w:val="11"/>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Experts</w:t>
              </w:r>
            </w:hyperlink>
          </w:p>
        </w:tc>
        <w:tc>
          <w:tcPr>
            <w:tcW w:w="7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380"/>
          </w:cols>
          <w:pgMar w:left="240" w:top="455" w:right="2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160"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documents that are incorporated by reference in this prospectus supplement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26"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TI or its management:</w:t>
      </w:r>
    </w:p>
    <w:p>
      <w:pPr>
        <w:spacing w:after="0" w:line="25" w:lineRule="exact"/>
        <w:rPr>
          <w:sz w:val="20"/>
          <w:szCs w:val="20"/>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markets such as personal electronics and communications equipment;</w:t>
      </w:r>
    </w:p>
    <w:p>
      <w:pPr>
        <w:spacing w:after="0" w:line="103" w:lineRule="exact"/>
        <w:rPr>
          <w:rFonts w:ascii="Times New Roman" w:cs="Times New Roman" w:eastAsia="Times New Roman" w:hAnsi="Times New Roman"/>
          <w:sz w:val="18"/>
          <w:szCs w:val="18"/>
          <w:color w:val="auto"/>
        </w:rPr>
      </w:pPr>
    </w:p>
    <w:p>
      <w:pPr>
        <w:ind w:left="660" w:right="660" w:hanging="206"/>
        <w:spacing w:after="0" w:line="27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develop, manufacture and market innovative products in a rapidly changing technological environment;</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compete in products and prices in an intensely competitive industry;</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and enforce a strong intellectual property portfolio and obtain needed licenses from third parties;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license agreements between TI and its patent licensees, and market conditions reducing royalty payments to TI;</w:t>
      </w:r>
    </w:p>
    <w:p>
      <w:pPr>
        <w:spacing w:after="0" w:line="103" w:lineRule="exact"/>
        <w:rPr>
          <w:rFonts w:ascii="Times New Roman" w:cs="Times New Roman" w:eastAsia="Times New Roman" w:hAnsi="Times New Roman"/>
          <w:sz w:val="18"/>
          <w:szCs w:val="18"/>
          <w:color w:val="auto"/>
        </w:rPr>
      </w:pPr>
    </w:p>
    <w:p>
      <w:pPr>
        <w:ind w:left="660" w:right="120" w:hanging="206"/>
        <w:spacing w:after="0" w:line="325" w:lineRule="auto"/>
        <w:tabs>
          <w:tab w:leader="none" w:pos="6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Times New Roman" w:cs="Times New Roman" w:eastAsia="Times New Roman" w:hAnsi="Times New Roman"/>
          <w:sz w:val="16"/>
          <w:szCs w:val="16"/>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health epidemics, severe weather and earthquakes in the locations in which TI, its customers or its suppliers operate;</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103" w:lineRule="exact"/>
        <w:rPr>
          <w:rFonts w:ascii="Times New Roman" w:cs="Times New Roman" w:eastAsia="Times New Roman" w:hAnsi="Times New Roman"/>
          <w:sz w:val="18"/>
          <w:szCs w:val="18"/>
          <w:color w:val="auto"/>
        </w:rPr>
      </w:pPr>
    </w:p>
    <w:p>
      <w:pPr>
        <w:ind w:left="660" w:right="180" w:hanging="206"/>
        <w:spacing w:after="0" w:line="27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25" w:lineRule="exact"/>
        <w:rPr>
          <w:rFonts w:ascii="Times New Roman" w:cs="Times New Roman" w:eastAsia="Times New Roman" w:hAnsi="Times New Roman"/>
          <w:sz w:val="18"/>
          <w:szCs w:val="18"/>
          <w:color w:val="auto"/>
        </w:rPr>
      </w:pPr>
    </w:p>
    <w:p>
      <w:pPr>
        <w:ind w:left="660" w:hanging="206"/>
        <w:spacing w:after="0" w:line="27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TI is or may become subject, or actions of enforcement authorities, that restrict our ability to manufacture our products or operate our business, or subject us to fines, penalties, or other legal liability;</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and the timing and amount of distributor and other customer inventory adjustments;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their promotion of competing product lines to TI’s detriment;</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suffered by a customer or distributor of TI with respect to TI-consigned inventory;</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our forecasts;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400"/>
          </w:cols>
          <w:pgMar w:left="240" w:top="455"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impact of inadequate or excess TI inventory that results from demand that differs from projections;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103" w:lineRule="exact"/>
        <w:rPr>
          <w:rFonts w:ascii="Times New Roman" w:cs="Times New Roman" w:eastAsia="Times New Roman" w:hAnsi="Times New Roman"/>
          <w:sz w:val="18"/>
          <w:szCs w:val="18"/>
          <w:color w:val="auto"/>
        </w:rPr>
      </w:pPr>
    </w:p>
    <w:p>
      <w:pPr>
        <w:ind w:left="660" w:right="260" w:hanging="206"/>
        <w:spacing w:after="0" w:line="27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claims based on epidemic or delivery failure, recalls by TI customers for a product containing a TI part or other legal proceedings;</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recruit and retain skilled personnel;</w:t>
      </w:r>
    </w:p>
    <w:p>
      <w:pPr>
        <w:spacing w:after="0" w:line="103" w:lineRule="exact"/>
        <w:rPr>
          <w:rFonts w:ascii="Times New Roman" w:cs="Times New Roman" w:eastAsia="Times New Roman" w:hAnsi="Times New Roman"/>
          <w:sz w:val="18"/>
          <w:szCs w:val="18"/>
          <w:color w:val="auto"/>
        </w:rPr>
      </w:pPr>
    </w:p>
    <w:p>
      <w:pPr>
        <w:ind w:left="660" w:right="240" w:hanging="206"/>
        <w:spacing w:after="0" w:line="27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and installation of manufacturing equipment, and the ability to obtain needed third-party foundry and assembly/test subcontract services;</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obligation to make principal and interest payments on its debt;</w:t>
      </w:r>
    </w:p>
    <w:p>
      <w:pPr>
        <w:spacing w:after="0" w:line="103" w:lineRule="exact"/>
        <w:rPr>
          <w:rFonts w:ascii="Times New Roman" w:cs="Times New Roman" w:eastAsia="Times New Roman" w:hAnsi="Times New Roman"/>
          <w:sz w:val="18"/>
          <w:szCs w:val="18"/>
          <w:color w:val="auto"/>
        </w:rPr>
      </w:pPr>
    </w:p>
    <w:p>
      <w:pPr>
        <w:ind w:left="660" w:right="340" w:hanging="206"/>
        <w:spacing w:after="0" w:line="27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our information technology systems or those of our customers or suppliers.</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Securities and Exchange Commission (the “SEC”). The forward-looking statements contained in this prospectus supplement are made as of the date hereof. We undertake no obligation to update any forward-looking statement, whether as a result of new information, future events or risks. If we do update any forward-looking statement, you should not infer that we will make additional updates with respect to that statement or any other forward-looking statement.</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340"/>
          </w:cols>
          <w:pgMar w:left="240" w:top="455" w:right="3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2013. The accompanying prospectus contains a description of our debt securities and gives more general information, some of which may not apply to this offering.</w:t>
      </w:r>
    </w:p>
    <w:p>
      <w:pPr>
        <w:spacing w:after="0" w:line="123"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If the description of this offering varies between this prospectus supplement and the accompanying prospectus, you should rely on the information in this prospectus supplement.</w:t>
      </w:r>
    </w:p>
    <w:p>
      <w:pPr>
        <w:spacing w:after="0" w:line="104"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340"/>
          </w:cols>
          <w:pgMar w:left="240" w:top="455" w:right="3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58" w:lineRule="exact"/>
        <w:rPr>
          <w:sz w:val="20"/>
          <w:szCs w:val="20"/>
          <w:color w:val="auto"/>
        </w:rPr>
      </w:pPr>
    </w:p>
    <w:p>
      <w:pPr>
        <w:ind w:right="10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The following summary highlights information contained in or incorporated by reference in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160"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35 countries.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On April 22, 2015, we announced our results of operations as of and for the three months ended March 31, 2015. A summary of these results is as follows: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1Q15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(Millions of dollars, except per-share amounts)</w:t>
            </w:r>
          </w:p>
        </w:tc>
        <w:tc>
          <w:tcPr>
            <w:tcW w:w="2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1Q15</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1Q14</w:t>
            </w: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200" w:type="dxa"/>
            <w:vAlign w:val="bottom"/>
            <w:tcBorders>
              <w:bottom w:val="single" w:sz="8" w:color="CCEEFF"/>
            </w:tcBorders>
          </w:tcPr>
          <w:p>
            <w:pPr>
              <w:spacing w:after="0"/>
              <w:rPr>
                <w:sz w:val="14"/>
                <w:szCs w:val="14"/>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4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1Q15 Additional Financial Information</w:t>
      </w:r>
    </w:p>
    <w:p>
      <w:pPr>
        <w:spacing w:after="0" w:line="81" w:lineRule="exact"/>
        <w:rPr>
          <w:sz w:val="20"/>
          <w:szCs w:val="20"/>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Analog and Embedded Processing segments contributed 86 percent of revenue in the first quarter.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short-term investments were $3.3 billion at the end of the quarter, 82 percent of which was owned by our U.S. entities.</w:t>
      </w:r>
    </w:p>
    <w:p>
      <w:pPr>
        <w:spacing w:after="0" w:line="103" w:lineRule="exact"/>
        <w:rPr>
          <w:rFonts w:ascii="Times New Roman" w:cs="Times New Roman" w:eastAsia="Times New Roman" w:hAnsi="Times New Roman"/>
          <w:sz w:val="18"/>
          <w:szCs w:val="18"/>
          <w:color w:val="auto"/>
        </w:rPr>
      </w:pPr>
    </w:p>
    <w:p>
      <w:pPr>
        <w:ind w:left="660" w:right="640" w:hanging="206"/>
        <w:spacing w:after="0" w:line="27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in the first quarter was $486 million. For the trailing twelve months, free cash flow was $3.6 billion, or 27 percent of revenue, as compared with $3.1 billion, or 25 percent of revenue, in the year-ago trailing twelve-month period.</w:t>
      </w:r>
    </w:p>
    <w:p>
      <w:pPr>
        <w:spacing w:after="0" w:line="25" w:lineRule="exact"/>
        <w:rPr>
          <w:rFonts w:ascii="Times New Roman" w:cs="Times New Roman" w:eastAsia="Times New Roman" w:hAnsi="Times New Roman"/>
          <w:sz w:val="18"/>
          <w:szCs w:val="18"/>
          <w:color w:val="auto"/>
        </w:rPr>
      </w:pPr>
    </w:p>
    <w:p>
      <w:pPr>
        <w:ind w:left="660" w:right="560" w:hanging="206"/>
        <w:spacing w:after="0" w:line="27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returned $1.0 billion in the first quarter to shareholders through dividends and stock repurchases. For the trailing twelve months, the return to shareholders totaled $4.1 billion.</w:t>
      </w:r>
    </w:p>
    <w:p>
      <w:pPr>
        <w:spacing w:after="0" w:line="106"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Free cash flow is Cash flows from operating activities minus Capital expenditures. Free cash flow and the ratios based on it are non-GAAP financial measures. For a reconciliation of these measures to the most directly comparable measures under generally accepted accounting principles in the United States (“GAAP”), see “Non-GAAP Financial Information” below.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1Q15 Segment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1Q15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1Q14</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1"/>
              </w:rPr>
              <w:t>Change</w:t>
            </w: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Analog:</w:t>
            </w:r>
          </w:p>
        </w:tc>
        <w:tc>
          <w:tcPr>
            <w:tcW w:w="172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3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1,837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profit</w:t>
            </w:r>
          </w:p>
        </w:tc>
        <w:tc>
          <w:tcPr>
            <w:tcW w:w="3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721</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Embedded Processing:</w:t>
            </w:r>
          </w:p>
        </w:tc>
        <w:tc>
          <w:tcPr>
            <w:tcW w:w="1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3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672</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656</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profit</w:t>
            </w:r>
          </w:p>
        </w:tc>
        <w:tc>
          <w:tcPr>
            <w:tcW w:w="3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52</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3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490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profit</w:t>
            </w:r>
          </w:p>
        </w:tc>
        <w:tc>
          <w:tcPr>
            <w:tcW w:w="3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86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61"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19"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“Where You Can Find More Information.”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36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Texas Instruments Incorporated.</w:t>
            </w:r>
          </w:p>
        </w:tc>
        <w:tc>
          <w:tcPr>
            <w:tcW w:w="16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17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6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aggregate principal amount of   % Notes due 20   .</w:t>
            </w:r>
          </w:p>
        </w:tc>
      </w:tr>
      <w:tr>
        <w:trPr>
          <w:trHeight w:val="44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700" w:type="dxa"/>
            <w:vAlign w:val="bottom"/>
          </w:tcPr>
          <w:p>
            <w:pPr>
              <w:spacing w:after="0"/>
              <w:rPr>
                <w:sz w:val="24"/>
                <w:szCs w:val="24"/>
                <w:color w:val="auto"/>
              </w:rPr>
            </w:pPr>
          </w:p>
        </w:tc>
        <w:tc>
          <w:tcPr>
            <w:tcW w:w="19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 20  .</w:t>
            </w:r>
          </w:p>
        </w:tc>
        <w:tc>
          <w:tcPr>
            <w:tcW w:w="16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1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17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May</w:t>
            </w:r>
          </w:p>
        </w:tc>
        <w:tc>
          <w:tcPr>
            <w:tcW w:w="1940" w:type="dxa"/>
            <w:vAlign w:val="bottom"/>
          </w:tcPr>
          <w:p>
            <w:pPr>
              <w:jc w:val="right"/>
              <w:ind w:right="1272"/>
              <w:spacing w:after="0"/>
              <w:rPr>
                <w:sz w:val="20"/>
                <w:szCs w:val="20"/>
                <w:color w:val="auto"/>
              </w:rPr>
            </w:pPr>
            <w:r>
              <w:rPr>
                <w:rFonts w:ascii="Times New Roman" w:cs="Times New Roman" w:eastAsia="Times New Roman" w:hAnsi="Times New Roman"/>
                <w:sz w:val="18"/>
                <w:szCs w:val="18"/>
                <w:color w:val="auto"/>
              </w:rPr>
              <w:t>, 2015.</w:t>
            </w:r>
          </w:p>
        </w:tc>
        <w:tc>
          <w:tcPr>
            <w:tcW w:w="16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36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Fixed rate of   %.</w:t>
            </w:r>
          </w:p>
        </w:tc>
        <w:tc>
          <w:tcPr>
            <w:tcW w:w="16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4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17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Each</w:t>
            </w:r>
          </w:p>
        </w:tc>
        <w:tc>
          <w:tcPr>
            <w:tcW w:w="194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and</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on</w:t>
            </w:r>
          </w:p>
        </w:tc>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2015, and on the maturity date.</w:t>
            </w:r>
          </w:p>
        </w:tc>
      </w:tr>
      <w:tr>
        <w:trPr>
          <w:trHeight w:val="42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838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w w:val="98"/>
              </w:rPr>
              <w:t>The Notes will be the senior unsecured obligations of Texas Instruments Incorporated and will rank</w:t>
            </w:r>
          </w:p>
        </w:tc>
      </w:tr>
      <w:tr>
        <w:trPr>
          <w:trHeight w:val="216"/>
        </w:trPr>
        <w:tc>
          <w:tcPr>
            <w:tcW w:w="2980" w:type="dxa"/>
            <w:vAlign w:val="bottom"/>
          </w:tcPr>
          <w:p>
            <w:pPr>
              <w:spacing w:after="0"/>
              <w:rPr>
                <w:sz w:val="18"/>
                <w:szCs w:val="18"/>
                <w:color w:val="auto"/>
              </w:rPr>
            </w:pPr>
          </w:p>
        </w:tc>
        <w:tc>
          <w:tcPr>
            <w:tcW w:w="838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rPr>
              <w:t>equally with all of its existing and future senior indebtedness from time to time outstanding. All</w:t>
            </w:r>
          </w:p>
        </w:tc>
      </w:tr>
      <w:tr>
        <w:trPr>
          <w:trHeight w:val="216"/>
        </w:trPr>
        <w:tc>
          <w:tcPr>
            <w:tcW w:w="2980" w:type="dxa"/>
            <w:vAlign w:val="bottom"/>
          </w:tcPr>
          <w:p>
            <w:pPr>
              <w:spacing w:after="0"/>
              <w:rPr>
                <w:sz w:val="18"/>
                <w:szCs w:val="18"/>
                <w:color w:val="auto"/>
              </w:rPr>
            </w:pPr>
          </w:p>
        </w:tc>
        <w:tc>
          <w:tcPr>
            <w:tcW w:w="838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rPr>
              <w:t>existing and future liabilities of subsidiaries of Texas Instruments Incorporated will be effectively</w:t>
            </w:r>
          </w:p>
        </w:tc>
      </w:tr>
      <w:tr>
        <w:trPr>
          <w:trHeight w:val="228"/>
        </w:trPr>
        <w:tc>
          <w:tcPr>
            <w:tcW w:w="2980" w:type="dxa"/>
            <w:vAlign w:val="bottom"/>
          </w:tcPr>
          <w:p>
            <w:pPr>
              <w:spacing w:after="0"/>
              <w:rPr>
                <w:sz w:val="19"/>
                <w:szCs w:val="19"/>
                <w:color w:val="auto"/>
              </w:rPr>
            </w:pPr>
          </w:p>
        </w:tc>
        <w:tc>
          <w:tcPr>
            <w:tcW w:w="36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senior to the Notes.</w:t>
            </w:r>
          </w:p>
        </w:tc>
        <w:tc>
          <w:tcPr>
            <w:tcW w:w="16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71"/>
        </w:trPr>
        <w:tc>
          <w:tcPr>
            <w:tcW w:w="2980" w:type="dxa"/>
            <w:vAlign w:val="bottom"/>
          </w:tcPr>
          <w:p>
            <w:pPr>
              <w:spacing w:after="0"/>
              <w:rPr>
                <w:sz w:val="23"/>
                <w:szCs w:val="23"/>
                <w:color w:val="auto"/>
              </w:rPr>
            </w:pPr>
          </w:p>
        </w:tc>
        <w:tc>
          <w:tcPr>
            <w:tcW w:w="838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rPr>
              <w:t>As of December 31, 2014, Texas Instruments Incorporated had approximately $4.6 billion of</w:t>
            </w:r>
          </w:p>
        </w:tc>
      </w:tr>
      <w:tr>
        <w:trPr>
          <w:trHeight w:val="216"/>
        </w:trPr>
        <w:tc>
          <w:tcPr>
            <w:tcW w:w="2980" w:type="dxa"/>
            <w:vAlign w:val="bottom"/>
          </w:tcPr>
          <w:p>
            <w:pPr>
              <w:spacing w:after="0"/>
              <w:rPr>
                <w:sz w:val="18"/>
                <w:szCs w:val="18"/>
                <w:color w:val="auto"/>
              </w:rPr>
            </w:pPr>
          </w:p>
        </w:tc>
        <w:tc>
          <w:tcPr>
            <w:tcW w:w="838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rPr>
              <w:t>outstanding indebtedness. As of December 31, 2014, we had approximately $7.3 billion of total</w:t>
            </w:r>
          </w:p>
        </w:tc>
      </w:tr>
      <w:tr>
        <w:trPr>
          <w:trHeight w:val="216"/>
        </w:trPr>
        <w:tc>
          <w:tcPr>
            <w:tcW w:w="2980" w:type="dxa"/>
            <w:vAlign w:val="bottom"/>
          </w:tcPr>
          <w:p>
            <w:pPr>
              <w:spacing w:after="0"/>
              <w:rPr>
                <w:sz w:val="18"/>
                <w:szCs w:val="18"/>
                <w:color w:val="auto"/>
              </w:rPr>
            </w:pPr>
          </w:p>
        </w:tc>
        <w:tc>
          <w:tcPr>
            <w:tcW w:w="838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w w:val="96"/>
              </w:rPr>
              <w:t>liabilities on a consolidated basis. Of this amount, subsidiaries of Texas Instruments Incorporated had</w:t>
            </w:r>
          </w:p>
        </w:tc>
      </w:tr>
      <w:tr>
        <w:trPr>
          <w:trHeight w:val="216"/>
        </w:trPr>
        <w:tc>
          <w:tcPr>
            <w:tcW w:w="2980" w:type="dxa"/>
            <w:vAlign w:val="bottom"/>
          </w:tcPr>
          <w:p>
            <w:pPr>
              <w:spacing w:after="0"/>
              <w:rPr>
                <w:sz w:val="18"/>
                <w:szCs w:val="18"/>
                <w:color w:val="auto"/>
              </w:rPr>
            </w:pPr>
          </w:p>
        </w:tc>
        <w:tc>
          <w:tcPr>
            <w:tcW w:w="838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w w:val="98"/>
              </w:rPr>
              <w:t>approximately $1.5 billion of liabilities (including trade payables and excluding intercompany debt)</w:t>
            </w:r>
          </w:p>
        </w:tc>
      </w:tr>
      <w:tr>
        <w:trPr>
          <w:trHeight w:val="228"/>
        </w:trPr>
        <w:tc>
          <w:tcPr>
            <w:tcW w:w="2980" w:type="dxa"/>
            <w:vAlign w:val="bottom"/>
          </w:tcPr>
          <w:p>
            <w:pPr>
              <w:spacing w:after="0"/>
              <w:rPr>
                <w:sz w:val="19"/>
                <w:szCs w:val="19"/>
                <w:color w:val="auto"/>
              </w:rPr>
            </w:pPr>
          </w:p>
        </w:tc>
        <w:tc>
          <w:tcPr>
            <w:tcW w:w="52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to which the Notes will be effectively subordinated.</w:t>
            </w:r>
          </w:p>
        </w:tc>
        <w:tc>
          <w:tcPr>
            <w:tcW w:w="3140" w:type="dxa"/>
            <w:vAlign w:val="bottom"/>
          </w:tcPr>
          <w:p>
            <w:pPr>
              <w:spacing w:after="0"/>
              <w:rPr>
                <w:sz w:val="19"/>
                <w:szCs w:val="19"/>
                <w:color w:val="auto"/>
              </w:rPr>
            </w:pPr>
          </w:p>
        </w:tc>
      </w:tr>
      <w:tr>
        <w:trPr>
          <w:trHeight w:val="43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Form and Denomination</w:t>
            </w:r>
          </w:p>
        </w:tc>
        <w:tc>
          <w:tcPr>
            <w:tcW w:w="838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rPr>
              <w:t>The Notes will be issued in the form of one or more fully registered global securities, without</w:t>
            </w:r>
          </w:p>
        </w:tc>
      </w:tr>
      <w:tr>
        <w:trPr>
          <w:trHeight w:val="216"/>
        </w:trPr>
        <w:tc>
          <w:tcPr>
            <w:tcW w:w="2980" w:type="dxa"/>
            <w:vAlign w:val="bottom"/>
          </w:tcPr>
          <w:p>
            <w:pPr>
              <w:spacing w:after="0"/>
              <w:rPr>
                <w:sz w:val="18"/>
                <w:szCs w:val="18"/>
                <w:color w:val="auto"/>
              </w:rPr>
            </w:pPr>
          </w:p>
        </w:tc>
        <w:tc>
          <w:tcPr>
            <w:tcW w:w="838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w w:val="98"/>
              </w:rPr>
              <w:t>coupons, in denominations of $2,000 in principal amount and integral multiples of $1,000 in excess</w:t>
            </w:r>
          </w:p>
        </w:tc>
      </w:tr>
      <w:tr>
        <w:trPr>
          <w:trHeight w:val="216"/>
        </w:trPr>
        <w:tc>
          <w:tcPr>
            <w:tcW w:w="2980" w:type="dxa"/>
            <w:vAlign w:val="bottom"/>
          </w:tcPr>
          <w:p>
            <w:pPr>
              <w:spacing w:after="0"/>
              <w:rPr>
                <w:sz w:val="18"/>
                <w:szCs w:val="18"/>
                <w:color w:val="auto"/>
              </w:rPr>
            </w:pPr>
          </w:p>
        </w:tc>
        <w:tc>
          <w:tcPr>
            <w:tcW w:w="838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w w:val="99"/>
              </w:rPr>
              <w:t>thereof. These global notes will be deposited with the trustee as custodian for, and registered in the</w:t>
            </w:r>
          </w:p>
        </w:tc>
      </w:tr>
      <w:tr>
        <w:trPr>
          <w:trHeight w:val="216"/>
        </w:trPr>
        <w:tc>
          <w:tcPr>
            <w:tcW w:w="2980" w:type="dxa"/>
            <w:vAlign w:val="bottom"/>
          </w:tcPr>
          <w:p>
            <w:pPr>
              <w:spacing w:after="0"/>
              <w:rPr>
                <w:sz w:val="18"/>
                <w:szCs w:val="18"/>
                <w:color w:val="auto"/>
              </w:rPr>
            </w:pPr>
          </w:p>
        </w:tc>
        <w:tc>
          <w:tcPr>
            <w:tcW w:w="838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w w:val="97"/>
              </w:rPr>
              <w:t>name of, a nominee of The Depository Trust Company, or DTC. Except in the limited circumstances</w:t>
            </w:r>
          </w:p>
        </w:tc>
      </w:tr>
      <w:tr>
        <w:trPr>
          <w:trHeight w:val="216"/>
        </w:trPr>
        <w:tc>
          <w:tcPr>
            <w:tcW w:w="2980" w:type="dxa"/>
            <w:vAlign w:val="bottom"/>
          </w:tcPr>
          <w:p>
            <w:pPr>
              <w:spacing w:after="0"/>
              <w:rPr>
                <w:sz w:val="18"/>
                <w:szCs w:val="18"/>
                <w:color w:val="auto"/>
              </w:rPr>
            </w:pPr>
          </w:p>
        </w:tc>
        <w:tc>
          <w:tcPr>
            <w:tcW w:w="838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w w:val="97"/>
              </w:rPr>
              <w:t>described under “Description of the Notes—Book-Entry; Delivery and Form; Global Note,” Notes in</w:t>
            </w:r>
          </w:p>
        </w:tc>
      </w:tr>
      <w:tr>
        <w:trPr>
          <w:trHeight w:val="228"/>
        </w:trPr>
        <w:tc>
          <w:tcPr>
            <w:tcW w:w="2980" w:type="dxa"/>
            <w:vAlign w:val="bottom"/>
          </w:tcPr>
          <w:p>
            <w:pPr>
              <w:spacing w:after="0"/>
              <w:rPr>
                <w:sz w:val="19"/>
                <w:szCs w:val="19"/>
                <w:color w:val="auto"/>
              </w:rPr>
            </w:pPr>
          </w:p>
        </w:tc>
        <w:tc>
          <w:tcPr>
            <w:tcW w:w="838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rPr>
              <w:t>certificated form will not be issued or exchanged for interests in global securities.</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Governing Law</w:t>
            </w:r>
          </w:p>
        </w:tc>
        <w:tc>
          <w:tcPr>
            <w:tcW w:w="52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internal laws of the State of New York.</w:t>
            </w:r>
          </w:p>
        </w:tc>
        <w:tc>
          <w:tcPr>
            <w:tcW w:w="3140" w:type="dxa"/>
            <w:vAlign w:val="bottom"/>
          </w:tcPr>
          <w:p>
            <w:pPr>
              <w:spacing w:after="0"/>
              <w:rPr>
                <w:sz w:val="24"/>
                <w:szCs w:val="24"/>
                <w:color w:val="auto"/>
              </w:rPr>
            </w:pPr>
          </w:p>
        </w:tc>
      </w:tr>
      <w:tr>
        <w:trPr>
          <w:trHeight w:val="365"/>
        </w:trPr>
        <w:tc>
          <w:tcPr>
            <w:tcW w:w="2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4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S-3</w:t>
            </w:r>
          </w:p>
        </w:tc>
        <w:tc>
          <w:tcPr>
            <w:tcW w:w="160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00"/>
          </w:cols>
          <w:pgMar w:left="240" w:top="455" w:right="259" w:bottom="1440" w:gutter="0" w:footer="0" w:header="0"/>
        </w:sect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use the net proceeds of this offering for repayment of all or a portion of the notes due August 3, 2015 bearing interest at a fixed rate of 0.450%. We expect to use the remainder of the net proceeds of this offering, if any, for general corporate purposes. See “Use of Proceeds.” In connection with the issuance of the Notes, we may enter into interest rate swap agreements with financial institutions, which may include one or more of the underwriters or their affiliates.</w:t>
      </w:r>
    </w:p>
    <w:p>
      <w:pPr>
        <w:spacing w:after="0" w:line="193" w:lineRule="exact"/>
        <w:rPr>
          <w:sz w:val="20"/>
          <w:szCs w:val="20"/>
          <w:color w:val="auto"/>
        </w:rPr>
      </w:pPr>
    </w:p>
    <w:p>
      <w:pPr>
        <w:sectPr>
          <w:pgSz w:w="11900" w:h="16838" w:orient="portrait"/>
          <w:cols w:equalWidth="0" w:num="2">
            <w:col w:w="3520" w:space="720"/>
            <w:col w:w="716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Further Issuances</w:t>
      </w:r>
    </w:p>
    <w:p>
      <w:pPr>
        <w:spacing w:after="0" w:line="20" w:lineRule="exact"/>
        <w:rPr>
          <w:sz w:val="20"/>
          <w:szCs w:val="20"/>
          <w:color w:val="auto"/>
        </w:rPr>
      </w:pPr>
      <w:r>
        <w:rPr>
          <w:sz w:val="20"/>
          <w:szCs w:val="20"/>
          <w:color w:val="auto"/>
        </w:rPr>
        <w:br w:type="column"/>
      </w:r>
    </w:p>
    <w:p>
      <w:pPr>
        <w:ind w:right="180"/>
        <w:spacing w:after="0" w:line="310" w:lineRule="auto"/>
        <w:rPr>
          <w:sz w:val="20"/>
          <w:szCs w:val="20"/>
          <w:color w:val="auto"/>
        </w:rPr>
      </w:pPr>
      <w:r>
        <w:rPr>
          <w:rFonts w:ascii="Times New Roman" w:cs="Times New Roman" w:eastAsia="Times New Roman" w:hAnsi="Times New Roman"/>
          <w:sz w:val="16"/>
          <w:szCs w:val="16"/>
          <w:color w:val="auto"/>
        </w:rPr>
        <w:t>Texas Instruments Incorporated may create and issue further notes ranking equally and ratably with the Notes offered by this prospectus supplement in all respects, so that such further notes will be consolidated and form a single series with the Notes offered by this prospectus supplement.</w:t>
      </w:r>
    </w:p>
    <w:p>
      <w:pPr>
        <w:spacing w:after="0" w:line="151" w:lineRule="exact"/>
        <w:rPr>
          <w:sz w:val="20"/>
          <w:szCs w:val="20"/>
          <w:color w:val="auto"/>
        </w:rPr>
      </w:pPr>
    </w:p>
    <w:p>
      <w:pPr>
        <w:sectPr>
          <w:pgSz w:w="11900" w:h="16838" w:orient="portrait"/>
          <w:cols w:equalWidth="0" w:num="2">
            <w:col w:w="3520" w:space="720"/>
            <w:col w:w="716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ectPr>
          <w:pgSz w:w="11900" w:h="16838" w:orient="portrait"/>
          <w:cols w:equalWidth="0" w:num="2">
            <w:col w:w="3520" w:space="720"/>
            <w:col w:w="7160"/>
          </w:cols>
          <w:pgMar w:left="240" w:top="455"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Texas Instruments Incorporated may redeem some or all of the Notes at any time at the redemption prices indicated under the heading “Description of the Notes—Optional Redemption.”</w:t>
      </w:r>
    </w:p>
    <w:p>
      <w:pPr>
        <w:spacing w:after="0" w:line="128" w:lineRule="exact"/>
        <w:rPr>
          <w:sz w:val="20"/>
          <w:szCs w:val="20"/>
          <w:color w:val="auto"/>
        </w:rPr>
      </w:pPr>
    </w:p>
    <w:p>
      <w:pPr>
        <w:sectPr>
          <w:pgSz w:w="11900" w:h="16838" w:orient="portrait"/>
          <w:cols w:equalWidth="0" w:num="2">
            <w:col w:w="3520" w:space="720"/>
            <w:col w:w="716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Trading</w:t>
      </w:r>
    </w:p>
    <w:p>
      <w:pPr>
        <w:spacing w:after="0" w:line="20" w:lineRule="exact"/>
        <w:rPr>
          <w:sz w:val="20"/>
          <w:szCs w:val="20"/>
          <w:color w:val="auto"/>
        </w:rPr>
      </w:pPr>
      <w:r>
        <w:rPr>
          <w:sz w:val="20"/>
          <w:szCs w:val="20"/>
          <w:color w:val="auto"/>
        </w:rPr>
        <w:br w:type="column"/>
      </w:r>
    </w:p>
    <w:p>
      <w:pPr>
        <w:ind w:right="60"/>
        <w:spacing w:after="0" w:line="256"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for listing of the Notes on any securities exchange. The underwriters have advised us that they intend to make a market in the Notes, but they are not obligated to do so and may discontinue market-making at any time without notice. See “Underwriting” in this prospectus supplement for more information about possible market-making by the underwriters.</w:t>
      </w:r>
    </w:p>
    <w:p>
      <w:pPr>
        <w:spacing w:after="0" w:line="193" w:lineRule="exact"/>
        <w:rPr>
          <w:sz w:val="20"/>
          <w:szCs w:val="20"/>
          <w:color w:val="auto"/>
        </w:rPr>
      </w:pPr>
    </w:p>
    <w:p>
      <w:pPr>
        <w:sectPr>
          <w:pgSz w:w="11900" w:h="16838" w:orient="portrait"/>
          <w:cols w:equalWidth="0" w:num="2">
            <w:col w:w="3520" w:space="720"/>
            <w:col w:w="716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U.S. Bank National Association.</w:t>
      </w:r>
    </w:p>
    <w:p>
      <w:pPr>
        <w:spacing w:after="0" w:line="200" w:lineRule="exact"/>
        <w:rPr>
          <w:sz w:val="20"/>
          <w:szCs w:val="20"/>
          <w:color w:val="auto"/>
        </w:rPr>
      </w:pPr>
    </w:p>
    <w:p>
      <w:pPr>
        <w:sectPr>
          <w:pgSz w:w="11900" w:h="16838" w:orient="portrait"/>
          <w:cols w:equalWidth="0" w:num="2">
            <w:col w:w="3520" w:space="720"/>
            <w:col w:w="7160"/>
          </w:cols>
          <w:pgMar w:left="240" w:top="455"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prospectus supplement and the accompanying prospectus and the documents incorporated herein by reference. In particular, you should evaluate the information set forth under “Cautionary Note on Forward-Looking Statements” and “Risk Factors” before deciding whether to invest in the Notes.</w:t>
      </w:r>
    </w:p>
    <w:p>
      <w:pPr>
        <w:spacing w:after="0" w:line="123" w:lineRule="exact"/>
        <w:rPr>
          <w:sz w:val="20"/>
          <w:szCs w:val="20"/>
          <w:color w:val="auto"/>
        </w:rPr>
      </w:pPr>
    </w:p>
    <w:p>
      <w:pPr>
        <w:sectPr>
          <w:pgSz w:w="11900" w:h="16838" w:orient="portrait"/>
          <w:cols w:equalWidth="0" w:num="2">
            <w:col w:w="3520" w:space="720"/>
            <w:col w:w="7160"/>
          </w:cols>
          <w:pgMar w:left="240" w:top="455" w:right="2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S-4</w:t>
      </w:r>
    </w:p>
    <w:p>
      <w:pPr>
        <w:sectPr>
          <w:pgSz w:w="11900" w:h="16838" w:orient="portrait"/>
          <w:cols w:equalWidth="0" w:num="1">
            <w:col w:w="11400"/>
          </w:cols>
          <w:pgMar w:left="240" w:top="455" w:right="25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Historical Financial Information</w:t>
      </w:r>
    </w:p>
    <w:p>
      <w:pPr>
        <w:spacing w:after="0" w:line="160" w:lineRule="exact"/>
        <w:rPr>
          <w:sz w:val="20"/>
          <w:szCs w:val="20"/>
          <w:color w:val="auto"/>
        </w:rPr>
      </w:pPr>
    </w:p>
    <w:p>
      <w:pPr>
        <w:ind w:right="44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sets forth our summary historical financial information. The summary historical financial information for the years ended December 31, 2014, 2013 and 2012 and as of December 31, 2014 and 2013 has been derived from our audited consolidated financial statements included or incorporated by reference in this prospectus supplement and the accompanying prospectus.</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Various factors will have an effect on our financial condition and results of operations. You should read the summary historical financial information in conjunction with the information under “Risk Factors,” “Capitalization” and “Management’s Discussion and Analysis of Financial Condition and Results of Operations” and our consolidated financial statements and the related notes, all included elsewhere or incorporated by reference in this prospectus supplement and the accompanying prospectus.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 of dollars, except share and per-share amounts)</w:t>
            </w:r>
          </w:p>
        </w:tc>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10"/>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13,045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12,205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charges</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charges/other</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4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expense</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vMerge w:val="continue"/>
          </w:tcPr>
          <w:p>
            <w:pPr>
              <w:spacing w:after="0"/>
              <w:rPr>
                <w:sz w:val="18"/>
                <w:szCs w:val="18"/>
                <w:color w:val="auto"/>
              </w:rPr>
            </w:pP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45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 (millions):</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580" w:type="dxa"/>
            <w:vAlign w:val="bottom"/>
            <w:gridSpan w:val="2"/>
          </w:tcPr>
          <w:p>
            <w:pPr>
              <w:jc w:val="right"/>
              <w:ind w:right="3098"/>
              <w:spacing w:after="0"/>
              <w:rPr>
                <w:sz w:val="20"/>
                <w:szCs w:val="20"/>
                <w:color w:val="auto"/>
              </w:rPr>
            </w:pPr>
            <w:r>
              <w:rPr>
                <w:rFonts w:ascii="Times New Roman" w:cs="Times New Roman" w:eastAsia="Times New Roman" w:hAnsi="Times New Roman"/>
                <w:sz w:val="18"/>
                <w:szCs w:val="18"/>
                <w:color w:val="auto"/>
              </w:rPr>
              <w:t>S-5</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vMerge w:val="continue"/>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7,768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4,362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intangibles, net</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17,722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7,332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10,390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17,722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60"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This prospectus supplement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w:t>
      </w:r>
    </w:p>
    <w:p>
      <w:pPr>
        <w:spacing w:after="0" w:line="11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Reconciliation to the most directly comparable GAAP-based measures is provided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12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6"/>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80" w:type="dxa"/>
            <w:vAlign w:val="bottom"/>
            <w:gridSpan w:val="3"/>
          </w:tcPr>
          <w:p>
            <w:pPr>
              <w:jc w:val="center"/>
              <w:ind w:right="5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12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6"/>
            <w:vMerge w:val="continue"/>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600"/>
              <w:spacing w:after="0" w:line="12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5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gridSpan w:val="3"/>
          </w:tcPr>
          <w:p>
            <w:pPr>
              <w:jc w:val="center"/>
              <w:ind w:right="500"/>
              <w:spacing w:after="0" w:line="153"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12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 of dollars, except percentages)</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5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 (GAAP)</w:t>
            </w:r>
          </w:p>
        </w:tc>
        <w:tc>
          <w:tcPr>
            <w:tcW w:w="16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0" w:type="dxa"/>
            <w:vAlign w:val="bottom"/>
            <w:tcBorders>
              <w:right w:val="single" w:sz="8" w:color="auto"/>
            </w:tcBorders>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5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3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58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(405)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3,608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3,081</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13,212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12,302</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 as a percent of revenue (GAAP)</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as a percent of revenue (non-GAAP)</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780" w:type="dxa"/>
            <w:vAlign w:val="bottom"/>
            <w:gridSpan w:val="2"/>
          </w:tcPr>
          <w:p>
            <w:pPr>
              <w:jc w:val="right"/>
              <w:ind w:right="1088"/>
              <w:spacing w:after="0"/>
              <w:rPr>
                <w:sz w:val="20"/>
                <w:szCs w:val="20"/>
                <w:color w:val="auto"/>
              </w:rPr>
            </w:pPr>
            <w:r>
              <w:rPr>
                <w:rFonts w:ascii="Times New Roman" w:cs="Times New Roman" w:eastAsia="Times New Roman" w:hAnsi="Times New Roman"/>
                <w:sz w:val="18"/>
                <w:szCs w:val="18"/>
                <w:color w:val="auto"/>
              </w:rPr>
              <w:t>S-6</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-538480</wp:posOffset>
            </wp:positionV>
            <wp:extent cx="88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each of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60" w:type="dxa"/>
            <w:vAlign w:val="bottom"/>
          </w:tcPr>
          <w:p>
            <w:pPr>
              <w:spacing w:after="0"/>
              <w:rPr>
                <w:sz w:val="12"/>
                <w:szCs w:val="12"/>
                <w:color w:val="auto"/>
              </w:rPr>
            </w:pPr>
          </w:p>
        </w:tc>
        <w:tc>
          <w:tcPr>
            <w:tcW w:w="5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60" w:type="dxa"/>
            <w:vAlign w:val="bottom"/>
            <w:gridSpan w:val="2"/>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Pr>
          <w:p>
            <w:pPr>
              <w:spacing w:after="0"/>
              <w:rPr>
                <w:sz w:val="12"/>
                <w:szCs w:val="12"/>
                <w:color w:val="auto"/>
              </w:rPr>
            </w:pPr>
          </w:p>
        </w:tc>
        <w:tc>
          <w:tcPr>
            <w:tcW w:w="54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5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37.2×</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1"/>
              </w:rPr>
              <w:t>27.3×</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1"/>
              </w:rPr>
              <w:t>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58" w:lineRule="exact"/>
        <w:rPr>
          <w:sz w:val="20"/>
          <w:szCs w:val="20"/>
          <w:color w:val="auto"/>
        </w:rPr>
      </w:pPr>
    </w:p>
    <w:p>
      <w:pPr>
        <w:ind w:right="12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In considering whether to purchase the Notes, you should carefully consider all the information contained or incorporated by reference in this prospectus supplement and the accompanying prospectus. In addition, you should carefully consider the risk factors described below, which are not exhaustive.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hereby incorporate by reference risk factors in Item 1A of our Annual Report on Form 10-K for the year ended December 31, 2014.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Notes may not develop.</w:t>
      </w:r>
    </w:p>
    <w:p>
      <w:pPr>
        <w:spacing w:after="0" w:line="8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121" w:lineRule="exact"/>
        <w:rPr>
          <w:sz w:val="20"/>
          <w:szCs w:val="20"/>
          <w:color w:val="auto"/>
        </w:rPr>
      </w:pPr>
    </w:p>
    <w:p>
      <w:pPr>
        <w:ind w:left="240" w:right="1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3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1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2014, we had approximately $7.3 billion of total liabilities on a consolidated basis. Of this amount, subsidiaries of Texas Instruments Incorporated had approximately $1.5 billion of liabilities (including trade payables and excluding intercompany debt) to which the Notes will be effectively subordinated. In April 2015, Texas Instruments Incorporated repaid at maturity $250 million in principal amount of outstanding indebtedness.</w:t>
      </w:r>
    </w:p>
    <w:p>
      <w:pPr>
        <w:spacing w:after="0" w:line="12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subject to the prior claims of any future secured creditors.</w:t>
      </w:r>
    </w:p>
    <w:p>
      <w:pPr>
        <w:spacing w:after="0" w:line="8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121" w:lineRule="exact"/>
        <w:rPr>
          <w:sz w:val="20"/>
          <w:szCs w:val="20"/>
          <w:color w:val="auto"/>
        </w:rPr>
      </w:pPr>
    </w:p>
    <w:p>
      <w:pPr>
        <w:ind w:lef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120"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may harm our financial condition and results of operations.</w:t>
      </w:r>
    </w:p>
    <w:p>
      <w:pPr>
        <w:spacing w:after="0" w:line="81"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On an as adjusted basis after giving effect to this offering and the application of the net proceeds thereof, as more fully described in “Use of Proceeds” in this prospectus supplement, but without giving effect to the $250 million debt repayment in April 2015, as of December 31, 2014, Texas Instruments Incorporated</w:t>
      </w:r>
    </w:p>
    <w:p>
      <w:pPr>
        <w:spacing w:after="0" w:line="1" w:lineRule="exact"/>
        <w:rPr>
          <w:sz w:val="20"/>
          <w:szCs w:val="20"/>
          <w:color w:val="auto"/>
        </w:rPr>
      </w:pPr>
    </w:p>
    <w:p>
      <w:pPr>
        <w:spacing w:after="0"/>
        <w:tabs>
          <w:tab w:leader="none" w:pos="2680" w:val="left"/>
        </w:tabs>
        <w:rPr>
          <w:sz w:val="20"/>
          <w:szCs w:val="20"/>
          <w:color w:val="auto"/>
        </w:rPr>
      </w:pPr>
      <w:r>
        <w:rPr>
          <w:rFonts w:ascii="Times New Roman" w:cs="Times New Roman" w:eastAsia="Times New Roman" w:hAnsi="Times New Roman"/>
          <w:sz w:val="18"/>
          <w:szCs w:val="18"/>
          <w:color w:val="auto"/>
        </w:rPr>
        <w:t>would have had approximately $</w:t>
      </w:r>
      <w:r>
        <w:rPr>
          <w:sz w:val="20"/>
          <w:szCs w:val="20"/>
          <w:color w:val="auto"/>
        </w:rPr>
        <w:tab/>
      </w:r>
      <w:r>
        <w:rPr>
          <w:rFonts w:ascii="Times New Roman" w:cs="Times New Roman" w:eastAsia="Times New Roman" w:hAnsi="Times New Roman"/>
          <w:sz w:val="16"/>
          <w:szCs w:val="16"/>
          <w:color w:val="auto"/>
        </w:rPr>
        <w:t>billion of total long-term indebtedness (including the Notes), all of which would have been unsecured and unsubordinated.</w:t>
      </w:r>
    </w:p>
    <w:p>
      <w:pPr>
        <w:spacing w:after="0" w:line="145" w:lineRule="exact"/>
        <w:rPr>
          <w:sz w:val="20"/>
          <w:szCs w:val="20"/>
          <w:color w:val="auto"/>
        </w:rPr>
      </w:pPr>
    </w:p>
    <w:p>
      <w:pPr>
        <w:jc w:val="both"/>
        <w:ind w:right="480" w:firstLine="456"/>
        <w:spacing w:after="0" w:line="262" w:lineRule="auto"/>
        <w:rPr>
          <w:sz w:val="20"/>
          <w:szCs w:val="20"/>
          <w:color w:val="auto"/>
        </w:rPr>
      </w:pPr>
      <w:r>
        <w:rPr>
          <w:rFonts w:ascii="Times New Roman" w:cs="Times New Roman" w:eastAsia="Times New Roman" w:hAnsi="Times New Roman"/>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38" w:lineRule="exact"/>
        <w:rPr>
          <w:sz w:val="20"/>
          <w:szCs w:val="20"/>
          <w:color w:val="auto"/>
        </w:rPr>
      </w:pPr>
    </w:p>
    <w:p>
      <w:pPr>
        <w:ind w:left="660" w:hanging="20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will have additional cash requirements in order to support the payment of interest on its outstanding indebtedness;</w:t>
      </w:r>
    </w:p>
    <w:p>
      <w:pPr>
        <w:spacing w:after="0" w:line="103" w:lineRule="exact"/>
        <w:rPr>
          <w:rFonts w:ascii="Times New Roman" w:cs="Times New Roman" w:eastAsia="Times New Roman" w:hAnsi="Times New Roman"/>
          <w:sz w:val="18"/>
          <w:szCs w:val="18"/>
          <w:color w:val="auto"/>
        </w:rPr>
      </w:pPr>
    </w:p>
    <w:p>
      <w:pPr>
        <w:ind w:left="660" w:right="120" w:hanging="206"/>
        <w:spacing w:after="0" w:line="27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its outstanding indebtedness and leverage will increase its vulnerability to adverse changes in general economic and industry conditions, as well as to competitive pressure; and</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obtain additional financing for working capital, capital expenditures, general corporate and other purposes may be limited.</w:t>
      </w:r>
    </w:p>
    <w:p>
      <w:pPr>
        <w:spacing w:after="0" w:line="185"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 If Texas Instruments Incorporated is unable to generate sufficient cash flow from operations in the future to service its debt, it may be required, among other things:</w:t>
      </w:r>
    </w:p>
    <w:p>
      <w:pPr>
        <w:spacing w:after="0" w:line="42" w:lineRule="exact"/>
        <w:rPr>
          <w:sz w:val="20"/>
          <w:szCs w:val="20"/>
          <w:color w:val="auto"/>
        </w:rPr>
      </w:pPr>
    </w:p>
    <w:p>
      <w:pPr>
        <w:ind w:left="46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to seek additional financing in the debt or equity markets;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its indebtedness, including the Notes;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expenditures; or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operating and investment expenditures.</w:t>
      </w:r>
    </w:p>
    <w:p>
      <w:pPr>
        <w:spacing w:after="0" w:line="185"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Notes will not protect you in the event of highly leveraged transactions or a change of control.</w:t>
      </w:r>
    </w:p>
    <w:p>
      <w:pPr>
        <w:spacing w:after="0" w:line="8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Credit ratings of the Notes may change and affect the market price and marketability of the Notes.</w:t>
      </w:r>
    </w:p>
    <w:p>
      <w:pPr>
        <w:spacing w:after="0" w:line="8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0" w:lineRule="exact"/>
        <w:rPr>
          <w:sz w:val="20"/>
          <w:szCs w:val="20"/>
          <w:color w:val="auto"/>
        </w:rPr>
      </w:pPr>
    </w:p>
    <w:p>
      <w:pPr>
        <w:ind w:right="220" w:firstLine="456"/>
        <w:spacing w:after="0" w:line="289" w:lineRule="auto"/>
        <w:rPr>
          <w:sz w:val="20"/>
          <w:szCs w:val="20"/>
          <w:color w:val="auto"/>
        </w:rPr>
      </w:pPr>
      <w:r>
        <w:rPr>
          <w:rFonts w:ascii="Times New Roman" w:cs="Times New Roman" w:eastAsia="Times New Roman" w:hAnsi="Times New Roman"/>
          <w:sz w:val="16"/>
          <w:szCs w:val="16"/>
          <w:color w:val="auto"/>
        </w:rPr>
        <w:t>We anticipate that we will receive net proceeds of approximately $ million from this offering after underwriting discounts and other estimated expenses. We expect to use the net proceeds of this offering for repayment of all or a portion of the notes due August 3, 2015 bearing interest at a fixed rate of</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0.450%. We expect to use the remainder of the net proceeds of this offering, if any, for general corporate purposes. Initially we intend to invest the proceeds from this offering in certificates of deposit, United States government securities and certain other interest-bearing securities. Certain of the underwriters and/or their affiliates may be holders of our notes due August 3, 2015 and, accordingly, may receive a portion of the net proceeds of this offering in connection with the repayment of those notes. See “Underwriting.”</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340"/>
          </w:cols>
          <w:pgMar w:left="240" w:top="455" w:right="3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cash, cash equivalents and short-term investments and our capitalization on an actual and as adjusted basis as of December 31, 2014. Our consolidated capitalization, as adjusted, gives effect to the issuance of the Notes offered by this prospectus supplement and the application of the estimated net proceeds as described in “Use of Proceeds” as if the offering had occurred on December 31, 2014. This table should be read in conjunction with our consolidated financial statements and the related notes incorporated by reference in this prospectus supplement and the accompanying prospectus.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 of dollars, except share and per-share amounts)</w:t>
            </w:r>
          </w:p>
        </w:tc>
        <w:tc>
          <w:tcPr>
            <w:tcW w:w="120" w:type="dxa"/>
            <w:vAlign w:val="bottom"/>
          </w:tcPr>
          <w:p>
            <w:pPr>
              <w:spacing w:after="0"/>
              <w:rPr>
                <w:sz w:val="14"/>
                <w:szCs w:val="14"/>
                <w:color w:val="auto"/>
              </w:rPr>
            </w:pPr>
          </w:p>
        </w:tc>
        <w:tc>
          <w:tcPr>
            <w:tcW w:w="294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0" w:type="dxa"/>
            <w:vAlign w:val="bottom"/>
          </w:tcPr>
          <w:p>
            <w:pPr>
              <w:spacing w:after="0"/>
              <w:rPr>
                <w:sz w:val="1"/>
                <w:szCs w:val="1"/>
                <w:color w:val="auto"/>
              </w:rPr>
            </w:pPr>
          </w:p>
        </w:tc>
      </w:tr>
      <w:tr>
        <w:trPr>
          <w:trHeight w:val="142"/>
        </w:trPr>
        <w:tc>
          <w:tcPr>
            <w:tcW w:w="83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Historical</w:t>
            </w:r>
          </w:p>
        </w:tc>
        <w:tc>
          <w:tcPr>
            <w:tcW w:w="4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As Adjusted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Notes offered hereby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9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long-term debt (2)</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$25 par value. Authorized – 10,000,000 shares.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Participating cumulative preferred. None issued.</w:t>
            </w: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$1 par value. Authorized – 2,400,000,000 shares.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Shares issued – 1,740,815,939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50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5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29,653</w:t>
            </w:r>
          </w:p>
        </w:tc>
        <w:tc>
          <w:tcPr>
            <w:tcW w:w="50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29,653</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treasury common stock at cost (694,189,127 shares)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(21,840)</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(21,840)</w:t>
            </w: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(532)</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capitalization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60" w:hanging="452"/>
        <w:spacing w:after="0" w:line="257"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offered hereby are shown at the amount of the public offering price, with all offering expenses (including underwriting discounts) shown as paid out of cash.</w:t>
      </w:r>
    </w:p>
    <w:p>
      <w:pPr>
        <w:spacing w:after="0" w:line="1" w:lineRule="exact"/>
        <w:rPr>
          <w:rFonts w:ascii="Times New Roman" w:cs="Times New Roman" w:eastAsia="Times New Roman" w:hAnsi="Times New Roman"/>
          <w:sz w:val="18"/>
          <w:szCs w:val="18"/>
          <w:color w:val="auto"/>
        </w:rPr>
      </w:pPr>
    </w:p>
    <w:p>
      <w:pPr>
        <w:ind w:left="460" w:right="80" w:hanging="452"/>
        <w:spacing w:after="0" w:line="254"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 billion of our existing outstanding notes plus net unamortized premium of $17.0 million, which was assumed with our acquisition of National Semiconductor Corporation, less $1.0 billion representing the current portion of long-term debt, which includes the $250 million in principal amount of outstanding indebtedness repaid at maturity in April 2015. The proceeds from this offering will be used to repay all or a portion of the notes due August 3, 2015 bearing interest at a fixed rate of 0.450%, which are recorded as a current liability.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158"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79" w:lineRule="exact"/>
        <w:rPr>
          <w:sz w:val="20"/>
          <w:szCs w:val="20"/>
          <w:color w:val="auto"/>
        </w:rPr>
      </w:pPr>
    </w:p>
    <w:p>
      <w:pPr>
        <w:ind w:left="460"/>
        <w:spacing w:after="0"/>
        <w:tabs>
          <w:tab w:leader="none" w:pos="3120" w:val="left"/>
          <w:tab w:leader="none" w:pos="3560" w:val="left"/>
        </w:tabs>
        <w:rPr>
          <w:sz w:val="20"/>
          <w:szCs w:val="20"/>
          <w:color w:val="auto"/>
        </w:rPr>
      </w:pPr>
      <w:r>
        <w:rPr>
          <w:rFonts w:ascii="Times New Roman" w:cs="Times New Roman" w:eastAsia="Times New Roman" w:hAnsi="Times New Roman"/>
          <w:sz w:val="18"/>
          <w:szCs w:val="18"/>
          <w:color w:val="auto"/>
        </w:rPr>
        <w:t>The Notes will mature on</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6"/>
          <w:szCs w:val="16"/>
          <w:color w:val="auto"/>
        </w:rPr>
        <w:t>. The Notes will be issued in book-entry form only, in denominations of $2,000 and multiples of $1,000</w:t>
      </w:r>
    </w:p>
    <w:p>
      <w:pPr>
        <w:spacing w:after="0" w:line="21"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18"/>
          <w:szCs w:val="18"/>
          <w:color w:val="auto"/>
        </w:rPr>
        <w:t>thereafter. Interest on the Notes will accrue from May</w:t>
      </w:r>
      <w:r>
        <w:rPr>
          <w:sz w:val="20"/>
          <w:szCs w:val="20"/>
          <w:color w:val="auto"/>
        </w:rPr>
        <w:tab/>
      </w:r>
      <w:r>
        <w:rPr>
          <w:rFonts w:ascii="Times New Roman" w:cs="Times New Roman" w:eastAsia="Times New Roman" w:hAnsi="Times New Roman"/>
          <w:sz w:val="16"/>
          <w:szCs w:val="16"/>
          <w:color w:val="auto"/>
        </w:rPr>
        <w:t>, 2015 at the rate per annum shown on the cover of this prospectus supplement. The Notes will be payable</w:t>
      </w:r>
    </w:p>
    <w:p>
      <w:pPr>
        <w:spacing w:after="0" w:line="38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semi-annually on and , commencing on , 2015 to the persons in whose names the Notes are registered at the close of business on the preceding or , as the case may be. Interest on the Notes will be paid to but excluding the relevant interest payment date. Interest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be calculated on the basis of a 360-day year comprised of twelve 30-day months.</w:t>
      </w:r>
    </w:p>
    <w:p>
      <w:pPr>
        <w:spacing w:after="0" w:line="145"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1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2014, Texas Instruments Incorporated had approximately $4.6 billion of outstanding indebtedness. As of December 31, 2014, we had approximately $7.3 billion of total liabilities on a consolidated basis. Of this amount, subsidiaries of Texas Instruments Incorporated had approximately $1.5 billion of liabilities (including trade payables and excluding intercompany debt) to which the Notes will be effectively subordinated. In April 2015, Texas Instruments Incorporated repaid at maturity $250 million in principal amount of outstanding indebtedness.</w:t>
      </w:r>
    </w:p>
    <w:p>
      <w:pPr>
        <w:spacing w:after="0" w:line="125"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On an as adjusted basis after giving effect to this offering and the application of the net proceeds thereof, as more fully described in “Use of Proceeds” in this prospectus supplement, but without giving effect to the $250 million April debt repayment described above, as of December 31, 2014:</w:t>
      </w:r>
    </w:p>
    <w:p>
      <w:pPr>
        <w:spacing w:after="0" w:line="25" w:lineRule="exact"/>
        <w:rPr>
          <w:sz w:val="20"/>
          <w:szCs w:val="20"/>
          <w:color w:val="auto"/>
        </w:rPr>
      </w:pPr>
    </w:p>
    <w:p>
      <w:pPr>
        <w:ind w:left="660" w:right="180" w:hanging="206"/>
        <w:spacing w:after="0" w:line="27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have had approximately $ billion of total long-term indebtedness (including the Notes), all of which would constitute senior and unsubordinated indebtedness;</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have had approximately $</w:t>
      </w:r>
      <w:r>
        <w:rPr>
          <w:rFonts w:ascii="Times New Roman" w:cs="Times New Roman" w:eastAsia="Times New Roman" w:hAnsi="Times New Roman"/>
          <w:sz w:val="16"/>
          <w:szCs w:val="16"/>
          <w:color w:val="auto"/>
        </w:rPr>
        <w:t>billion of total liabilities on a consolidated basis;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not have had any secured indebtedness to which the Notes would have been effectively subordinated; and</w:t>
      </w:r>
    </w:p>
    <w:p>
      <w:pPr>
        <w:sectPr>
          <w:pgSz w:w="11900" w:h="16838" w:orient="portrait"/>
          <w:cols w:equalWidth="0" w:num="1">
            <w:col w:w="11400"/>
          </w:cols>
          <w:pgMar w:left="240" w:top="455" w:right="259" w:bottom="1440" w:gutter="0" w:footer="0" w:header="0"/>
        </w:sectPr>
      </w:pPr>
    </w:p>
    <w:p>
      <w:pPr>
        <w:spacing w:after="0" w:line="104" w:lineRule="exact"/>
        <w:rPr>
          <w:sz w:val="20"/>
          <w:szCs w:val="20"/>
          <w:color w:val="auto"/>
        </w:rPr>
      </w:pPr>
    </w:p>
    <w:p>
      <w:pPr>
        <w:ind w:left="660" w:hanging="199"/>
        <w:spacing w:after="0" w:line="339" w:lineRule="auto"/>
        <w:tabs>
          <w:tab w:leader="none" w:pos="640" w:val="left"/>
        </w:tabs>
        <w:rPr>
          <w:sz w:val="20"/>
          <w:szCs w:val="20"/>
          <w:color w:val="auto"/>
        </w:rPr>
      </w:pPr>
      <w:r>
        <w:rPr>
          <w:rFonts w:ascii="Times New Roman" w:cs="Times New Roman" w:eastAsia="Times New Roman" w:hAnsi="Times New Roman"/>
          <w:sz w:val="16"/>
          <w:szCs w:val="16"/>
          <w:color w:val="auto"/>
        </w:rPr>
        <w:t>•</w:t>
        <w:tab/>
        <w:t>Texas Instruments Incorporated’s subsidiaries would have had approximately $ intercompany debt) to which the Notes would have been structurally subordinated.</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billion of liabilities (including trade payables but excluding</w:t>
      </w:r>
    </w:p>
    <w:p>
      <w:pPr>
        <w:spacing w:after="0" w:line="396" w:lineRule="exact"/>
        <w:rPr>
          <w:sz w:val="20"/>
          <w:szCs w:val="20"/>
          <w:color w:val="auto"/>
        </w:rPr>
      </w:pPr>
    </w:p>
    <w:p>
      <w:pPr>
        <w:sectPr>
          <w:pgSz w:w="11900" w:h="16838" w:orient="portrait"/>
          <w:cols w:equalWidth="0" w:num="2">
            <w:col w:w="6480" w:space="100"/>
            <w:col w:w="4820"/>
          </w:cols>
          <w:pgMar w:left="240" w:top="455"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S-13</w:t>
      </w:r>
    </w:p>
    <w:p>
      <w:pPr>
        <w:sectPr>
          <w:pgSz w:w="11900" w:h="16838" w:orient="portrait"/>
          <w:cols w:equalWidth="0" w:num="1">
            <w:col w:w="11400"/>
          </w:cols>
          <w:pgMar w:left="240" w:top="455" w:right="25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Additional Notes</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Texas Instruments Incorporated may, without the consent of the holders, increase the principal amount of Notes by issuing additional Notes in the future on the same terms and conditions, except for any differences in the issue price and interest accrued prior to the issue date of the additional Notes. The additional Notes will have the same CUSIP number as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additional Notes that are not fungible with the Notes for U.S. federal income tax purposes will be issued under a separate CUSIP number.</w:t>
      </w:r>
    </w:p>
    <w:p>
      <w:pPr>
        <w:spacing w:after="0" w:line="123"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79" w:lineRule="exact"/>
        <w:rPr>
          <w:sz w:val="20"/>
          <w:szCs w:val="20"/>
          <w:color w:val="auto"/>
        </w:rPr>
      </w:pPr>
    </w:p>
    <w:p>
      <w:pPr>
        <w:ind w:left="460"/>
        <w:spacing w:after="0"/>
        <w:tabs>
          <w:tab w:leader="none" w:pos="1860" w:val="left"/>
          <w:tab w:leader="none" w:pos="2340" w:val="left"/>
          <w:tab w:leader="none" w:pos="3920" w:val="left"/>
        </w:tabs>
        <w:rPr>
          <w:sz w:val="20"/>
          <w:szCs w:val="20"/>
          <w:color w:val="auto"/>
        </w:rPr>
      </w:pPr>
      <w:r>
        <w:rPr>
          <w:rFonts w:ascii="Times New Roman" w:cs="Times New Roman" w:eastAsia="Times New Roman" w:hAnsi="Times New Roman"/>
          <w:sz w:val="18"/>
          <w:szCs w:val="18"/>
          <w:color w:val="auto"/>
        </w:rPr>
        <w:t>Prior to</w:t>
      </w:r>
      <w:r>
        <w:rPr>
          <w:sz w:val="20"/>
          <w:szCs w:val="20"/>
          <w:color w:val="auto"/>
        </w:rPr>
        <w:tab/>
      </w:r>
      <w:r>
        <w:rPr>
          <w:rFonts w:ascii="Times New Roman" w:cs="Times New Roman" w:eastAsia="Times New Roman" w:hAnsi="Times New Roman"/>
          <w:sz w:val="18"/>
          <w:szCs w:val="18"/>
          <w:color w:val="auto"/>
        </w:rPr>
        <w:t>, 20</w:t>
        <w:tab/>
        <w:t>(the date</w:t>
      </w:r>
      <w:r>
        <w:rPr>
          <w:sz w:val="20"/>
          <w:szCs w:val="20"/>
          <w:color w:val="auto"/>
        </w:rPr>
        <w:tab/>
      </w:r>
      <w:r>
        <w:rPr>
          <w:rFonts w:ascii="Times New Roman" w:cs="Times New Roman" w:eastAsia="Times New Roman" w:hAnsi="Times New Roman"/>
          <w:sz w:val="16"/>
          <w:szCs w:val="16"/>
          <w:color w:val="auto"/>
        </w:rPr>
        <w:t>prior to the maturity date of the Notes), the Notes will be redeemable, in whole or in part at any time, or</w:t>
      </w:r>
    </w:p>
    <w:p>
      <w:pPr>
        <w:spacing w:after="0" w:line="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from time to time, at Texas Instruments Incorporated’s option, at a “make-whole premium” redemption price calculated by Texas Instruments Incorporated equal to the greater of:</w:t>
      </w:r>
    </w:p>
    <w:p>
      <w:pPr>
        <w:spacing w:after="0" w:line="118" w:lineRule="exact"/>
        <w:rPr>
          <w:sz w:val="20"/>
          <w:szCs w:val="20"/>
          <w:color w:val="auto"/>
        </w:rPr>
      </w:pPr>
    </w:p>
    <w:p>
      <w:pPr>
        <w:ind w:left="680" w:hanging="216"/>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w:t>
      </w:r>
    </w:p>
    <w:p>
      <w:pPr>
        <w:spacing w:after="0" w:line="157" w:lineRule="exact"/>
        <w:rPr>
          <w:rFonts w:ascii="Times New Roman" w:cs="Times New Roman" w:eastAsia="Times New Roman" w:hAnsi="Times New Roman"/>
          <w:sz w:val="18"/>
          <w:szCs w:val="18"/>
          <w:color w:val="auto"/>
        </w:rPr>
      </w:pPr>
    </w:p>
    <w:p>
      <w:pPr>
        <w:ind w:right="60" w:firstLine="464"/>
        <w:spacing w:after="0" w:line="289" w:lineRule="auto"/>
        <w:tabs>
          <w:tab w:leader="none" w:pos="71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w:t>
      </w:r>
    </w:p>
    <w:p>
      <w:pPr>
        <w:spacing w:after="0" w:line="1" w:lineRule="exact"/>
        <w:rPr>
          <w:sz w:val="20"/>
          <w:szCs w:val="20"/>
          <w:color w:val="auto"/>
        </w:rPr>
      </w:pPr>
    </w:p>
    <w:p>
      <w:pPr>
        <w:spacing w:after="0"/>
        <w:tabs>
          <w:tab w:leader="none" w:pos="4620" w:val="left"/>
        </w:tabs>
        <w:rPr>
          <w:sz w:val="20"/>
          <w:szCs w:val="20"/>
          <w:color w:val="auto"/>
        </w:rPr>
      </w:pPr>
      <w:r>
        <w:rPr>
          <w:rFonts w:ascii="Times New Roman" w:cs="Times New Roman" w:eastAsia="Times New Roman" w:hAnsi="Times New Roman"/>
          <w:sz w:val="18"/>
          <w:szCs w:val="18"/>
          <w:color w:val="auto"/>
        </w:rPr>
        <w:t>months) at the Treasury Rate (as defined below), plus</w:t>
      </w:r>
      <w:r>
        <w:rPr>
          <w:sz w:val="20"/>
          <w:szCs w:val="20"/>
          <w:color w:val="auto"/>
        </w:rPr>
        <w:tab/>
      </w:r>
      <w:r>
        <w:rPr>
          <w:rFonts w:ascii="Times New Roman" w:cs="Times New Roman" w:eastAsia="Times New Roman" w:hAnsi="Times New Roman"/>
          <w:sz w:val="16"/>
          <w:szCs w:val="16"/>
          <w:color w:val="auto"/>
        </w:rPr>
        <w:t>basis points;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each case, accrued interest thereon to the date of redemption.</w:t>
      </w:r>
    </w:p>
    <w:p>
      <w:pPr>
        <w:spacing w:after="0" w:line="158"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At any time on or after , 20 (the date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1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the foregoing discussion of an Optional Redemption, the following definitions are applicable:</w:t>
      </w:r>
    </w:p>
    <w:p>
      <w:pPr>
        <w:spacing w:after="0" w:line="15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19" w:lineRule="exact"/>
        <w:rPr>
          <w:sz w:val="20"/>
          <w:szCs w:val="20"/>
          <w:color w:val="auto"/>
        </w:rPr>
      </w:pPr>
    </w:p>
    <w:p>
      <w:pPr>
        <w:ind w:right="140" w:firstLine="456"/>
        <w:spacing w:after="0" w:line="310" w:lineRule="auto"/>
        <w:rPr>
          <w:sz w:val="20"/>
          <w:szCs w:val="20"/>
          <w:color w:val="auto"/>
        </w:rPr>
      </w:pPr>
      <w:r>
        <w:rPr>
          <w:rFonts w:ascii="Times New Roman" w:cs="Times New Roman" w:eastAsia="Times New Roman" w:hAnsi="Times New Roman"/>
          <w:sz w:val="16"/>
          <w:szCs w:val="16"/>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“Quotation Agent” means the Reference Treasury Dealer appointed by Texas Instruments Incorporated.</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380"/>
          </w:cols>
          <w:pgMar w:left="240" w:top="455" w:right="2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“Reference Treasury Dealer” means (i) J.P. Morgan Securities LLC and Morgan Stanley &amp; Co. LLC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23" w:lineRule="exact"/>
        <w:rPr>
          <w:sz w:val="20"/>
          <w:szCs w:val="20"/>
          <w:color w:val="auto"/>
        </w:rPr>
      </w:pPr>
    </w:p>
    <w:p>
      <w:pPr>
        <w:ind w:right="140" w:firstLine="456"/>
        <w:spacing w:after="0" w:line="310" w:lineRule="auto"/>
        <w:rPr>
          <w:sz w:val="20"/>
          <w:szCs w:val="20"/>
          <w:color w:val="auto"/>
        </w:rPr>
      </w:pPr>
      <w:r>
        <w:rPr>
          <w:rFonts w:ascii="Times New Roman" w:cs="Times New Roman" w:eastAsia="Times New Roman" w:hAnsi="Times New Roman"/>
          <w:sz w:val="16"/>
          <w:szCs w:val="16"/>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84"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Notes will not be entitled to any sinking fund.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 event of default for the Notes is defined under the indenture as being:</w:t>
      </w:r>
    </w:p>
    <w:p>
      <w:pPr>
        <w:spacing w:after="0" w:line="77" w:lineRule="exact"/>
        <w:rPr>
          <w:sz w:val="20"/>
          <w:szCs w:val="20"/>
          <w:color w:val="auto"/>
        </w:rPr>
      </w:pPr>
    </w:p>
    <w:p>
      <w:pPr>
        <w:ind w:left="660" w:hanging="206"/>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Texas Instruments Incorporated’s default in the payment of interest on the Notes when due and payable, if that default continues for a period of 30 days;</w:t>
      </w:r>
    </w:p>
    <w:p>
      <w:pPr>
        <w:spacing w:after="0" w:line="126" w:lineRule="exact"/>
        <w:rPr>
          <w:rFonts w:ascii="Times New Roman" w:cs="Times New Roman" w:eastAsia="Times New Roman" w:hAnsi="Times New Roman"/>
          <w:sz w:val="16"/>
          <w:szCs w:val="16"/>
          <w:color w:val="auto"/>
        </w:rPr>
      </w:pPr>
    </w:p>
    <w:p>
      <w:pPr>
        <w:ind w:left="660" w:right="400" w:hanging="206"/>
        <w:spacing w:after="0" w:line="325"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1" w:lineRule="exact"/>
        <w:rPr>
          <w:rFonts w:ascii="Times New Roman" w:cs="Times New Roman" w:eastAsia="Times New Roman" w:hAnsi="Times New Roman"/>
          <w:sz w:val="16"/>
          <w:szCs w:val="16"/>
          <w:color w:val="auto"/>
        </w:rPr>
      </w:pPr>
    </w:p>
    <w:p>
      <w:pPr>
        <w:ind w:left="660" w:right="20" w:hanging="206"/>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performance of or breach of any of its other covenants or agreements in the indenture applicable to the Notes, other than a covenant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then outstanding;</w:t>
      </w:r>
    </w:p>
    <w:p>
      <w:pPr>
        <w:spacing w:after="0" w:line="4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03" w:lineRule="exact"/>
        <w:rPr>
          <w:rFonts w:ascii="Times New Roman" w:cs="Times New Roman" w:eastAsia="Times New Roman" w:hAnsi="Times New Roman"/>
          <w:sz w:val="18"/>
          <w:szCs w:val="18"/>
          <w:color w:val="auto"/>
        </w:rPr>
      </w:pPr>
    </w:p>
    <w:p>
      <w:pPr>
        <w:ind w:left="1020" w:right="60" w:hanging="445"/>
        <w:spacing w:after="0" w:line="275"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Texas Instruments Incorporated in an involuntary case under any applicable bankruptcy, insolvency, or other similar law now or hereafter in effect,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020" w:right="260" w:hanging="445"/>
        <w:spacing w:after="0" w:line="27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Texas Instruments Incorporated or for all or substantially all of its property, or</w:t>
      </w:r>
    </w:p>
    <w:p>
      <w:pPr>
        <w:spacing w:after="0" w:line="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Texas Instruments Incorporated’s affairs,</w:t>
      </w:r>
    </w:p>
    <w:p>
      <w:pPr>
        <w:spacing w:after="0" w:line="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77" w:lineRule="exact"/>
        <w:rPr>
          <w:sz w:val="20"/>
          <w:szCs w:val="20"/>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w:t>
      </w:r>
    </w:p>
    <w:p>
      <w:pPr>
        <w:spacing w:after="0" w:line="103"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under any applicable bankruptcy, insolvency, or other similar law now or hereafter in effect,</w:t>
      </w:r>
    </w:p>
    <w:p>
      <w:pPr>
        <w:spacing w:after="0" w:line="76"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in an involuntary case under any such law,</w:t>
      </w:r>
    </w:p>
    <w:p>
      <w:pPr>
        <w:spacing w:after="0" w:line="76" w:lineRule="exact"/>
        <w:rPr>
          <w:rFonts w:ascii="Times New Roman" w:cs="Times New Roman" w:eastAsia="Times New Roman" w:hAnsi="Times New Roman"/>
          <w:sz w:val="18"/>
          <w:szCs w:val="18"/>
          <w:color w:val="auto"/>
        </w:rPr>
      </w:pPr>
    </w:p>
    <w:p>
      <w:pPr>
        <w:ind w:left="1020" w:right="120" w:hanging="445"/>
        <w:spacing w:after="0" w:line="275"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or taking possession by a receiver, liquidator, assignee, custodian, trustee, sequestrator, or similar official for all or substantially all of its property, or</w:t>
      </w:r>
    </w:p>
    <w:p>
      <w:pPr>
        <w:spacing w:after="0" w:line="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any general assignment for the benefit of creditors.</w:t>
      </w:r>
    </w:p>
    <w:p>
      <w:pPr>
        <w:spacing w:after="0" w:line="158"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default by Texas Instruments Incorporated under any other debt, including any other series of debt securities under the indenture, is not a default with respect to the Notes.</w:t>
      </w:r>
    </w:p>
    <w:p>
      <w:pPr>
        <w:spacing w:after="0" w:line="10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such debt securities to be immediately due and payable.</w:t>
      </w:r>
    </w:p>
    <w:p>
      <w:pPr>
        <w:spacing w:after="0" w:line="12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1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23"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380"/>
          </w:cols>
          <w:pgMar w:left="240" w:top="455"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45" w:lineRule="exact"/>
        <w:rPr>
          <w:sz w:val="20"/>
          <w:szCs w:val="20"/>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03" w:lineRule="exact"/>
        <w:rPr>
          <w:rFonts w:ascii="Times New Roman" w:cs="Times New Roman" w:eastAsia="Times New Roman" w:hAnsi="Times New Roman"/>
          <w:sz w:val="18"/>
          <w:szCs w:val="18"/>
          <w:color w:val="auto"/>
        </w:rPr>
      </w:pPr>
    </w:p>
    <w:p>
      <w:pPr>
        <w:ind w:left="660" w:right="200" w:hanging="206"/>
        <w:spacing w:after="0" w:line="27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debt securities make a written request to the trustee to pursue the remedy in respect of such event of default;</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03" w:lineRule="exact"/>
        <w:rPr>
          <w:rFonts w:ascii="Times New Roman" w:cs="Times New Roman" w:eastAsia="Times New Roman" w:hAnsi="Times New Roman"/>
          <w:sz w:val="18"/>
          <w:szCs w:val="18"/>
          <w:color w:val="auto"/>
        </w:rPr>
      </w:pPr>
    </w:p>
    <w:p>
      <w:pPr>
        <w:ind w:left="660" w:hanging="206"/>
        <w:spacing w:after="0" w:line="27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debt securities do not give the trustee a direction that is inconsistent with the request.</w:t>
      </w:r>
    </w:p>
    <w:p>
      <w:pPr>
        <w:spacing w:after="0" w:line="106"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19"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 Global Note</w:t>
      </w:r>
    </w:p>
    <w:p>
      <w:pPr>
        <w:spacing w:after="0" w:line="79"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26"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2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23"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27"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23" w:lineRule="exact"/>
        <w:rPr>
          <w:sz w:val="20"/>
          <w:szCs w:val="20"/>
          <w:color w:val="auto"/>
        </w:rPr>
      </w:pPr>
    </w:p>
    <w:p>
      <w:pPr>
        <w:ind w:right="400" w:firstLine="456"/>
        <w:spacing w:after="0" w:line="262" w:lineRule="auto"/>
        <w:rPr>
          <w:sz w:val="20"/>
          <w:szCs w:val="20"/>
          <w:color w:val="auto"/>
        </w:rPr>
      </w:pPr>
      <w:r>
        <w:rPr>
          <w:rFonts w:ascii="Times New Roman" w:cs="Times New Roman" w:eastAsia="Times New Roman" w:hAnsi="Times New Roman"/>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2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23"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25"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or other relevant agent of or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w:t>
      </w:r>
    </w:p>
    <w:p>
      <w:pPr>
        <w:spacing w:after="0" w:line="9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banks, brokers, dealers and trust companies that clear through or maintain a custodial relationship with a participant, either directly or indirectly. The rules applicable to DTC and its participants are on file with the SEC.</w:t>
      </w:r>
    </w:p>
    <w:p>
      <w:pPr>
        <w:spacing w:after="0" w:line="10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28"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Notices to holders of the Notes will be made by first class mail, postage prepaid, to the addresses that appear on the security register of the Notes.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7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maintain ordinary banking relationships with the trustee and its affiliates and in the future may enter into additional such relationships. The trustee is a lender under our credit facility.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60" w:lineRule="exact"/>
        <w:rPr>
          <w:sz w:val="20"/>
          <w:szCs w:val="20"/>
          <w:color w:val="auto"/>
        </w:rPr>
      </w:pPr>
    </w:p>
    <w:p>
      <w:pPr>
        <w:jc w:val="both"/>
        <w:ind w:right="380" w:firstLine="456"/>
        <w:spacing w:after="0" w:line="262"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1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25" w:lineRule="exact"/>
        <w:rPr>
          <w:sz w:val="20"/>
          <w:szCs w:val="20"/>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Notes as part of a “straddle” or integrated transaction;</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U.S. dollar;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for U.S. federal income tax purposes; or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85"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If you are a partnership for U.S. federal income tax purposes, the U.S. federal income tax treatment of each of your partners will generally depend on the status of the partner and your activities.</w:t>
      </w:r>
    </w:p>
    <w:p>
      <w:pPr>
        <w:spacing w:after="0" w:line="106"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This section applies to you if you are a U.S. Holder. You are a U.S. Holder if for U.S. federal income tax purposes you are a beneficial owner of a Note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w:t>
      </w:r>
    </w:p>
    <w:p>
      <w:pPr>
        <w:spacing w:after="0" w:line="64" w:lineRule="exact"/>
        <w:rPr>
          <w:sz w:val="20"/>
          <w:szCs w:val="20"/>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03" w:lineRule="exact"/>
        <w:rPr>
          <w:rFonts w:ascii="Times New Roman" w:cs="Times New Roman" w:eastAsia="Times New Roman" w:hAnsi="Times New Roman"/>
          <w:sz w:val="18"/>
          <w:szCs w:val="18"/>
          <w:color w:val="auto"/>
        </w:rPr>
      </w:pPr>
    </w:p>
    <w:p>
      <w:pPr>
        <w:ind w:left="660" w:right="140" w:hanging="206"/>
        <w:spacing w:after="0" w:line="27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United States federal income taxation regardless of its source.</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8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 If, however, the Notes’ principal amount exceeds the issue price by at least a de minimis amount, as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determined under applicable Treasury Regulations, you will be required to include such excess in income as original issue discount, as it accrues, in accordance with a constant yield method based on a compounding of interest before the receipt of cash payments attributable to this income.</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8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8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This section applies to you if are a Non-U.S. Holder. You are a Non-U.S. Holder if for U.S. federal income tax purposes you are a beneficial owner of 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and are:</w:t>
      </w:r>
    </w:p>
    <w:p>
      <w:pPr>
        <w:spacing w:after="0" w:line="64" w:lineRule="exact"/>
        <w:rPr>
          <w:sz w:val="20"/>
          <w:szCs w:val="20"/>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185"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Notes</w:t>
      </w:r>
    </w:p>
    <w:p>
      <w:pPr>
        <w:spacing w:after="0" w:line="81"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Subject to the discussion below under “FATCA Legislation,” payments of principal and interest on the Notes to you will not be subject to U.S. federal income or withholding tax, provided that, in the case of interest,</w:t>
      </w:r>
    </w:p>
    <w:p>
      <w:pPr>
        <w:spacing w:after="0" w:line="25" w:lineRule="exact"/>
        <w:rPr>
          <w:sz w:val="20"/>
          <w:szCs w:val="20"/>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ten percent or more of the total combined voting power of all classes of our stock entitled to vote;</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related, directly or indirectly, to us through stock ownership;</w:t>
      </w:r>
    </w:p>
    <w:p>
      <w:pPr>
        <w:spacing w:after="0" w:line="103" w:lineRule="exact"/>
        <w:rPr>
          <w:rFonts w:ascii="Times New Roman" w:cs="Times New Roman" w:eastAsia="Times New Roman" w:hAnsi="Times New Roman"/>
          <w:sz w:val="18"/>
          <w:szCs w:val="18"/>
          <w:color w:val="auto"/>
        </w:rPr>
      </w:pPr>
    </w:p>
    <w:p>
      <w:pPr>
        <w:ind w:left="660" w:right="240" w:hanging="206"/>
        <w:spacing w:after="0" w:line="27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effectively connected with your conduct of a trade or business in the United States as described below.</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81" w:lineRule="exact"/>
        <w:rPr>
          <w:sz w:val="20"/>
          <w:szCs w:val="20"/>
          <w:color w:val="auto"/>
        </w:rPr>
      </w:pPr>
    </w:p>
    <w:p>
      <w:pPr>
        <w:jc w:val="both"/>
        <w:ind w:right="160" w:firstLine="456"/>
        <w:spacing w:after="0" w:line="310" w:lineRule="auto"/>
        <w:rPr>
          <w:sz w:val="20"/>
          <w:szCs w:val="20"/>
          <w:color w:val="auto"/>
        </w:rPr>
      </w:pPr>
      <w:r>
        <w:rPr>
          <w:rFonts w:ascii="Times New Roman" w:cs="Times New Roman" w:eastAsia="Times New Roman" w:hAnsi="Times New Roman"/>
          <w:sz w:val="16"/>
          <w:szCs w:val="16"/>
          <w:color w:val="auto"/>
        </w:rPr>
        <w:t>Subject to the discussion below under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Effectively Connected Income</w:t>
      </w:r>
    </w:p>
    <w:p>
      <w:pPr>
        <w:spacing w:after="0" w:line="8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8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Legislation</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interest on the Notes and (for dispositions after December 31, 2016) of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0"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J.P. Morgan Securities LLC, Mitsubishi UFJ Securities (USA), Inc. and Morgan Stanley &amp; Co.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948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480" w:type="dxa"/>
            <w:vAlign w:val="bottom"/>
            <w:vMerge w:val="restart"/>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2"/>
        </w:trPr>
        <w:tc>
          <w:tcPr>
            <w:tcW w:w="780" w:type="dxa"/>
            <w:vAlign w:val="bottom"/>
            <w:tcBorders>
              <w:bottom w:val="single" w:sz="8" w:color="auto"/>
            </w:tcBorders>
            <w:vMerge w:val="continue"/>
          </w:tcPr>
          <w:p>
            <w:pPr>
              <w:spacing w:after="0"/>
              <w:rPr>
                <w:sz w:val="14"/>
                <w:szCs w:val="14"/>
                <w:color w:val="auto"/>
              </w:rPr>
            </w:pPr>
          </w:p>
        </w:tc>
        <w:tc>
          <w:tcPr>
            <w:tcW w:w="9480" w:type="dxa"/>
            <w:vAlign w:val="bottom"/>
            <w:vMerge w:val="continue"/>
          </w:tcPr>
          <w:p>
            <w:pPr>
              <w:spacing w:after="0"/>
              <w:rPr>
                <w:sz w:val="14"/>
                <w:szCs w:val="14"/>
                <w:color w:val="auto"/>
              </w:rPr>
            </w:pPr>
          </w:p>
        </w:tc>
        <w:tc>
          <w:tcPr>
            <w:tcW w:w="116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0" w:type="dxa"/>
            <w:vAlign w:val="bottom"/>
          </w:tcPr>
          <w:p>
            <w:pPr>
              <w:spacing w:after="0"/>
              <w:rPr>
                <w:sz w:val="1"/>
                <w:szCs w:val="1"/>
                <w:color w:val="auto"/>
              </w:rPr>
            </w:pPr>
          </w:p>
        </w:tc>
      </w:tr>
      <w:tr>
        <w:trPr>
          <w:trHeight w:val="203"/>
        </w:trPr>
        <w:tc>
          <w:tcPr>
            <w:tcW w:w="10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1060" w:type="dxa"/>
            <w:vAlign w:val="bottom"/>
            <w:tcBorders>
              <w:top w:val="single" w:sz="8" w:color="auto"/>
            </w:tcBorders>
            <w:shd w:val="clear" w:color="auto" w:fill="CCEEFF"/>
          </w:tcPr>
          <w:p>
            <w:pPr>
              <w:jc w:val="right"/>
              <w:ind w:right="907"/>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Mitsubishi UFJ Securities (USA),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0" w:type="dxa"/>
            <w:vAlign w:val="bottom"/>
            <w:shd w:val="clear" w:color="auto" w:fill="CCEEFF"/>
          </w:tcPr>
          <w:p>
            <w:pPr>
              <w:spacing w:after="0"/>
              <w:rPr>
                <w:sz w:val="21"/>
                <w:szCs w:val="21"/>
                <w:color w:val="auto"/>
              </w:rPr>
            </w:pPr>
          </w:p>
        </w:tc>
        <w:tc>
          <w:tcPr>
            <w:tcW w:w="9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Incorporated</w:t>
            </w: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Inc.</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907"/>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06"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 per Note. Any such securities dealers may resell any Notes purchased from the underwriters to certain other brokers or dealers at a discount from the initial public offering price not to exceed % per Note. If all the Notes are not sold at the initial offering price, the underwriters may change the offering price and the other selling terms.</w:t>
      </w:r>
    </w:p>
    <w:p>
      <w:pPr>
        <w:spacing w:after="0" w:line="9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are to pay to the underwriters in connection with this offering (expressed as a percentage of the principal amount of the Notes).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000" w:type="dxa"/>
            <w:vAlign w:val="bottom"/>
            <w:gridSpan w:val="2"/>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5"/>
              </w:rPr>
              <w:t>Paid by Texas</w:t>
            </w:r>
          </w:p>
        </w:tc>
      </w:tr>
      <w:tr>
        <w:trPr>
          <w:trHeight w:val="149"/>
        </w:trPr>
        <w:tc>
          <w:tcPr>
            <w:tcW w:w="6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00" w:type="dxa"/>
            <w:vAlign w:val="bottom"/>
            <w:gridSpan w:val="2"/>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Instruments</w:t>
            </w:r>
          </w:p>
        </w:tc>
      </w:tr>
      <w:tr>
        <w:trPr>
          <w:trHeight w:val="165"/>
        </w:trPr>
        <w:tc>
          <w:tcPr>
            <w:tcW w:w="60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0" w:type="dxa"/>
            <w:vAlign w:val="bottom"/>
            <w:gridSpan w:val="2"/>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5"/>
              </w:rPr>
              <w:t>Incorporated</w:t>
            </w: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4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363"/>
        </w:trPr>
        <w:tc>
          <w:tcPr>
            <w:tcW w:w="6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 estimate that our total expenses for this offering will be approximately $</w:t>
            </w:r>
          </w:p>
        </w:tc>
        <w:tc>
          <w:tcPr>
            <w:tcW w:w="5420" w:type="dxa"/>
            <w:vAlign w:val="bottom"/>
            <w:gridSpan w:val="3"/>
          </w:tcPr>
          <w:p>
            <w:pPr>
              <w:jc w:val="right"/>
              <w:ind w:right="2172"/>
              <w:spacing w:after="0"/>
              <w:rPr>
                <w:sz w:val="20"/>
                <w:szCs w:val="20"/>
                <w:color w:val="auto"/>
              </w:rPr>
            </w:pPr>
            <w:r>
              <w:rPr>
                <w:rFonts w:ascii="Times New Roman" w:cs="Times New Roman" w:eastAsia="Times New Roman" w:hAnsi="Times New Roman"/>
                <w:sz w:val="18"/>
                <w:szCs w:val="18"/>
                <w:color w:val="auto"/>
              </w:rPr>
              <w:t>million, including underwriting discounts.</w:t>
            </w:r>
          </w:p>
        </w:tc>
      </w:tr>
    </w:tbl>
    <w:p>
      <w:pPr>
        <w:spacing w:after="0" w:line="136"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25" w:lineRule="exact"/>
        <w:rPr>
          <w:sz w:val="20"/>
          <w:szCs w:val="20"/>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this offering.</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2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 prospectus supplement, which will be the seventh business day following the date of the pricing of the Notes. Under Rule 15c6-1 of the Exchange Act, trades in the secondary market generally are required to settle in three business days, unless the parties to a trade expressly agree otherwise. Accordingly, purchasers who wish to trade Notes on the date of pricing or the next three succeeding business days will be required, by virtue of the fact that the Notes initially will settle in T+7, to specify alternative settlement arrangements to prevent a failed settlement.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79"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addition, affiliates of some of the underwriters are lenders, and in some cases agents or managers for the lenders, under TI’s credit facility.</w:t>
      </w:r>
    </w:p>
    <w:p>
      <w:pPr>
        <w:spacing w:after="0" w:line="127"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the Notes described in this prospectus supplement may not be made to the public in that relevant member state other than:</w:t>
      </w:r>
    </w:p>
    <w:p>
      <w:pPr>
        <w:spacing w:after="0" w:line="38" w:lineRule="exact"/>
        <w:rPr>
          <w:sz w:val="20"/>
          <w:szCs w:val="20"/>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03" w:lineRule="exact"/>
        <w:rPr>
          <w:rFonts w:ascii="Times New Roman" w:cs="Times New Roman" w:eastAsia="Times New Roman" w:hAnsi="Times New Roman"/>
          <w:sz w:val="18"/>
          <w:szCs w:val="18"/>
          <w:color w:val="auto"/>
        </w:rPr>
      </w:pPr>
    </w:p>
    <w:p>
      <w:pPr>
        <w:ind w:left="660" w:right="20" w:hanging="206"/>
        <w:spacing w:after="0" w:line="26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3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no such offer of securities shall require us or any underwriter to publish a prospectus pursuant to Article 3 of the Prospectus Directive.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26"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79"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79"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Neither this prospectus supplement nor any other offering material relating to the Notes described in this prospectus supplement has been submitted to the clearance procedures of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or of the competent authority of another member state of the European Economic Area and notified to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42" w:lineRule="exact"/>
        <w:rPr>
          <w:sz w:val="20"/>
          <w:szCs w:val="20"/>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75" w:lineRule="exact"/>
        <w:rPr>
          <w:sz w:val="20"/>
          <w:szCs w:val="20"/>
          <w:color w:val="auto"/>
        </w:rPr>
      </w:pPr>
    </w:p>
    <w:p>
      <w:pPr>
        <w:ind w:left="660" w:right="60" w:hanging="206"/>
        <w:spacing w:after="0" w:line="26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and/or to a restricted circle of investors (</w:t>
      </w:r>
      <w:r>
        <w:rPr>
          <w:rFonts w:ascii="Times New Roman" w:cs="Times New Roman" w:eastAsia="Times New Roman" w:hAnsi="Times New Roman"/>
          <w:sz w:val="18"/>
          <w:szCs w:val="18"/>
          <w:i w:val="1"/>
          <w:iCs w:val="1"/>
          <w:color w:val="auto"/>
        </w:rPr>
        <w:t>cercle restreint d’investisseurs</w:t>
      </w:r>
      <w:r>
        <w:rPr>
          <w:rFonts w:ascii="Times New Roman" w:cs="Times New Roman" w:eastAsia="Times New Roman" w:hAnsi="Times New Roman"/>
          <w:sz w:val="18"/>
          <w:szCs w:val="18"/>
          <w:color w:val="auto"/>
        </w:rPr>
        <w:t xml:space="preserve">), in each case investing for their own account, all as defined in, and in accordance with, articles L.411-2, D.411-1, D.411-2, D.734-1, D.744-1, D.754-1 and D.764-1 of the French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monétaire et financier</w:t>
      </w:r>
      <w:r>
        <w:rPr>
          <w:rFonts w:ascii="Times New Roman" w:cs="Times New Roman" w:eastAsia="Times New Roman" w:hAnsi="Times New Roman"/>
          <w:sz w:val="18"/>
          <w:szCs w:val="18"/>
          <w:color w:val="auto"/>
        </w:rPr>
        <w:t>;</w:t>
      </w:r>
    </w:p>
    <w:p>
      <w:pPr>
        <w:spacing w:after="0" w:line="34"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01" w:lineRule="exact"/>
        <w:rPr>
          <w:rFonts w:ascii="Times New Roman" w:cs="Times New Roman" w:eastAsia="Times New Roman" w:hAnsi="Times New Roman"/>
          <w:sz w:val="18"/>
          <w:szCs w:val="18"/>
          <w:color w:val="auto"/>
        </w:rPr>
      </w:pPr>
    </w:p>
    <w:p>
      <w:pPr>
        <w:ind w:left="660" w:right="360" w:hanging="206"/>
        <w:spacing w:after="0" w:line="27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 transaction that, in accordance with article L.411-2-II-1°-or-2°-or 3° of the French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xml:space="preserve"> and article 211-2 of the General Regulations (</w:t>
      </w:r>
      <w:r>
        <w:rPr>
          <w:rFonts w:ascii="Times New Roman" w:cs="Times New Roman" w:eastAsia="Times New Roman" w:hAnsi="Times New Roman"/>
          <w:sz w:val="18"/>
          <w:szCs w:val="18"/>
          <w:i w:val="1"/>
          <w:iCs w:val="1"/>
          <w:color w:val="auto"/>
        </w:rPr>
        <w:t>Règlement Général</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does not constitute a public offer (</w:t>
      </w:r>
      <w:r>
        <w:rPr>
          <w:rFonts w:ascii="Times New Roman" w:cs="Times New Roman" w:eastAsia="Times New Roman" w:hAnsi="Times New Roman"/>
          <w:sz w:val="18"/>
          <w:szCs w:val="18"/>
          <w:i w:val="1"/>
          <w:iCs w:val="1"/>
          <w:color w:val="auto"/>
        </w:rPr>
        <w:t>appel public à l’épargne</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The Notes may be resold directly or indirectly, only in compliance with articles L.411-1, L.411-2, L.412-1 and L.621-8 through L.621-8-3 of the French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380"/>
          </w:cols>
          <w:pgMar w:left="240" w:top="455"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79"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79" w:lineRule="exact"/>
        <w:rPr>
          <w:sz w:val="20"/>
          <w:szCs w:val="20"/>
          <w:color w:val="auto"/>
        </w:rPr>
      </w:pPr>
    </w:p>
    <w:p>
      <w:pPr>
        <w:ind w:right="100" w:firstLine="456"/>
        <w:spacing w:after="0" w:line="285" w:lineRule="auto"/>
        <w:rPr>
          <w:sz w:val="20"/>
          <w:szCs w:val="20"/>
          <w:color w:val="auto"/>
        </w:rPr>
      </w:pPr>
      <w:r>
        <w:rPr>
          <w:rFonts w:ascii="Times New Roman" w:cs="Times New Roman" w:eastAsia="Times New Roman" w:hAnsi="Times New Roman"/>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ind w:right="780" w:firstLine="8"/>
        <w:spacing w:after="0" w:line="261" w:lineRule="auto"/>
        <w:tabs>
          <w:tab w:leader="none" w:pos="3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in each case subject to compliance with conditions set forth in the SFA.</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77" w:lineRule="exact"/>
        <w:rPr>
          <w:sz w:val="20"/>
          <w:szCs w:val="20"/>
          <w:color w:val="auto"/>
        </w:rPr>
      </w:pPr>
    </w:p>
    <w:p>
      <w:pPr>
        <w:ind w:left="660" w:right="60" w:hanging="206"/>
        <w:spacing w:after="0" w:line="27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5" w:lineRule="exact"/>
        <w:rPr>
          <w:rFonts w:ascii="Times New Roman" w:cs="Times New Roman" w:eastAsia="Times New Roman" w:hAnsi="Times New Roman"/>
          <w:sz w:val="18"/>
          <w:szCs w:val="18"/>
          <w:color w:val="auto"/>
        </w:rPr>
      </w:pPr>
    </w:p>
    <w:p>
      <w:pPr>
        <w:ind w:left="660" w:hanging="206"/>
        <w:spacing w:after="0" w:line="27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06" w:lineRule="exact"/>
        <w:rPr>
          <w:sz w:val="20"/>
          <w:szCs w:val="20"/>
          <w:color w:val="auto"/>
        </w:rPr>
      </w:pPr>
    </w:p>
    <w:p>
      <w:pPr>
        <w:ind w:right="240"/>
        <w:spacing w:after="0" w:line="325" w:lineRule="auto"/>
        <w:rPr>
          <w:sz w:val="20"/>
          <w:szCs w:val="20"/>
          <w:color w:val="auto"/>
        </w:rPr>
      </w:pPr>
      <w:r>
        <w:rPr>
          <w:rFonts w:ascii="Times New Roman" w:cs="Times New Roman" w:eastAsia="Times New Roman" w:hAnsi="Times New Roman"/>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 w:lineRule="exact"/>
        <w:rPr>
          <w:sz w:val="20"/>
          <w:szCs w:val="20"/>
          <w:color w:val="auto"/>
        </w:rPr>
      </w:pPr>
    </w:p>
    <w:p>
      <w:pPr>
        <w:ind w:left="660" w:right="40" w:hanging="206"/>
        <w:spacing w:after="0" w:line="25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16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0"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Our consolidated financial statements in our Annual Report on Form 10-K for the year ended December 31, 2014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23"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w:t>
      </w:r>
    </w:p>
    <w:p>
      <w:pPr>
        <w:spacing w:after="0" w:line="90" w:lineRule="exact"/>
        <w:rPr>
          <w:sz w:val="20"/>
          <w:szCs w:val="20"/>
          <w:color w:val="auto"/>
        </w:rPr>
      </w:pPr>
    </w:p>
    <w:p>
      <w:pPr>
        <w:ind w:left="700" w:hanging="23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year ended December 31, 2014, filed on February 24, 2015; and</w:t>
      </w:r>
    </w:p>
    <w:p>
      <w:pPr>
        <w:spacing w:after="0" w:line="7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on April 20, 2015.</w:t>
      </w:r>
    </w:p>
    <w:p>
      <w:pPr>
        <w:spacing w:after="0" w:line="158"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19"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our website is not a part of this prospectus supplement or the accompanying prospectus.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360"/>
          </w:cols>
          <w:pgMar w:left="240" w:top="455" w:right="2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146050</wp:posOffset>
            </wp:positionV>
            <wp:extent cx="2864485" cy="660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216535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5" w:right="239" w:bottom="1440" w:gutter="0" w:footer="0" w:header="0"/>
        </w:sectPr>
      </w:pPr>
    </w:p>
    <w:p>
      <w:pPr>
        <w:spacing w:after="0" w:line="39" w:lineRule="exact"/>
        <w:rPr>
          <w:sz w:val="20"/>
          <w:szCs w:val="20"/>
          <w:color w:val="auto"/>
        </w:rPr>
      </w:pPr>
    </w:p>
    <w:p>
      <w:pPr>
        <w:ind w:left="120"/>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Common stock</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440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Warrants</w:t>
      </w:r>
    </w:p>
    <w:p>
      <w:pPr>
        <w:spacing w:after="0" w:line="117" w:lineRule="exact"/>
        <w:rPr>
          <w:sz w:val="20"/>
          <w:szCs w:val="20"/>
          <w:color w:val="auto"/>
        </w:rPr>
      </w:pPr>
    </w:p>
    <w:p>
      <w:pPr>
        <w:sectPr>
          <w:pgSz w:w="11900" w:h="16838" w:orient="portrait"/>
          <w:cols w:equalWidth="0" w:num="2">
            <w:col w:w="5440" w:space="720"/>
            <w:col w:w="5260"/>
          </w:cols>
          <w:pgMar w:left="240" w:top="455" w:right="239" w:bottom="1440" w:gutter="0" w:footer="0" w:header="0"/>
          <w:type w:val="continuous"/>
        </w:sectPr>
      </w:pPr>
    </w:p>
    <w:p>
      <w:pPr>
        <w:ind w:left="120"/>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Preferred stock</w:t>
      </w:r>
    </w:p>
    <w:p>
      <w:pPr>
        <w:spacing w:after="0" w:line="20" w:lineRule="exact"/>
        <w:rPr>
          <w:sz w:val="20"/>
          <w:szCs w:val="20"/>
          <w:color w:val="auto"/>
        </w:rPr>
      </w:pPr>
      <w:r>
        <w:rPr>
          <w:sz w:val="20"/>
          <w:szCs w:val="20"/>
          <w:color w:val="auto"/>
        </w:rPr>
        <w:br w:type="column"/>
      </w:r>
    </w:p>
    <w:p>
      <w:pPr>
        <w:jc w:val="center"/>
        <w:ind w:right="464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Units</w:t>
      </w:r>
    </w:p>
    <w:p>
      <w:pPr>
        <w:spacing w:after="0" w:line="117" w:lineRule="exact"/>
        <w:rPr>
          <w:sz w:val="20"/>
          <w:szCs w:val="20"/>
          <w:color w:val="auto"/>
        </w:rPr>
      </w:pPr>
    </w:p>
    <w:p>
      <w:pPr>
        <w:sectPr>
          <w:pgSz w:w="11900" w:h="16838" w:orient="portrait"/>
          <w:cols w:equalWidth="0" w:num="2">
            <w:col w:w="5440" w:space="720"/>
            <w:col w:w="5260"/>
          </w:cols>
          <w:pgMar w:left="240" w:top="455" w:right="239" w:bottom="1440" w:gutter="0" w:footer="0" w:header="0"/>
          <w:type w:val="continuous"/>
        </w:sectPr>
      </w:pPr>
    </w:p>
    <w:p>
      <w:pPr>
        <w:ind w:left="360" w:hanging="244"/>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171" w:lineRule="exact"/>
        <w:rPr>
          <w:sz w:val="20"/>
          <w:szCs w:val="20"/>
          <w:color w:val="auto"/>
        </w:rPr>
      </w:pPr>
    </w:p>
    <w:p>
      <w:pPr>
        <w:ind w:right="180" w:firstLine="456"/>
        <w:spacing w:after="0" w:line="310" w:lineRule="auto"/>
        <w:rPr>
          <w:sz w:val="20"/>
          <w:szCs w:val="20"/>
          <w:color w:val="auto"/>
        </w:rPr>
      </w:pPr>
      <w:r>
        <w:rPr>
          <w:rFonts w:ascii="Times New Roman" w:cs="Times New Roman" w:eastAsia="Times New Roman" w:hAnsi="Times New Roman"/>
          <w:sz w:val="16"/>
          <w:szCs w:val="16"/>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97"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39"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Maturity</w:t>
            </w: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Redemption terms</w:t>
            </w:r>
          </w:p>
        </w:tc>
        <w:tc>
          <w:tcPr>
            <w:tcW w:w="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Liquidation amount</w:t>
            </w:r>
          </w:p>
        </w:tc>
      </w:tr>
      <w:tr>
        <w:trPr>
          <w:trHeight w:val="32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w:t>
            </w:r>
          </w:p>
        </w:tc>
        <w:tc>
          <w:tcPr>
            <w:tcW w:w="43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  Listing on a security exchange</w:t>
            </w:r>
          </w:p>
        </w:tc>
        <w:tc>
          <w:tcPr>
            <w:tcW w:w="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Subsidiary guarantees</w:t>
            </w:r>
          </w:p>
        </w:tc>
      </w:tr>
      <w:tr>
        <w:trPr>
          <w:trHeight w:val="32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Currency of payments</w:t>
            </w:r>
          </w:p>
        </w:tc>
        <w:tc>
          <w:tcPr>
            <w:tcW w:w="43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  Amount payable at maturity</w:t>
            </w:r>
          </w:p>
        </w:tc>
        <w:tc>
          <w:tcPr>
            <w:tcW w:w="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Sinking fund terms</w:t>
            </w:r>
          </w:p>
        </w:tc>
      </w:tr>
      <w:tr>
        <w:trPr>
          <w:trHeight w:val="32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w:t>
            </w: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or exchange rights</w:t>
            </w: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150"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Our Common Stock is quoted on The NASDAQ Stock Market under the ticker symbol TXN. On February 21, 2013, the reported last sale price on The NASDAQ Stock Market for our Common Stock was $32.48.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162560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0" w:lineRule="exact"/>
        <w:rPr>
          <w:sz w:val="20"/>
          <w:szCs w:val="20"/>
          <w:color w:val="auto"/>
        </w:rPr>
      </w:pPr>
    </w:p>
    <w:p>
      <w:pPr>
        <w:ind w:right="400" w:firstLine="456"/>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certain risks. See “Item 1A–Risk Factors” beginning on page 10 of our annual report on Form 10-K for the year ended December 31, 2012,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158115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February 22, 2013</w:t>
      </w:r>
    </w:p>
    <w:p>
      <w:pPr>
        <w:sectPr>
          <w:pgSz w:w="11900" w:h="16838" w:orient="portrait"/>
          <w:cols w:equalWidth="0" w:num="1">
            <w:col w:w="11420"/>
          </w:cols>
          <w:pgMar w:left="240" w:top="455"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responsible for the information contained in or incorporated by reference in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182880</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160" w:type="dxa"/>
            <w:vAlign w:val="bottom"/>
            <w:gridSpan w:val="2"/>
          </w:tcPr>
          <w:p>
            <w:pPr>
              <w:jc w:val="right"/>
              <w:ind w:right="4582"/>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160" w:type="dxa"/>
            <w:vAlign w:val="bottom"/>
            <w:gridSpan w:val="14"/>
            <w:vMerge w:val="restart"/>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The Company</w:t>
              </w:r>
            </w:hyperlink>
          </w:p>
        </w:tc>
        <w:tc>
          <w:tcPr>
            <w:tcW w:w="69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Page</w:t>
            </w:r>
          </w:p>
        </w:tc>
        <w:tc>
          <w:tcPr>
            <w:tcW w:w="0" w:type="dxa"/>
            <w:vAlign w:val="bottom"/>
          </w:tcPr>
          <w:p>
            <w:pPr>
              <w:spacing w:after="0"/>
              <w:rPr>
                <w:sz w:val="1"/>
                <w:szCs w:val="1"/>
                <w:color w:val="auto"/>
              </w:rPr>
            </w:pPr>
          </w:p>
        </w:tc>
      </w:tr>
      <w:tr>
        <w:trPr>
          <w:trHeight w:val="169"/>
        </w:trPr>
        <w:tc>
          <w:tcPr>
            <w:tcW w:w="4160" w:type="dxa"/>
            <w:vAlign w:val="bottom"/>
            <w:gridSpan w:val="14"/>
            <w:vMerge w:val="continue"/>
          </w:tcPr>
          <w:p>
            <w:pPr>
              <w:spacing w:after="0"/>
              <w:rPr>
                <w:sz w:val="14"/>
                <w:szCs w:val="14"/>
                <w:color w:val="auto"/>
              </w:rPr>
            </w:pPr>
          </w:p>
        </w:tc>
        <w:tc>
          <w:tcPr>
            <w:tcW w:w="6900" w:type="dxa"/>
            <w:vAlign w:val="bottom"/>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About this Prospectus</w:t>
              </w:r>
            </w:hyperlink>
          </w:p>
        </w:tc>
        <w:tc>
          <w:tcPr>
            <w:tcW w:w="7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Where You Can Find More Information</w:t>
              </w:r>
            </w:hyperlink>
          </w:p>
        </w:tc>
        <w:tc>
          <w:tcPr>
            <w:tcW w:w="7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Caution Concerning Forward-Looking Statements</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Use of Proceeds</w:t>
              </w:r>
            </w:hyperlink>
          </w:p>
        </w:tc>
        <w:tc>
          <w:tcPr>
            <w:tcW w:w="7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Ratios of Earnings to Fixed Charges</w:t>
              </w:r>
            </w:hyperlink>
          </w:p>
        </w:tc>
        <w:tc>
          <w:tcPr>
            <w:tcW w:w="1600" w:type="dxa"/>
            <w:vAlign w:val="bottom"/>
            <w:gridSpan w:val="3"/>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Description of Capital Stock</w:t>
              </w:r>
            </w:hyperlink>
          </w:p>
        </w:tc>
        <w:tc>
          <w:tcPr>
            <w:tcW w:w="214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Description of Debt Securities</w:t>
              </w:r>
            </w:hyperlink>
          </w:p>
        </w:tc>
        <w:tc>
          <w:tcPr>
            <w:tcW w:w="2020" w:type="dxa"/>
            <w:vAlign w:val="bottom"/>
            <w:gridSpan w:val="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w:anchor="page52">
              <w:r>
                <w:rPr>
                  <w:rFonts w:ascii="Times New Roman" w:cs="Times New Roman" w:eastAsia="Times New Roman" w:hAnsi="Times New Roman"/>
                  <w:sz w:val="18"/>
                  <w:szCs w:val="18"/>
                  <w:color w:val="0000EE"/>
                  <w:w w:val="96"/>
                </w:rPr>
                <w:t>Description of Warrants</w:t>
              </w:r>
            </w:hyperlink>
          </w:p>
        </w:tc>
        <w:tc>
          <w:tcPr>
            <w:tcW w:w="2460" w:type="dxa"/>
            <w:vAlign w:val="bottom"/>
            <w:gridSpan w:val="6"/>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Description of Units</w:t>
              </w:r>
            </w:hyperlink>
          </w:p>
        </w:tc>
        <w:tc>
          <w:tcPr>
            <w:tcW w:w="7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Forms of Securities</w:t>
              </w:r>
            </w:hyperlink>
          </w:p>
        </w:tc>
        <w:tc>
          <w:tcPr>
            <w:tcW w:w="272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Validity of Securities</w:t>
              </w:r>
            </w:hyperlink>
          </w:p>
        </w:tc>
        <w:tc>
          <w:tcPr>
            <w:tcW w:w="2620" w:type="dxa"/>
            <w:vAlign w:val="bottom"/>
            <w:gridSpan w:val="7"/>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Experts</w:t>
              </w:r>
            </w:hyperlink>
          </w:p>
        </w:tc>
        <w:tc>
          <w:tcPr>
            <w:tcW w:w="7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34258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342582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3" w:lineRule="exact"/>
        <w:rPr>
          <w:sz w:val="20"/>
          <w:szCs w:val="20"/>
          <w:color w:val="auto"/>
        </w:rPr>
      </w:pPr>
    </w:p>
    <w:p>
      <w:pPr>
        <w:ind w:left="200" w:firstLine="443"/>
        <w:spacing w:after="0" w:line="262" w:lineRule="auto"/>
        <w:rPr>
          <w:sz w:val="20"/>
          <w:szCs w:val="20"/>
          <w:color w:val="auto"/>
        </w:rPr>
      </w:pPr>
      <w:r>
        <w:rPr>
          <w:rFonts w:ascii="Times New Roman" w:cs="Times New Roman" w:eastAsia="Times New Roman" w:hAnsi="Times New Roman"/>
          <w:sz w:val="18"/>
          <w:szCs w:val="18"/>
          <w:color w:val="auto"/>
        </w:rPr>
        <w:t>At Texas Instruments Incorporated (TI), we design and make semiconductors that we sell to electronics designers and manufacturers all over the world. We began operations in 1930. We are incorporated in Delaware, headquartered in Dallas, Texas, and have design, manufacturing or sales operations in more than 35 countries.</w:t>
      </w:r>
    </w:p>
    <w:p>
      <w:pPr>
        <w:spacing w:after="0" w:line="132" w:lineRule="exact"/>
        <w:rPr>
          <w:sz w:val="20"/>
          <w:szCs w:val="20"/>
          <w:color w:val="auto"/>
        </w:rPr>
      </w:pPr>
    </w:p>
    <w:p>
      <w:pPr>
        <w:ind w:left="200" w:right="400" w:firstLine="443"/>
        <w:spacing w:after="0" w:line="275" w:lineRule="auto"/>
        <w:rPr>
          <w:sz w:val="20"/>
          <w:szCs w:val="20"/>
          <w:color w:val="auto"/>
        </w:rPr>
      </w:pPr>
      <w:r>
        <w:rPr>
          <w:rFonts w:ascii="Times New Roman" w:cs="Times New Roman" w:eastAsia="Times New Roman" w:hAnsi="Times New Roman"/>
          <w:sz w:val="18"/>
          <w:szCs w:val="18"/>
          <w:color w:val="auto"/>
        </w:rPr>
        <w:t>We were the world’s fourth largest semiconductor company in 2012 as measured by revenue, according to preliminary estimates from an external source.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75266-0199, and our telephone number is (214) 479-3773. We</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maintain a website at www.ti.com where general information about us is available. We are not incorporating the contents of the website into this prospectus.</w:t>
      </w:r>
    </w:p>
    <w:p>
      <w:pPr>
        <w:spacing w:after="0" w:line="182" w:lineRule="exact"/>
        <w:rPr>
          <w:sz w:val="20"/>
          <w:szCs w:val="20"/>
          <w:color w:val="auto"/>
        </w:rPr>
      </w:pPr>
    </w:p>
    <w:p>
      <w:pPr>
        <w:ind w:left="200" w:firstLine="443"/>
        <w:spacing w:after="0" w:line="262"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w:t>
      </w:r>
    </w:p>
    <w:p>
      <w:pPr>
        <w:spacing w:after="0" w:line="2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3" w:lineRule="exact"/>
        <w:rPr>
          <w:sz w:val="20"/>
          <w:szCs w:val="20"/>
          <w:color w:val="auto"/>
        </w:rPr>
      </w:pPr>
    </w:p>
    <w:p>
      <w:pPr>
        <w:ind w:left="200" w:right="60" w:firstLine="443"/>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60"/>
          </w:cols>
          <w:pgMar w:left="240" w:top="455" w:right="3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3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58" w:lineRule="exact"/>
        <w:rPr>
          <w:sz w:val="20"/>
          <w:szCs w:val="20"/>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on January 18, 2013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year ended December 31, 2012, filed on February 22, 2013.</w:t>
      </w:r>
    </w:p>
    <w:p>
      <w:pPr>
        <w:spacing w:after="0" w:line="17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12500 TI Boulevard, P.O. Box 660199, Dallas, Texas 75266-0199,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Manager of Investor Relations, (214) 479-3773. Information about us, including our SEC filings, is also available at our website at www.ti.com.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information on our website is not a part of this prospectus or any prospectus supplement that we file.</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Certain matters discussed in this prospectus or incorporated by reference into this prospectus are “forward-looking statements.” The Private Securities Litigation Reform Act of 1995 has established that these statements qualify for safe harbors from liability. Forward-looking statements may include words like we “believe,” “expect,” “anticipate,” “foresee,” “forecast,”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9"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TI or its management:</w:t>
      </w:r>
    </w:p>
    <w:p>
      <w:pPr>
        <w:spacing w:after="0" w:line="39" w:lineRule="exact"/>
        <w:rPr>
          <w:sz w:val="20"/>
          <w:szCs w:val="20"/>
          <w:color w:val="auto"/>
        </w:rPr>
      </w:pPr>
    </w:p>
    <w:p>
      <w:pPr>
        <w:ind w:left="900" w:right="820" w:hanging="325"/>
        <w:spacing w:after="0" w:line="275"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key markets such as communications, computing, industrial, consumer electronics and automotive;</w:t>
      </w:r>
    </w:p>
    <w:p>
      <w:pPr>
        <w:spacing w:after="0" w:line="38" w:lineRule="exact"/>
        <w:rPr>
          <w:rFonts w:ascii="Times New Roman" w:cs="Times New Roman" w:eastAsia="Times New Roman" w:hAnsi="Times New Roman"/>
          <w:sz w:val="18"/>
          <w:szCs w:val="18"/>
          <w:color w:val="auto"/>
        </w:rPr>
      </w:pPr>
    </w:p>
    <w:p>
      <w:pPr>
        <w:ind w:left="900" w:right="440" w:hanging="325"/>
        <w:spacing w:after="0" w:line="275"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develop, manufacture and market innovative products in a rapidly changing technological environment;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compete in products and prices in an intensely competitive industry;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and enforce a strong intellectual property portfolio and obtain needed licenses from third parties;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license agreements between TI and its patent licensees, and market conditions reducing royalty payments to TI;</w:t>
      </w:r>
    </w:p>
    <w:p>
      <w:pPr>
        <w:spacing w:after="0" w:line="90" w:lineRule="exact"/>
        <w:rPr>
          <w:rFonts w:ascii="Times New Roman" w:cs="Times New Roman" w:eastAsia="Times New Roman" w:hAnsi="Times New Roman"/>
          <w:sz w:val="18"/>
          <w:szCs w:val="18"/>
          <w:color w:val="auto"/>
        </w:rPr>
      </w:pPr>
    </w:p>
    <w:p>
      <w:pPr>
        <w:ind w:left="900" w:right="600" w:hanging="325"/>
        <w:spacing w:after="0" w:line="26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and earthquakes in the locations in which TI, its customers or its suppliers operate;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90" w:lineRule="exact"/>
        <w:rPr>
          <w:rFonts w:ascii="Times New Roman" w:cs="Times New Roman" w:eastAsia="Times New Roman" w:hAnsi="Times New Roman"/>
          <w:sz w:val="18"/>
          <w:szCs w:val="18"/>
          <w:color w:val="auto"/>
        </w:rPr>
      </w:pPr>
    </w:p>
    <w:p>
      <w:pPr>
        <w:ind w:left="900" w:right="20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8"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and the timing and amount of distributor and other customer inventory adjustments;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our forecasts;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impact of inadequate or excess TI inventory that results from demand that differs from projections;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claims based on epidemic or delivery failure or recalls by TI customers for a product containing a TI part;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recruit and retain skilled personnel;</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and installation of manufacturing equipment, and the ability to obtain needed third-party foundry and assembly/test subcontract services;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obligation to make principal and interest payments on its debt;</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our information technology systems.</w:t>
      </w:r>
    </w:p>
    <w:p>
      <w:pPr>
        <w:spacing w:after="0" w:line="17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This list is not all-inclusive because it is not possible to predict all factors. All forward-looking statements are qualified by the risks described in the documents incorporated by reference into this prospectus and any supplement to this prospectus. We have no obligation to publicly update or revise any forward-looking statements, whether as a result of new information, future events or risks. New information, future events or risks may cause the forward-looking events we discuss in this prospectus not to occur.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96" w:lineRule="exact"/>
        <w:rPr>
          <w:sz w:val="20"/>
          <w:szCs w:val="20"/>
          <w:color w:val="auto"/>
        </w:rPr>
      </w:pPr>
    </w:p>
    <w:p>
      <w:pPr>
        <w:ind w:left="460" w:right="3840" w:firstLine="3392"/>
        <w:spacing w:after="0" w:line="519" w:lineRule="auto"/>
        <w:rPr>
          <w:sz w:val="20"/>
          <w:szCs w:val="20"/>
          <w:color w:val="auto"/>
        </w:rPr>
      </w:pPr>
      <w:r>
        <w:rPr>
          <w:rFonts w:ascii="Times New Roman" w:cs="Times New Roman" w:eastAsia="Times New Roman" w:hAnsi="Times New Roman"/>
          <w:sz w:val="16"/>
          <w:szCs w:val="16"/>
          <w:b w:val="1"/>
          <w:bCs w:val="1"/>
          <w:color w:val="auto"/>
        </w:rPr>
        <w:t xml:space="preserve">RATIOS OF EARNINGS TO FIXED CHARGES </w:t>
      </w:r>
      <w:r>
        <w:rPr>
          <w:rFonts w:ascii="Times New Roman" w:cs="Times New Roman" w:eastAsia="Times New Roman" w:hAnsi="Times New Roman"/>
          <w:sz w:val="16"/>
          <w:szCs w:val="16"/>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Years Ended 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00" w:type="dxa"/>
            <w:vAlign w:val="bottom"/>
            <w:tcBorders>
              <w:top w:val="single" w:sz="8" w:color="auto"/>
              <w:bottom w:val="single" w:sz="8" w:color="auto"/>
            </w:tcBorders>
          </w:tcPr>
          <w:p>
            <w:pPr>
              <w:jc w:val="right"/>
              <w:ind w:right="1022"/>
              <w:spacing w:after="0" w:line="156"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top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jc w:val="right"/>
              <w:ind w:right="822"/>
              <w:spacing w:after="0" w:line="156"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top w:val="single" w:sz="8" w:color="auto"/>
            </w:tcBorders>
          </w:tcPr>
          <w:p>
            <w:pPr>
              <w:spacing w:after="0"/>
              <w:rPr>
                <w:sz w:val="13"/>
                <w:szCs w:val="13"/>
                <w:color w:val="auto"/>
              </w:rPr>
            </w:pPr>
          </w:p>
        </w:tc>
        <w:tc>
          <w:tcPr>
            <w:tcW w:w="2180" w:type="dxa"/>
            <w:vAlign w:val="bottom"/>
            <w:tcBorders>
              <w:top w:val="single" w:sz="8" w:color="auto"/>
              <w:bottom w:val="single" w:sz="8" w:color="auto"/>
            </w:tcBorders>
          </w:tcPr>
          <w:p>
            <w:pPr>
              <w:jc w:val="right"/>
              <w:ind w:right="882"/>
              <w:spacing w:after="0" w:line="156"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top w:val="single" w:sz="8" w:color="auto"/>
            </w:tcBorders>
          </w:tcPr>
          <w:p>
            <w:pPr>
              <w:spacing w:after="0"/>
              <w:rPr>
                <w:sz w:val="13"/>
                <w:szCs w:val="13"/>
                <w:color w:val="auto"/>
              </w:rPr>
            </w:pPr>
          </w:p>
        </w:tc>
        <w:tc>
          <w:tcPr>
            <w:tcW w:w="2160" w:type="dxa"/>
            <w:vAlign w:val="bottom"/>
            <w:tcBorders>
              <w:top w:val="single" w:sz="8" w:color="auto"/>
              <w:bottom w:val="single" w:sz="8" w:color="auto"/>
            </w:tcBorders>
          </w:tcPr>
          <w:p>
            <w:pPr>
              <w:jc w:val="right"/>
              <w:ind w:right="862"/>
              <w:spacing w:after="0" w:line="156"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jc w:val="right"/>
              <w:ind w:right="822"/>
              <w:spacing w:after="0" w:line="156" w:lineRule="exact"/>
              <w:rPr>
                <w:sz w:val="20"/>
                <w:szCs w:val="20"/>
                <w:color w:val="auto"/>
              </w:rPr>
            </w:pPr>
            <w:r>
              <w:rPr>
                <w:rFonts w:ascii="Times New Roman" w:cs="Times New Roman" w:eastAsia="Times New Roman" w:hAnsi="Times New Roman"/>
                <w:sz w:val="14"/>
                <w:szCs w:val="14"/>
                <w:b w:val="1"/>
                <w:bCs w:val="1"/>
                <w:color w:val="auto"/>
              </w:rPr>
              <w:t>2008</w:t>
            </w:r>
          </w:p>
        </w:tc>
      </w:tr>
      <w:tr>
        <w:trPr>
          <w:trHeight w:val="222"/>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20.6x</w:t>
            </w:r>
          </w:p>
        </w:tc>
        <w:tc>
          <w:tcPr>
            <w:tcW w:w="16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55.9x</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304.8x</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127.9x</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109.5x</w:t>
            </w:r>
          </w:p>
        </w:tc>
      </w:tr>
    </w:tbl>
    <w:p>
      <w:pPr>
        <w:spacing w:after="0" w:line="135"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Earnings consist of earnings from continuing operations, fixed charges, and other income or loss (including interest income, equity investment gains or losses, and other miscellaneous non-operational items such as currency exchange gains or losses). Fixed charges consist of total interest on loans, interest attributable to rental and lease expense, and capitalized interest.</w:t>
      </w:r>
    </w:p>
    <w:p>
      <w:pPr>
        <w:spacing w:after="0" w:line="13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3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Restated Certificate of Incorporation authorizes us to issue 2,400,000,000 shares of common stock, $1.00 par value per share, and 10,000,000 shares of preferred stock, $25.00 par value per share.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2"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6"/>
          <w:szCs w:val="16"/>
          <w:color w:val="auto"/>
        </w:rPr>
        <w:t>As of January 31, 2013, there were 1,104,787,389 shares of common stock outstanding which were held of record by 18,036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Stock Market. The transfer agent and registrar for our common stock is Computershare Trust Company, N.A., 2 North LaSalle Street, 3</w:t>
      </w:r>
      <w:r>
        <w:rPr>
          <w:rFonts w:ascii="Times New Roman" w:cs="Times New Roman" w:eastAsia="Times New Roman" w:hAnsi="Times New Roman"/>
          <w:sz w:val="10"/>
          <w:szCs w:val="10"/>
          <w:color w:val="auto"/>
        </w:rPr>
        <w:t>rd</w:t>
      </w:r>
      <w:r>
        <w:rPr>
          <w:rFonts w:ascii="Times New Roman" w:cs="Times New Roman" w:eastAsia="Times New Roman" w:hAnsi="Times New Roman"/>
          <w:sz w:val="16"/>
          <w:szCs w:val="16"/>
          <w:color w:val="auto"/>
        </w:rPr>
        <w:t xml:space="preserve"> Floor, Chicago, Illinois 60602.</w:t>
      </w:r>
    </w:p>
    <w:p>
      <w:pPr>
        <w:spacing w:after="0" w:line="113"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As of January 31, 2013,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Texas Instruments’ Certificate of Incorporation and By-Laws</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prior to such annual meeting or the 10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following the day on which public announcement of the date of the meeting is first made.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51"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date the interested stockholder obtained such status;</w:t>
      </w:r>
    </w:p>
    <w:p>
      <w:pPr>
        <w:spacing w:after="0" w:line="90" w:lineRule="exact"/>
        <w:rPr>
          <w:rFonts w:ascii="Times New Roman" w:cs="Times New Roman" w:eastAsia="Times New Roman" w:hAnsi="Times New Roman"/>
          <w:sz w:val="18"/>
          <w:szCs w:val="18"/>
          <w:color w:val="auto"/>
        </w:rPr>
      </w:pPr>
    </w:p>
    <w:p>
      <w:pPr>
        <w:ind w:left="900" w:right="32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38"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2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Texas Instruments and, accordingly, may discourage attempts to acquire Texas Instruments even though such a transaction may offer Texas Instruments stockholders the opportunity to sell their stock at a price above the prevailing market price.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3"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3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36"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debt securities will constitute unsecured and unsubordinated obligations of ours and will rank pari passu with our other unsecured and unsubordinated obligations.</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38"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You should look in the prospectus supplement for any additional or different terms of the debt securities being offered, including the following terms:</w:t>
      </w:r>
    </w:p>
    <w:p>
      <w:pPr>
        <w:spacing w:after="0" w:line="90"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designation;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600" w:hanging="325"/>
        <w:spacing w:after="0" w:line="26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90" w:lineRule="exact"/>
        <w:rPr>
          <w:rFonts w:ascii="Times New Roman" w:cs="Times New Roman" w:eastAsia="Times New Roman" w:hAnsi="Times New Roman"/>
          <w:sz w:val="18"/>
          <w:szCs w:val="18"/>
          <w:color w:val="auto"/>
        </w:rPr>
      </w:pPr>
    </w:p>
    <w:p>
      <w:pPr>
        <w:ind w:left="900" w:right="74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w:t>
      </w:r>
    </w:p>
    <w:p>
      <w:pPr>
        <w:spacing w:after="0" w:line="90" w:lineRule="exact"/>
        <w:rPr>
          <w:rFonts w:ascii="Times New Roman" w:cs="Times New Roman" w:eastAsia="Times New Roman" w:hAnsi="Times New Roman"/>
          <w:sz w:val="18"/>
          <w:szCs w:val="18"/>
          <w:color w:val="auto"/>
        </w:rPr>
      </w:pPr>
    </w:p>
    <w:p>
      <w:pPr>
        <w:ind w:left="900" w:right="36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38"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exchanged for the cash value of other securities issued by us or by a third party;</w:t>
      </w:r>
    </w:p>
    <w:p>
      <w:pPr>
        <w:spacing w:after="0" w:line="38"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debt securities in uncertificated form; and</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2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39"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3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 of the Debt Securities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92" w:lineRule="exact"/>
        <w:rPr>
          <w:sz w:val="20"/>
          <w:szCs w:val="20"/>
          <w:color w:val="auto"/>
        </w:rPr>
      </w:pPr>
    </w:p>
    <w:p>
      <w:pPr>
        <w:ind w:right="2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attributable debt</w:t>
      </w:r>
      <w:r>
        <w:rPr>
          <w:rFonts w:ascii="Times New Roman" w:cs="Times New Roman" w:eastAsia="Times New Roman" w:hAnsi="Times New Roman"/>
          <w:sz w:val="18"/>
          <w:szCs w:val="18"/>
          <w:color w:val="auto"/>
        </w:rPr>
        <w:t>” in respect of a sale and leaseback transaction means, at the time of determination, the lesser of (1)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33" w:lineRule="exact"/>
        <w:rPr>
          <w:sz w:val="20"/>
          <w:szCs w:val="20"/>
          <w:color w:val="auto"/>
        </w:rPr>
      </w:pPr>
    </w:p>
    <w:p>
      <w:pPr>
        <w:ind w:right="400" w:firstLine="456"/>
        <w:spacing w:after="0" w:line="277"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consolidated net tangible assets</w:t>
      </w:r>
      <w:r>
        <w:rPr>
          <w:rFonts w:ascii="Times New Roman" w:cs="Times New Roman" w:eastAsia="Times New Roman" w:hAnsi="Times New Roman"/>
          <w:sz w:val="18"/>
          <w:szCs w:val="18"/>
          <w:color w:val="auto"/>
        </w:rPr>
        <w:t>”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16" w:lineRule="exact"/>
        <w:rPr>
          <w:sz w:val="20"/>
          <w:szCs w:val="20"/>
          <w:color w:val="auto"/>
        </w:rPr>
      </w:pPr>
    </w:p>
    <w:p>
      <w:pPr>
        <w:ind w:right="180" w:firstLine="456"/>
        <w:spacing w:after="0" w:line="26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funded debt</w:t>
      </w:r>
      <w:r>
        <w:rPr>
          <w:rFonts w:ascii="Times New Roman" w:cs="Times New Roman" w:eastAsia="Times New Roman" w:hAnsi="Times New Roman"/>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27"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intangible assets</w:t>
      </w:r>
      <w:r>
        <w:rPr>
          <w:rFonts w:ascii="Times New Roman" w:cs="Times New Roman" w:eastAsia="Times New Roman" w:hAnsi="Times New Roman"/>
          <w:sz w:val="18"/>
          <w:szCs w:val="18"/>
          <w:color w:val="auto"/>
        </w:rPr>
        <w:t>”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33" w:lineRule="exact"/>
        <w:rPr>
          <w:sz w:val="20"/>
          <w:szCs w:val="20"/>
          <w:color w:val="auto"/>
        </w:rPr>
      </w:pPr>
    </w:p>
    <w:p>
      <w:pPr>
        <w:jc w:val="both"/>
        <w:ind w:right="560" w:firstLine="456"/>
        <w:spacing w:after="0" w:line="26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net rental payments</w:t>
      </w:r>
      <w:r>
        <w:rPr>
          <w:rFonts w:ascii="Times New Roman" w:cs="Times New Roman" w:eastAsia="Times New Roman" w:hAnsi="Times New Roman"/>
          <w:sz w:val="18"/>
          <w:szCs w:val="18"/>
          <w:color w:val="auto"/>
        </w:rPr>
        <w:t>”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27" w:lineRule="exact"/>
        <w:rPr>
          <w:sz w:val="20"/>
          <w:szCs w:val="20"/>
          <w:color w:val="auto"/>
        </w:rPr>
      </w:pPr>
    </w:p>
    <w:p>
      <w:pPr>
        <w:ind w:right="40" w:firstLine="456"/>
        <w:spacing w:after="0" w:line="312" w:lineRule="auto"/>
        <w:rPr>
          <w:sz w:val="20"/>
          <w:szCs w:val="20"/>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b w:val="1"/>
          <w:bCs w:val="1"/>
          <w:color w:val="auto"/>
        </w:rPr>
        <w:t>principal manufacturing property</w:t>
      </w:r>
      <w:r>
        <w:rPr>
          <w:rFonts w:ascii="Times New Roman" w:cs="Times New Roman" w:eastAsia="Times New Roman" w:hAnsi="Times New Roman"/>
          <w:sz w:val="16"/>
          <w:szCs w:val="16"/>
          <w:color w:val="auto"/>
        </w:rPr>
        <w:t>”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Restrictions on Liens</w:t>
      </w:r>
      <w:r>
        <w:rPr>
          <w:rFonts w:ascii="Times New Roman" w:cs="Times New Roman" w:eastAsia="Times New Roman" w:hAnsi="Times New Roman"/>
          <w:sz w:val="18"/>
          <w:szCs w:val="18"/>
          <w:color w:val="auto"/>
        </w:rPr>
        <w:t>. The indenture provides that, unless as may otherwise be indicated by resolution of our board of directors, officer’s certificate, 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we will not issue or assume any debt for money borrowed (which, including guarantees of debt for borrowed money, we refer 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debt</w:t>
      </w:r>
      <w:r>
        <w:rPr>
          <w:rFonts w:ascii="Times New Roman" w:cs="Times New Roman" w:eastAsia="Times New Roman" w:hAnsi="Times New Roman"/>
          <w:sz w:val="16"/>
          <w:szCs w:val="16"/>
          <w:color w:val="auto"/>
        </w:rPr>
        <w:t>”), if the debt is secured by a mortgage, pledge, lien or other encumbrance (which we refer to as a “</w:t>
      </w:r>
      <w:r>
        <w:rPr>
          <w:rFonts w:ascii="Times New Roman" w:cs="Times New Roman" w:eastAsia="Times New Roman" w:hAnsi="Times New Roman"/>
          <w:sz w:val="16"/>
          <w:szCs w:val="16"/>
          <w:b w:val="1"/>
          <w:bCs w:val="1"/>
          <w:color w:val="auto"/>
        </w:rPr>
        <w:t>mortgage</w:t>
      </w:r>
      <w:r>
        <w:rPr>
          <w:rFonts w:ascii="Times New Roman" w:cs="Times New Roman" w:eastAsia="Times New Roman" w:hAnsi="Times New Roman"/>
          <w:sz w:val="16"/>
          <w:szCs w:val="16"/>
          <w:color w:val="auto"/>
        </w:rPr>
        <w:t>”) upon any principal manufacturing property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such principal manufacturing property is now owned or subsequently</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1" w:lineRule="exact"/>
        <w:rPr>
          <w:sz w:val="20"/>
          <w:szCs w:val="20"/>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as of the closing date of the offering of the relevant series of debt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or within 120 days after acquisition of the property and certain purchase money mortgages;</w:t>
      </w:r>
    </w:p>
    <w:p>
      <w:pPr>
        <w:spacing w:after="0" w:line="90"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an entity existing at the time that entity is merged into or consolidated with us or substantially all the assets of which are acquired by us;</w:t>
      </w:r>
    </w:p>
    <w:p>
      <w:pPr>
        <w:spacing w:after="0" w:line="38" w:lineRule="exact"/>
        <w:rPr>
          <w:rFonts w:ascii="Times New Roman" w:cs="Times New Roman" w:eastAsia="Times New Roman" w:hAnsi="Times New Roman"/>
          <w:sz w:val="18"/>
          <w:szCs w:val="18"/>
          <w:color w:val="auto"/>
        </w:rPr>
      </w:pPr>
    </w:p>
    <w:p>
      <w:pPr>
        <w:jc w:val="both"/>
        <w:ind w:left="900" w:right="220" w:hanging="325"/>
        <w:spacing w:after="0" w:line="26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for the purpose of financing all or any part of the purchase price or the cost of construction of the property subject to the mortgages;</w:t>
      </w:r>
    </w:p>
    <w:p>
      <w:pPr>
        <w:spacing w:after="0" w:line="51"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for taxes, assessments or other governmental charges not yet due or payable or subject to penalties for non-payment or which are being contested in good faith by appropriate proceedings;</w:t>
      </w:r>
    </w:p>
    <w:p>
      <w:pPr>
        <w:spacing w:after="0" w:line="38" w:lineRule="exact"/>
        <w:rPr>
          <w:rFonts w:ascii="Times New Roman" w:cs="Times New Roman" w:eastAsia="Times New Roman" w:hAnsi="Times New Roman"/>
          <w:sz w:val="18"/>
          <w:szCs w:val="18"/>
          <w:color w:val="auto"/>
        </w:rPr>
      </w:pPr>
    </w:p>
    <w:p>
      <w:pPr>
        <w:ind w:left="900" w:right="320" w:hanging="325"/>
        <w:spacing w:after="0" w:line="275"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38" w:lineRule="exact"/>
        <w:rPr>
          <w:rFonts w:ascii="Times New Roman" w:cs="Times New Roman" w:eastAsia="Times New Roman" w:hAnsi="Times New Roman"/>
          <w:sz w:val="18"/>
          <w:szCs w:val="18"/>
          <w:color w:val="auto"/>
        </w:rPr>
      </w:pPr>
    </w:p>
    <w:p>
      <w:pPr>
        <w:ind w:left="900" w:hanging="325"/>
        <w:spacing w:after="0" w:line="25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57" w:lineRule="exact"/>
        <w:rPr>
          <w:rFonts w:ascii="Times New Roman" w:cs="Times New Roman" w:eastAsia="Times New Roman" w:hAnsi="Times New Roman"/>
          <w:sz w:val="18"/>
          <w:szCs w:val="18"/>
          <w:color w:val="auto"/>
        </w:rPr>
      </w:pPr>
    </w:p>
    <w:p>
      <w:pPr>
        <w:ind w:left="900" w:right="200" w:hanging="325"/>
        <w:spacing w:after="0" w:line="275"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bullet points above.</w:t>
      </w:r>
    </w:p>
    <w:p>
      <w:pPr>
        <w:spacing w:after="0" w:line="118" w:lineRule="exact"/>
        <w:rPr>
          <w:sz w:val="20"/>
          <w:szCs w:val="20"/>
          <w:color w:val="auto"/>
        </w:rPr>
      </w:pPr>
    </w:p>
    <w:p>
      <w:pPr>
        <w:jc w:val="both"/>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Restrictions on Sale and Leaseback Transactions</w:t>
      </w:r>
      <w:r>
        <w:rPr>
          <w:rFonts w:ascii="Times New Roman" w:cs="Times New Roman" w:eastAsia="Times New Roman" w:hAnsi="Times New Roman"/>
          <w:sz w:val="18"/>
          <w:szCs w:val="18"/>
          <w:color w:val="auto"/>
        </w:rPr>
        <w:t>. The indenture provides that, unless as may otherwise be indicated by resolution of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certificate, or supplemental indenture, we will not enter into any lease longer than three years covering any principal manufacturing property that is sold to any other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54" w:lineRule="exact"/>
        <w:rPr>
          <w:sz w:val="20"/>
          <w:szCs w:val="20"/>
          <w:color w:val="auto"/>
        </w:rPr>
      </w:pPr>
    </w:p>
    <w:p>
      <w:pPr>
        <w:ind w:left="900" w:right="80" w:hanging="325"/>
        <w:spacing w:after="0" w:line="258"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pursuant to the “Restrictions on Liens”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55" w:lineRule="exact"/>
        <w:rPr>
          <w:rFonts w:ascii="Times New Roman" w:cs="Times New Roman" w:eastAsia="Times New Roman" w:hAnsi="Times New Roman"/>
          <w:sz w:val="18"/>
          <w:szCs w:val="18"/>
          <w:color w:val="auto"/>
        </w:rPr>
      </w:pPr>
    </w:p>
    <w:p>
      <w:pPr>
        <w:ind w:left="900" w:right="66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38"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sale and leaseback transaction and we elect to designate such amount as a credit against such transaction, or</w:t>
      </w:r>
    </w:p>
    <w:p>
      <w:pPr>
        <w:spacing w:after="0" w:line="90" w:lineRule="exact"/>
        <w:rPr>
          <w:rFonts w:ascii="Times New Roman" w:cs="Times New Roman" w:eastAsia="Times New Roman" w:hAnsi="Times New Roman"/>
          <w:sz w:val="18"/>
          <w:szCs w:val="18"/>
          <w:color w:val="auto"/>
        </w:rPr>
      </w:pPr>
    </w:p>
    <w:p>
      <w:pPr>
        <w:ind w:left="1480" w:right="180" w:hanging="446"/>
        <w:spacing w:after="0" w:line="275" w:lineRule="auto"/>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20" w:hanging="325"/>
        <w:spacing w:after="0" w:line="26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3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Exempted Debt</w:t>
      </w:r>
      <w:r>
        <w:rPr>
          <w:rFonts w:ascii="Times New Roman" w:cs="Times New Roman" w:eastAsia="Times New Roman" w:hAnsi="Times New Roman"/>
          <w:sz w:val="18"/>
          <w:szCs w:val="18"/>
          <w:color w:val="auto"/>
        </w:rPr>
        <w:t>. The indenture provides that, notwithstanding the restrictions on mortgages and sale and leaseback transactions described above, we may,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w:t>
      </w:r>
      <w:r>
        <w:rPr>
          <w:rFonts w:ascii="Times New Roman" w:cs="Times New Roman" w:eastAsia="Times New Roman" w:hAnsi="Times New Roman"/>
          <w:sz w:val="18"/>
          <w:szCs w:val="18"/>
          <w:b w:val="1"/>
          <w:bCs w:val="1"/>
          <w:color w:val="auto"/>
        </w:rPr>
        <w:t>exempted debt</w:t>
      </w:r>
      <w:r>
        <w:rPr>
          <w:rFonts w:ascii="Times New Roman" w:cs="Times New Roman" w:eastAsia="Times New Roman" w:hAnsi="Times New Roman"/>
          <w:sz w:val="18"/>
          <w:szCs w:val="18"/>
          <w:color w:val="auto"/>
        </w:rPr>
        <w:t>”) does not exceed 15% of consolidated net tangible assets.</w:t>
      </w:r>
    </w:p>
    <w:p>
      <w:pPr>
        <w:spacing w:after="0" w:line="139" w:lineRule="exact"/>
        <w:rPr>
          <w:sz w:val="20"/>
          <w:szCs w:val="20"/>
          <w:color w:val="auto"/>
        </w:rPr>
      </w:pPr>
    </w:p>
    <w:p>
      <w:pPr>
        <w:ind w:right="4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Consolidation, Merger and Sale or Conveyance</w:t>
      </w:r>
      <w:r>
        <w:rPr>
          <w:rFonts w:ascii="Times New Roman" w:cs="Times New Roman" w:eastAsia="Times New Roman" w:hAnsi="Times New Roman"/>
          <w:sz w:val="18"/>
          <w:szCs w:val="18"/>
          <w:color w:val="auto"/>
        </w:rPr>
        <w:t>. We may not consolidate with, merge with or into, or sell, or convey (including by way of lease) all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our assets to any person or permit any person to merge with or into us unless:</w:t>
      </w:r>
    </w:p>
    <w:p>
      <w:pPr>
        <w:spacing w:after="0" w:line="37" w:lineRule="exact"/>
        <w:rPr>
          <w:sz w:val="20"/>
          <w:szCs w:val="20"/>
          <w:color w:val="auto"/>
        </w:rPr>
      </w:pPr>
    </w:p>
    <w:p>
      <w:pPr>
        <w:ind w:left="900" w:right="20" w:hanging="325"/>
        <w:spacing w:after="0" w:line="25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continuing person or the person formed by such consolidation or into which we are merged or that acquired or leased our property and assets shall be a corporation or entity organized and validly existing under the laws of the United States of America or any jurisdiction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5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and</w:t>
      </w:r>
    </w:p>
    <w:p>
      <w:pPr>
        <w:spacing w:after="0" w:line="90" w:lineRule="exact"/>
        <w:rPr>
          <w:rFonts w:ascii="Times New Roman" w:cs="Times New Roman" w:eastAsia="Times New Roman" w:hAnsi="Times New Roman"/>
          <w:sz w:val="18"/>
          <w:szCs w:val="18"/>
          <w:color w:val="auto"/>
        </w:rPr>
      </w:pPr>
    </w:p>
    <w:p>
      <w:pPr>
        <w:jc w:val="both"/>
        <w:ind w:left="900" w:right="80" w:hanging="325"/>
        <w:spacing w:after="0" w:line="26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in the bullets above shall not be applicable to:</w:t>
      </w:r>
    </w:p>
    <w:p>
      <w:pPr>
        <w:spacing w:after="0" w:line="90" w:lineRule="exact"/>
        <w:rPr>
          <w:sz w:val="20"/>
          <w:szCs w:val="20"/>
          <w:color w:val="auto"/>
        </w:rPr>
      </w:pPr>
    </w:p>
    <w:p>
      <w:pPr>
        <w:ind w:left="900" w:right="34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38"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2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 event of default for any series of debt securities is defined under the indenture as being:</w:t>
      </w:r>
    </w:p>
    <w:p>
      <w:pPr>
        <w:spacing w:after="0" w:line="90" w:lineRule="exact"/>
        <w:rPr>
          <w:sz w:val="20"/>
          <w:szCs w:val="20"/>
          <w:color w:val="auto"/>
        </w:rPr>
      </w:pPr>
    </w:p>
    <w:p>
      <w:pPr>
        <w:ind w:left="900" w:hanging="325"/>
        <w:spacing w:after="0" w:line="334" w:lineRule="auto"/>
        <w:tabs>
          <w:tab w:leader="none" w:pos="9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spacing w:after="0" w:line="1"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interest on any debt securities of such series when due and payable, if that default continues for a period of 30 days;</w:t>
      </w:r>
    </w:p>
    <w:p>
      <w:pPr>
        <w:spacing w:after="0" w:line="90" w:lineRule="exact"/>
        <w:rPr>
          <w:rFonts w:ascii="Times New Roman" w:cs="Times New Roman" w:eastAsia="Times New Roman" w:hAnsi="Times New Roman"/>
          <w:sz w:val="18"/>
          <w:szCs w:val="18"/>
          <w:color w:val="auto"/>
        </w:rPr>
      </w:pPr>
    </w:p>
    <w:p>
      <w:pPr>
        <w:ind w:left="900" w:right="140" w:hanging="325"/>
        <w:spacing w:after="0" w:line="258"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for in such series of debt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us in an involuntary case under any applicable bankruptcy, insolvency, or other similar law now or hereafter in effect;</w:t>
      </w:r>
    </w:p>
    <w:p>
      <w:pPr>
        <w:spacing w:after="0" w:line="90" w:lineRule="exact"/>
        <w:rPr>
          <w:rFonts w:ascii="Times New Roman" w:cs="Times New Roman" w:eastAsia="Times New Roman" w:hAnsi="Times New Roman"/>
          <w:sz w:val="18"/>
          <w:szCs w:val="18"/>
          <w:color w:val="auto"/>
        </w:rPr>
      </w:pPr>
    </w:p>
    <w:p>
      <w:pPr>
        <w:ind w:left="1480" w:right="260" w:hanging="446"/>
        <w:spacing w:after="0" w:line="275" w:lineRule="auto"/>
        <w:tabs>
          <w:tab w:leader="none" w:pos="14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us or for all or substantially all of our property and assets; or</w:t>
      </w:r>
    </w:p>
    <w:p>
      <w:pPr>
        <w:spacing w:after="0" w:line="38" w:lineRule="exact"/>
        <w:rPr>
          <w:rFonts w:ascii="Times New Roman" w:cs="Times New Roman" w:eastAsia="Times New Roman" w:hAnsi="Times New Roman"/>
          <w:sz w:val="18"/>
          <w:szCs w:val="18"/>
          <w:color w:val="auto"/>
        </w:rPr>
      </w:pPr>
    </w:p>
    <w:p>
      <w:pPr>
        <w:ind w:left="1480" w:right="100" w:hanging="446"/>
        <w:spacing w:after="0" w:line="275" w:lineRule="auto"/>
        <w:tabs>
          <w:tab w:leader="none" w:pos="14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our affairs and such decree or order shall remain unstayed and in effect for a period of 60 consecutive days;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w:t>
      </w:r>
    </w:p>
    <w:p>
      <w:pPr>
        <w:spacing w:after="0" w:line="90" w:lineRule="exact"/>
        <w:rPr>
          <w:rFonts w:ascii="Times New Roman" w:cs="Times New Roman" w:eastAsia="Times New Roman" w:hAnsi="Times New Roman"/>
          <w:sz w:val="18"/>
          <w:szCs w:val="18"/>
          <w:color w:val="auto"/>
        </w:rPr>
      </w:pPr>
    </w:p>
    <w:p>
      <w:pPr>
        <w:ind w:left="1480" w:right="260" w:hanging="446"/>
        <w:spacing w:after="0" w:line="275" w:lineRule="auto"/>
        <w:tabs>
          <w:tab w:leader="none" w:pos="14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38" w:lineRule="exact"/>
        <w:rPr>
          <w:rFonts w:ascii="Times New Roman" w:cs="Times New Roman" w:eastAsia="Times New Roman" w:hAnsi="Times New Roman"/>
          <w:sz w:val="18"/>
          <w:szCs w:val="18"/>
          <w:color w:val="auto"/>
        </w:rPr>
      </w:pPr>
    </w:p>
    <w:p>
      <w:pPr>
        <w:ind w:left="1480" w:right="220" w:hanging="446"/>
        <w:spacing w:after="0" w:line="275" w:lineRule="auto"/>
        <w:tabs>
          <w:tab w:leader="none" w:pos="14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38"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default by us under any other debt, including any other series of debt securities, is not a default under the indenture.</w:t>
      </w:r>
    </w:p>
    <w:p>
      <w:pPr>
        <w:spacing w:after="0" w:line="17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39"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3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2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4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58" w:lineRule="exact"/>
        <w:rPr>
          <w:sz w:val="20"/>
          <w:szCs w:val="20"/>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debt securities make a written request to the trustee to pursue the remedy in respect of such event of default;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90"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debt securities do not give the trustee a direction that is inconsistent with the request.</w:t>
      </w:r>
    </w:p>
    <w:p>
      <w:pPr>
        <w:spacing w:after="0" w:line="12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455" w:right="2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9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indenture provides that, unless the terms of any series of debt securities provides otherwise, we may discharge our obligations with respect to an issue of debt securities and the indenture with respect to such series of debt securities if:</w:t>
      </w:r>
    </w:p>
    <w:p>
      <w:pPr>
        <w:spacing w:after="0" w:line="39" w:lineRule="exact"/>
        <w:rPr>
          <w:sz w:val="20"/>
          <w:szCs w:val="20"/>
          <w:color w:val="auto"/>
        </w:rPr>
      </w:pPr>
    </w:p>
    <w:p>
      <w:pPr>
        <w:ind w:left="900" w:right="480" w:hanging="325"/>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or cause to be paid, as and when due and payable, the principal of and any interest on all securities of such series outstanding under the indenture; or</w:t>
      </w:r>
    </w:p>
    <w:p>
      <w:pPr>
        <w:spacing w:after="0" w:line="38"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with certain exceptions, have been delivered to the trustee for cancellation and we have paid all sums payable by us under the indenture; or</w:t>
      </w:r>
    </w:p>
    <w:p>
      <w:pPr>
        <w:spacing w:after="0" w:line="38" w:lineRule="exact"/>
        <w:rPr>
          <w:rFonts w:ascii="Times New Roman" w:cs="Times New Roman" w:eastAsia="Times New Roman" w:hAnsi="Times New Roman"/>
          <w:sz w:val="18"/>
          <w:szCs w:val="18"/>
          <w:color w:val="auto"/>
        </w:rPr>
      </w:pPr>
    </w:p>
    <w:p>
      <w:pPr>
        <w:ind w:left="900" w:right="60" w:hanging="325"/>
        <w:spacing w:after="0" w:line="254"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after payment of all federal, state and local taxes or other charges and assessments in respect thereof payable by the trustee, to pay principal of and interest on the debt securities of such series to maturity or redemption, as the case may be, and to pay all other sums payable by us under the indenture.</w:t>
      </w:r>
    </w:p>
    <w:p>
      <w:pPr>
        <w:spacing w:after="0" w:line="14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rights and obligations under the indenture (such as our obligation to maintain an office or agency in respect of such debt securities, to have moneys held for payment in trust, to register the transfer or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Thereafter, only our obligations to compensate and indemnify the trustee, and our right to recover unclaimed money held by the trustee shall survive.</w:t>
      </w:r>
    </w:p>
    <w:p>
      <w:pPr>
        <w:spacing w:after="0" w:line="139" w:lineRule="exact"/>
        <w:rPr>
          <w:sz w:val="20"/>
          <w:szCs w:val="20"/>
          <w:color w:val="auto"/>
        </w:rPr>
      </w:pPr>
    </w:p>
    <w:p>
      <w:pPr>
        <w:jc w:val="both"/>
        <w:ind w:firstLine="456"/>
        <w:spacing w:after="0" w:line="310" w:lineRule="auto"/>
        <w:rPr>
          <w:sz w:val="20"/>
          <w:szCs w:val="20"/>
          <w:color w:val="auto"/>
        </w:rPr>
      </w:pPr>
      <w:r>
        <w:rPr>
          <w:rFonts w:ascii="Times New Roman" w:cs="Times New Roman" w:eastAsia="Times New Roman" w:hAnsi="Times New Roman"/>
          <w:sz w:val="16"/>
          <w:szCs w:val="16"/>
          <w:color w:val="auto"/>
        </w:rPr>
        <w:t>Unless the terms of any series of debt securities provide otherwise, on the 121st day after the date of deposit of the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w:t>
      </w:r>
      <w:r>
        <w:rPr>
          <w:rFonts w:ascii="Times New Roman" w:cs="Times New Roman" w:eastAsia="Times New Roman" w:hAnsi="Times New Roman"/>
          <w:sz w:val="16"/>
          <w:szCs w:val="16"/>
          <w:b w:val="1"/>
          <w:bCs w:val="1"/>
          <w:color w:val="auto"/>
        </w:rPr>
        <w:t>legal defeasance</w:t>
      </w:r>
      <w:r>
        <w:rPr>
          <w:rFonts w:ascii="Times New Roman" w:cs="Times New Roman" w:eastAsia="Times New Roman" w:hAnsi="Times New Roman"/>
          <w:sz w:val="16"/>
          <w:szCs w:val="16"/>
          <w:color w:val="auto"/>
        </w:rPr>
        <w:t>”); provided that the following conditions shall have been satisfied:</w:t>
      </w:r>
    </w:p>
    <w:p>
      <w:pPr>
        <w:spacing w:after="0" w:line="16" w:lineRule="exact"/>
        <w:rPr>
          <w:sz w:val="20"/>
          <w:szCs w:val="20"/>
          <w:color w:val="auto"/>
        </w:rPr>
      </w:pPr>
    </w:p>
    <w:p>
      <w:pPr>
        <w:ind w:left="900" w:right="100" w:hanging="325"/>
        <w:spacing w:after="0" w:line="254"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57"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material agreement or instrument to which we are a party or by which we are bound;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debt securities of such series shall have occurred and be continuing on the date of such deposit;</w:t>
      </w:r>
    </w:p>
    <w:p>
      <w:pPr>
        <w:spacing w:after="0" w:line="90" w:lineRule="exact"/>
        <w:rPr>
          <w:rFonts w:ascii="Times New Roman" w:cs="Times New Roman" w:eastAsia="Times New Roman" w:hAnsi="Times New Roman"/>
          <w:sz w:val="18"/>
          <w:szCs w:val="18"/>
          <w:color w:val="auto"/>
        </w:rPr>
      </w:pPr>
    </w:p>
    <w:p>
      <w:pPr>
        <w:ind w:left="900" w:right="120" w:hanging="325"/>
        <w:spacing w:after="0" w:line="258"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officers’ certificate and an opinion of counsel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or a ruling by the Internal Revenue Service to the same effect; and</w:t>
      </w:r>
    </w:p>
    <w:p>
      <w:pPr>
        <w:spacing w:after="0" w:line="55"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w:t>
      </w:r>
    </w:p>
    <w:p>
      <w:pPr>
        <w:spacing w:after="0" w:line="12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Subsequent to the legal defeasance above, certain rights and obligations under the indenture (such as our obligation to maintain an office or agency in respect of such debt securities, to have moneys held for payment in trust, to register the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After such debt securities are no longer outstanding, only our obligations to compensate and indemnify the trustee and our right to recover unclaimed money held by the trustee shall survive.</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the trustee may amend or supplement the indenture or the debt securities without the consent of any holder:</w:t>
      </w:r>
    </w:p>
    <w:p>
      <w:pPr>
        <w:spacing w:after="0" w:line="90"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mortgage or pledge any assets as security for the securities of one or more series;</w:t>
      </w:r>
    </w:p>
    <w:p>
      <w:pPr>
        <w:spacing w:after="0" w:line="90" w:lineRule="exact"/>
        <w:rPr>
          <w:rFonts w:ascii="Times New Roman" w:cs="Times New Roman" w:eastAsia="Times New Roman" w:hAnsi="Times New Roman"/>
          <w:sz w:val="18"/>
          <w:szCs w:val="18"/>
          <w:color w:val="auto"/>
        </w:rPr>
      </w:pPr>
    </w:p>
    <w:p>
      <w:pPr>
        <w:ind w:left="900" w:right="66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corporation of our covenants, agreements and obligations under the indenture;</w:t>
      </w:r>
    </w:p>
    <w:p>
      <w:pPr>
        <w:spacing w:after="0" w:line="38" w:lineRule="exact"/>
        <w:rPr>
          <w:rFonts w:ascii="Times New Roman" w:cs="Times New Roman" w:eastAsia="Times New Roman" w:hAnsi="Times New Roman"/>
          <w:sz w:val="18"/>
          <w:szCs w:val="18"/>
          <w:color w:val="auto"/>
        </w:rPr>
      </w:pPr>
    </w:p>
    <w:p>
      <w:pPr>
        <w:jc w:val="both"/>
        <w:ind w:left="900" w:right="300" w:hanging="325"/>
        <w:spacing w:after="0" w:line="26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any supplemental indenture; provided that such amendments or supplements shall not adversely affect the interests of the holders of the debt securities of any series in any material respect, or to conform the indenture or the debt securities to the description of debt securities of such series set forth in this prospectus or a prospectus supplement;</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under “—Certain Covenants —Consolidation, Merger and Sale or Conveyance”;</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debt securities as permitted by the indenture;</w:t>
      </w:r>
    </w:p>
    <w:p>
      <w:pPr>
        <w:spacing w:after="0" w:line="90" w:lineRule="exact"/>
        <w:rPr>
          <w:rFonts w:ascii="Times New Roman" w:cs="Times New Roman" w:eastAsia="Times New Roman" w:hAnsi="Times New Roman"/>
          <w:sz w:val="18"/>
          <w:szCs w:val="18"/>
          <w:color w:val="auto"/>
        </w:rPr>
      </w:pPr>
    </w:p>
    <w:p>
      <w:pPr>
        <w:ind w:left="900" w:right="66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is necessary or desirable provided that such change shall not adversely affect the interests of the holders of the debt securities of any series in any material respect;</w:t>
      </w:r>
    </w:p>
    <w:p>
      <w:pPr>
        <w:spacing w:after="0" w:line="38" w:lineRule="exact"/>
        <w:rPr>
          <w:rFonts w:ascii="Times New Roman" w:cs="Times New Roman" w:eastAsia="Times New Roman" w:hAnsi="Times New Roman"/>
          <w:sz w:val="18"/>
          <w:szCs w:val="18"/>
          <w:color w:val="auto"/>
        </w:rPr>
      </w:pPr>
    </w:p>
    <w:p>
      <w:pPr>
        <w:ind w:left="900" w:right="240" w:hanging="325"/>
        <w:spacing w:after="0" w:line="334" w:lineRule="auto"/>
        <w:tabs>
          <w:tab w:leader="none" w:pos="9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debt securities of any series so long as no debt securities of such series are outstanding.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55" w:lineRule="exact"/>
        <w:rPr>
          <w:sz w:val="20"/>
          <w:szCs w:val="20"/>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stated maturity of the principal of, or any installment of interest on, any debt securities of such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 premium, if any, or interest on, any debt securities of such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place or currency of payment of principal of, or premium, if any, or interest on, any debt securities of such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for calculating the optional redemption price, including the definitions relating thereto;</w:t>
      </w:r>
    </w:p>
    <w:p>
      <w:pPr>
        <w:spacing w:after="0" w:line="90"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relating to the waiver of past defaults or changes or impairs the right of holders to receive payment or to institute suit for the enforcement of any payment of any debt securities of such series on or after the due date therefor;</w:t>
      </w:r>
    </w:p>
    <w:p>
      <w:pPr>
        <w:spacing w:after="0" w:line="38"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default in the payment of principal of or interest on the debt securities;</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affects the rights of such holder under any mandatory redemption or repurchase provision or any right of redemption or repurchase at the option of such holder; or</w:t>
      </w:r>
    </w:p>
    <w:p>
      <w:pPr>
        <w:spacing w:after="0" w:line="38"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this paragraph, except to increase any required percentage or to provide that certain other provisions cannot be modified or waived without the consent of the holder of each debt security of such series affected by the modification.</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w:t>
      </w:r>
    </w:p>
    <w:p>
      <w:pPr>
        <w:spacing w:after="0" w:line="9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indenture provides that no recourse shall be had under or upon any obligation, covenant, or agreement of ours in the indenture or any supplemental indenture, or in any of the debt securities or because of the creation of any indebtedness represented thereby, against any incorporator, stockholder, officer,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9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20"/>
          </w:cols>
          <w:pgMar w:left="240" w:top="455"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degree of care and skill in its exercise as a prudent person would exercise under the circumstances in the conduct of such person’s own affairs.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indenture in the ordinary course of business.</w:t>
      </w: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73"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455" w:right="29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9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warrants and units in the form of one or more fully registered global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41"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7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39" w:lineRule="exact"/>
        <w:rPr>
          <w:sz w:val="20"/>
          <w:szCs w:val="20"/>
          <w:color w:val="auto"/>
        </w:rPr>
      </w:pPr>
    </w:p>
    <w:p>
      <w:pPr>
        <w:ind w:right="140" w:firstLine="456"/>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3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39"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the following manner or any manner specified in a prospectus supplement:</w:t>
      </w:r>
    </w:p>
    <w:p>
      <w:pPr>
        <w:spacing w:after="0" w:line="90" w:lineRule="exact"/>
        <w:rPr>
          <w:sz w:val="20"/>
          <w:szCs w:val="20"/>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7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39" w:lineRule="exact"/>
        <w:rPr>
          <w:sz w:val="20"/>
          <w:szCs w:val="20"/>
          <w:color w:val="auto"/>
        </w:rPr>
      </w:pPr>
    </w:p>
    <w:p>
      <w:pPr>
        <w:ind w:right="400" w:firstLine="456"/>
        <w:spacing w:after="0" w:line="262"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32" w:lineRule="exact"/>
        <w:rPr>
          <w:sz w:val="20"/>
          <w:szCs w:val="20"/>
          <w:color w:val="auto"/>
        </w:rPr>
      </w:pPr>
    </w:p>
    <w:p>
      <w:pPr>
        <w:jc w:val="both"/>
        <w:ind w:right="120" w:firstLine="456"/>
        <w:spacing w:after="0" w:line="275"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0"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3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8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validity of the securities in respect of which this prospectus is being delivered will be passed on for us by Davis Polk &amp; Wardwell LLP.</w:t>
      </w: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incorporated by reference in our Annual Report on Form 10-K for the year ended December 31, 2012, and the effectiveness of our internal control over financial reporting as of December 31, 2012, as set forth in their reports, which are incorporated by reference in this prospectus and elsewhere in the registration statement. Our financial statements and our management’s assessment of the effectiveness of internal control over financial reporting as of December 31, 2012, are incorporated by reference in reliance on Ernst &amp; Young LLP’s reports, given on their authority as experts in accounting and auditing.</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40"/>
          </w:cols>
          <w:pgMar w:left="240" w:top="455" w:right="3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739775</wp:posOffset>
            </wp:positionV>
            <wp:extent cx="2864485" cy="660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26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32"/>
                <w:szCs w:val="32"/>
                <w:b w:val="1"/>
                <w:bCs w:val="1"/>
                <w:color w:val="auto"/>
              </w:rPr>
              <w:t>$</w:t>
            </w:r>
          </w:p>
        </w:tc>
        <w:tc>
          <w:tcPr>
            <w:tcW w:w="3760" w:type="dxa"/>
            <w:vAlign w:val="bottom"/>
            <w:gridSpan w:val="3"/>
          </w:tcPr>
          <w:p>
            <w:pPr>
              <w:ind w:left="540"/>
              <w:spacing w:after="0"/>
              <w:rPr>
                <w:sz w:val="20"/>
                <w:szCs w:val="20"/>
                <w:color w:val="auto"/>
              </w:rPr>
            </w:pPr>
            <w:r>
              <w:rPr>
                <w:rFonts w:ascii="Times New Roman" w:cs="Times New Roman" w:eastAsia="Times New Roman" w:hAnsi="Times New Roman"/>
                <w:sz w:val="32"/>
                <w:szCs w:val="32"/>
                <w:b w:val="1"/>
                <w:bCs w:val="1"/>
                <w:color w:val="auto"/>
              </w:rPr>
              <w:t>% Notes due 20</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680" w:type="dxa"/>
            <w:vAlign w:val="bottom"/>
          </w:tcPr>
          <w:p>
            <w:pPr>
              <w:spacing w:after="0"/>
              <w:rPr>
                <w:sz w:val="17"/>
                <w:szCs w:val="17"/>
                <w:color w:val="auto"/>
              </w:rPr>
            </w:pPr>
          </w:p>
        </w:tc>
        <w:tc>
          <w:tcPr>
            <w:tcW w:w="2460" w:type="dxa"/>
            <w:vAlign w:val="bottom"/>
            <w:gridSpan w:val="2"/>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2680" w:type="dxa"/>
            <w:vAlign w:val="bottom"/>
          </w:tcPr>
          <w:p>
            <w:pPr>
              <w:spacing w:after="0"/>
              <w:rPr>
                <w:sz w:val="24"/>
                <w:szCs w:val="24"/>
                <w:color w:val="auto"/>
              </w:rPr>
            </w:pPr>
          </w:p>
        </w:tc>
        <w:tc>
          <w:tcPr>
            <w:tcW w:w="5580" w:type="dxa"/>
            <w:vAlign w:val="bottom"/>
            <w:gridSpan w:val="4"/>
          </w:tcPr>
          <w:p>
            <w:pPr>
              <w:jc w:val="center"/>
              <w:ind w:left="363"/>
              <w:spacing w:after="0"/>
              <w:rPr>
                <w:sz w:val="20"/>
                <w:szCs w:val="20"/>
                <w:color w:val="auto"/>
              </w:rPr>
            </w:pPr>
            <w:r>
              <w:rPr>
                <w:rFonts w:ascii="Times New Roman" w:cs="Times New Roman" w:eastAsia="Times New Roman" w:hAnsi="Times New Roman"/>
                <w:sz w:val="18"/>
                <w:szCs w:val="18"/>
                <w:b w:val="1"/>
                <w:bCs w:val="1"/>
                <w:color w:val="auto"/>
                <w:w w:val="97"/>
              </w:rPr>
              <w:t>PRELIMINARY PROSPECTUS SUPPLEMENT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2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April   , 2015</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6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680" w:type="dxa"/>
            <w:vAlign w:val="bottom"/>
            <w:vMerge w:val="restart"/>
          </w:tcPr>
          <w:p>
            <w:pPr>
              <w:spacing w:after="0"/>
              <w:rPr>
                <w:sz w:val="20"/>
                <w:szCs w:val="20"/>
                <w:color w:val="auto"/>
              </w:rPr>
            </w:pPr>
            <w:r>
              <w:rPr>
                <w:rFonts w:ascii="Times New Roman" w:cs="Times New Roman" w:eastAsia="Times New Roman" w:hAnsi="Times New Roman"/>
                <w:sz w:val="32"/>
                <w:szCs w:val="32"/>
                <w:b w:val="1"/>
                <w:bCs w:val="1"/>
                <w:color w:val="auto"/>
              </w:rPr>
              <w:t>J.P. Morgan</w:t>
            </w:r>
          </w:p>
        </w:tc>
        <w:tc>
          <w:tcPr>
            <w:tcW w:w="1820" w:type="dxa"/>
            <w:vAlign w:val="bottom"/>
          </w:tcPr>
          <w:p>
            <w:pPr>
              <w:spacing w:after="0"/>
              <w:rPr>
                <w:sz w:val="24"/>
                <w:szCs w:val="24"/>
                <w:color w:val="auto"/>
              </w:rPr>
            </w:pPr>
          </w:p>
        </w:tc>
        <w:tc>
          <w:tcPr>
            <w:tcW w:w="37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i w:val="1"/>
                <w:iCs w:val="1"/>
                <w:color w:val="auto"/>
                <w:w w:val="97"/>
              </w:rPr>
              <w:t>Joint Book-Running Managers</w:t>
            </w:r>
          </w:p>
        </w:tc>
        <w:tc>
          <w:tcPr>
            <w:tcW w:w="316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Morgan Stanley</w:t>
            </w:r>
          </w:p>
        </w:tc>
        <w:tc>
          <w:tcPr>
            <w:tcW w:w="0" w:type="dxa"/>
            <w:vAlign w:val="bottom"/>
          </w:tcPr>
          <w:p>
            <w:pPr>
              <w:spacing w:after="0"/>
              <w:rPr>
                <w:sz w:val="1"/>
                <w:szCs w:val="1"/>
                <w:color w:val="auto"/>
              </w:rPr>
            </w:pPr>
          </w:p>
        </w:tc>
      </w:tr>
      <w:tr>
        <w:trPr>
          <w:trHeight w:val="429"/>
        </w:trPr>
        <w:tc>
          <w:tcPr>
            <w:tcW w:w="268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3760" w:type="dxa"/>
            <w:vAlign w:val="bottom"/>
            <w:gridSpan w:val="3"/>
          </w:tcPr>
          <w:p>
            <w:pPr>
              <w:ind w:left="500"/>
              <w:spacing w:after="0"/>
              <w:rPr>
                <w:sz w:val="20"/>
                <w:szCs w:val="20"/>
                <w:color w:val="auto"/>
              </w:rPr>
            </w:pPr>
            <w:r>
              <w:rPr>
                <w:rFonts w:ascii="Times New Roman" w:cs="Times New Roman" w:eastAsia="Times New Roman" w:hAnsi="Times New Roman"/>
                <w:sz w:val="32"/>
                <w:szCs w:val="32"/>
                <w:b w:val="1"/>
                <w:bCs w:val="1"/>
                <w:color w:val="auto"/>
              </w:rPr>
              <w:t>MUFG</w:t>
            </w: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Citigroup</w:t>
            </w:r>
          </w:p>
        </w:tc>
        <w:tc>
          <w:tcPr>
            <w:tcW w:w="5580" w:type="dxa"/>
            <w:vAlign w:val="bottom"/>
            <w:gridSpan w:val="4"/>
          </w:tcPr>
          <w:p>
            <w:pPr>
              <w:ind w:left="1000"/>
              <w:spacing w:after="0"/>
              <w:rPr>
                <w:sz w:val="20"/>
                <w:szCs w:val="20"/>
                <w:color w:val="auto"/>
              </w:rPr>
            </w:pPr>
            <w:r>
              <w:rPr>
                <w:rFonts w:ascii="Times New Roman" w:cs="Times New Roman" w:eastAsia="Times New Roman" w:hAnsi="Times New Roman"/>
                <w:sz w:val="32"/>
                <w:szCs w:val="32"/>
                <w:b w:val="1"/>
                <w:bCs w:val="1"/>
                <w:color w:val="auto"/>
              </w:rPr>
              <w:t>BofA Merrill Lynch</w:t>
            </w:r>
          </w:p>
        </w:tc>
        <w:tc>
          <w:tcPr>
            <w:tcW w:w="3160" w:type="dxa"/>
            <w:vAlign w:val="bottom"/>
          </w:tcPr>
          <w:p>
            <w:pPr>
              <w:jc w:val="right"/>
              <w:spacing w:after="0"/>
              <w:rPr>
                <w:sz w:val="20"/>
                <w:szCs w:val="20"/>
                <w:color w:val="auto"/>
              </w:rPr>
            </w:pPr>
            <w:r>
              <w:rPr>
                <w:rFonts w:ascii="Times New Roman" w:cs="Times New Roman" w:eastAsia="Times New Roman" w:hAnsi="Times New Roman"/>
                <w:sz w:val="32"/>
                <w:szCs w:val="32"/>
                <w:b w:val="1"/>
                <w:bCs w:val="1"/>
                <w:color w:val="auto"/>
              </w:rPr>
              <w:t>Mizuho Securities</w:t>
            </w:r>
          </w:p>
        </w:tc>
        <w:tc>
          <w:tcPr>
            <w:tcW w:w="0" w:type="dxa"/>
            <w:vAlign w:val="bottom"/>
          </w:tcPr>
          <w:p>
            <w:pPr>
              <w:spacing w:after="0"/>
              <w:rPr>
                <w:sz w:val="1"/>
                <w:szCs w:val="1"/>
                <w:color w:val="auto"/>
              </w:rPr>
            </w:pPr>
          </w:p>
        </w:tc>
      </w:tr>
      <w:tr>
        <w:trPr>
          <w:trHeight w:val="280"/>
        </w:trPr>
        <w:tc>
          <w:tcPr>
            <w:tcW w:w="26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6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lowerRoman"/>
      <w:start w:val="1"/>
    </w:lvl>
  </w:abstractNum>
  <w:abstractNum w:abstractNumId="9">
    <w:nsid w:val="2CA88611"/>
    <w:multiLevelType w:val="hybridMultilevel"/>
    <w:lvl w:ilvl="0">
      <w:lvlJc w:val="left"/>
      <w:lvlText w:val="•"/>
      <w:numFmt w:val="bullet"/>
      <w:start w:val="1"/>
    </w:lvl>
    <w:lvl w:ilvl="1">
      <w:lvlJc w:val="left"/>
      <w:lvlText w:val="(%2)"/>
      <w:numFmt w:val="decimal"/>
      <w:start w:val="1"/>
    </w:lvl>
  </w:abstractNum>
  <w:abstractNum w:abstractNumId="10">
    <w:nsid w:val="836C40E"/>
    <w:multiLevelType w:val="hybridMultilevel"/>
    <w:lvl w:ilvl="0">
      <w:lvlJc w:val="left"/>
      <w:lvlText w:val="(%1)"/>
      <w:numFmt w:val="decimal"/>
      <w:start w:val="2"/>
    </w:lvl>
  </w:abstractNum>
  <w:abstractNum w:abstractNumId="11">
    <w:nsid w:val="2901D82"/>
    <w:multiLevelType w:val="hybridMultilevel"/>
    <w:lvl w:ilvl="0">
      <w:lvlJc w:val="left"/>
      <w:lvlText w:val="•"/>
      <w:numFmt w:val="bullet"/>
      <w:start w:val="1"/>
    </w:lvl>
    <w:lvl w:ilvl="1">
      <w:lvlJc w:val="left"/>
      <w:lvlText w:val="(%2)"/>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lowerRoman"/>
      <w:start w:val="3"/>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lvl w:ilvl="1">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lvl w:ilvl="1">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2019-12-05T16:04:26Z</dcterms:created>
  <dcterms:modified xsi:type="dcterms:W3CDTF">2019-12-05T16:04:26Z</dcterms:modified>
</cp:coreProperties>
</file>