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DATE OF REPORT (DATE OF EARLIEST EVENT REPORTED): April 27,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902335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598"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April 27, 2016, regarding its first-quarter results of operations and financial condition is attached hereto as Exhibit 99.</w:t>
      </w:r>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investors,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200"/>
          </w:cols>
          <w:pgMar w:left="240" w:top="341" w:right="45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9920"/>
          </w:cols>
          <w:pgMar w:left="240" w:top="341" w:right="459" w:bottom="1440" w:gutter="0" w:footer="0" w:header="0"/>
          <w:type w:val="continuous"/>
        </w:sectPr>
      </w:pPr>
    </w:p>
    <w:p>
      <w:pPr>
        <w:ind w:left="1280" w:hanging="788"/>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6"/>
          <w:szCs w:val="16"/>
          <w:color w:val="auto"/>
        </w:rPr>
        <w:t>Dated April 27, 2016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60" w:type="dxa"/>
            <w:vAlign w:val="bottom"/>
            <w:gridSpan w:val="2"/>
          </w:tcPr>
          <w:p>
            <w:pPr>
              <w:ind w:left="244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Date: April 27, 2016</w:t>
            </w:r>
          </w:p>
        </w:tc>
        <w:tc>
          <w:tcPr>
            <w:tcW w:w="7460" w:type="dxa"/>
            <w:vAlign w:val="bottom"/>
            <w:gridSpan w:val="2"/>
          </w:tcPr>
          <w:p>
            <w:pPr>
              <w:ind w:left="2440"/>
              <w:spacing w:after="0"/>
              <w:rPr>
                <w:sz w:val="20"/>
                <w:szCs w:val="20"/>
                <w:color w:val="auto"/>
              </w:rPr>
            </w:pPr>
            <w:r>
              <w:rPr>
                <w:rFonts w:ascii="Arial" w:cs="Arial" w:eastAsia="Arial" w:hAnsi="Arial"/>
                <w:sz w:val="18"/>
                <w:szCs w:val="18"/>
                <w:color w:val="auto"/>
              </w:rPr>
              <w:t>By:  /s/ Kevin P. March</w:t>
            </w:r>
          </w:p>
        </w:tc>
      </w:tr>
      <w:tr>
        <w:trPr>
          <w:trHeight w:val="195"/>
        </w:trPr>
        <w:tc>
          <w:tcPr>
            <w:tcW w:w="3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P. March</w:t>
            </w:r>
          </w:p>
        </w:tc>
      </w:t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9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4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1Q16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DALLAS (April 27, 2016) – Texas Instruments Incorporated (TI) (NASDAQ: TXN) today reported first-quarter revenue of $3.01 billion, net income of $668 million and earnings per share of 65 cents.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29" w:lineRule="exact"/>
        <w:rPr>
          <w:sz w:val="20"/>
          <w:szCs w:val="20"/>
          <w:color w:val="auto"/>
        </w:rPr>
      </w:pPr>
    </w:p>
    <w:p>
      <w:pPr>
        <w:ind w:left="520" w:right="340" w:hanging="512"/>
        <w:spacing w:after="0" w:line="264"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for the quarter was in the upper half of our expected range. Compared with a year ago, notable market activity for our products included continuing strength in automotive, as well as improvement in industrial and communications equipment. Revenue was down 5 percent due to weakness within the personal electronics market, which declined as expected.</w:t>
      </w:r>
    </w:p>
    <w:p>
      <w:pPr>
        <w:spacing w:after="0" w:line="73"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core businesses of Analog and Embedded Processing comprised 87 percent of first-quarter revenue. From a year ago, Analog revenue declined 8 percent while Embedded Processing revenue grew 8 percent. Operating margin increased in both businesses.</w:t>
      </w:r>
    </w:p>
    <w:p>
      <w:pPr>
        <w:spacing w:after="0" w:line="62" w:lineRule="exact"/>
        <w:rPr>
          <w:rFonts w:ascii="Arial" w:cs="Arial" w:eastAsia="Arial" w:hAnsi="Arial"/>
          <w:sz w:val="18"/>
          <w:szCs w:val="18"/>
          <w:color w:val="auto"/>
        </w:rPr>
      </w:pPr>
    </w:p>
    <w:p>
      <w:pPr>
        <w:ind w:left="520" w:right="4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60.6 percent was a new record, reflecting the quality of our product portfolio, as well as the efficiency of our manufacturing strategy, including the benefit of 300-millimeter Analog production.</w:t>
      </w:r>
    </w:p>
    <w:p>
      <w:pPr>
        <w:spacing w:after="0" w:line="62" w:lineRule="exact"/>
        <w:rPr>
          <w:rFonts w:ascii="Arial" w:cs="Arial" w:eastAsia="Arial" w:hAnsi="Arial"/>
          <w:sz w:val="18"/>
          <w:szCs w:val="18"/>
          <w:color w:val="auto"/>
        </w:rPr>
      </w:pPr>
    </w:p>
    <w:p>
      <w:pPr>
        <w:ind w:left="520" w:right="60" w:hanging="512"/>
        <w:spacing w:after="0" w:line="264"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once again underscored the strength of our business model. Free cash flow for the trailing 12 months was up 1 percent from a year ago to $3.7 billion. This represents 28.4 percent of revenue, up from 27.3 percent a year ago, and is consistent with our targeted range of 20-30 percent of revenue.</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returned $4.2 billion to shareholders in the past 12 months through stock repurchases and dividends.</w:t>
      </w:r>
    </w:p>
    <w:p>
      <w:pPr>
        <w:spacing w:after="0" w:line="117" w:lineRule="exact"/>
        <w:rPr>
          <w:rFonts w:ascii="Arial" w:cs="Arial" w:eastAsia="Arial" w:hAnsi="Arial"/>
          <w:sz w:val="18"/>
          <w:szCs w:val="18"/>
          <w:color w:val="auto"/>
        </w:rPr>
      </w:pPr>
    </w:p>
    <w:p>
      <w:pPr>
        <w:ind w:left="520" w:right="2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to return to shareholders 100 percent of free cash flow plus proceeds from exercises of equity compensation minus net debt retirement reflects our confidence in the long-term sustainability of our business model.</w:t>
      </w:r>
    </w:p>
    <w:p>
      <w:pPr>
        <w:spacing w:after="0" w:line="62" w:lineRule="exact"/>
        <w:rPr>
          <w:rFonts w:ascii="Arial" w:cs="Arial" w:eastAsia="Arial" w:hAnsi="Arial"/>
          <w:sz w:val="18"/>
          <w:szCs w:val="18"/>
          <w:color w:val="auto"/>
        </w:rPr>
      </w:pPr>
    </w:p>
    <w:p>
      <w:pPr>
        <w:ind w:left="520" w:right="26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balance sheet remains strong with $2.8 billion of cash and short-term investments at the end of the quarter, 80 percent of which was owned by the company’s U.S. entities. Inventory ended the quarter at 137 days.</w:t>
      </w:r>
    </w:p>
    <w:p>
      <w:pPr>
        <w:spacing w:after="0" w:line="62" w:lineRule="exact"/>
        <w:rPr>
          <w:rFonts w:ascii="Arial" w:cs="Arial" w:eastAsia="Arial" w:hAnsi="Arial"/>
          <w:sz w:val="18"/>
          <w:szCs w:val="18"/>
          <w:color w:val="auto"/>
        </w:rPr>
      </w:pPr>
    </w:p>
    <w:p>
      <w:pPr>
        <w:ind w:left="520" w:right="28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second-quarter outlook is for revenue in the range of $3.07 billion to $3.33 billion, and earnings per share between 67 and 77 cents. For 2016, TI’s annual effective tax rate is expected to be about 30 percent, unchanged from previous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is a non-GAAP financial measure. Free cash flow is cash flow from operations less capital expenditures.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9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27"/>
              <w:spacing w:after="0"/>
              <w:rPr>
                <w:sz w:val="20"/>
                <w:szCs w:val="20"/>
                <w:color w:val="auto"/>
              </w:rPr>
            </w:pPr>
            <w:r>
              <w:rPr>
                <w:rFonts w:ascii="Arial" w:cs="Arial" w:eastAsia="Arial" w:hAnsi="Arial"/>
                <w:sz w:val="14"/>
                <w:szCs w:val="14"/>
                <w:color w:val="auto"/>
              </w:rPr>
              <w:t>1Q16</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color w:val="auto"/>
              </w:rPr>
              <w:t>1Q15</w:t>
            </w: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Change</w:t>
            </w:r>
          </w:p>
        </w:tc>
        <w:tc>
          <w:tcPr>
            <w:tcW w:w="180" w:type="dxa"/>
            <w:vAlign w:val="bottom"/>
            <w:tcBorders>
              <w:bottom w:val="single" w:sz="8" w:color="CFF0FC"/>
            </w:tcBorders>
          </w:tcPr>
          <w:p>
            <w:pPr>
              <w:spacing w:after="0"/>
              <w:rPr>
                <w:sz w:val="14"/>
                <w:szCs w:val="14"/>
                <w:color w:val="auto"/>
              </w:rPr>
            </w:pPr>
          </w:p>
        </w:tc>
        <w:tc>
          <w:tcPr>
            <w:tcW w:w="5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3,150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42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0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1Q16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11"/>
          </w:tcPr>
          <w:p>
            <w:pPr>
              <w:jc w:val="right"/>
              <w:ind w:right="1480"/>
              <w:spacing w:after="0"/>
              <w:rPr>
                <w:sz w:val="20"/>
                <w:szCs w:val="20"/>
                <w:color w:val="auto"/>
              </w:rPr>
            </w:pPr>
            <w:r>
              <w:rPr>
                <w:rFonts w:ascii="Arial" w:cs="Arial" w:eastAsia="Arial" w:hAnsi="Arial"/>
                <w:sz w:val="14"/>
                <w:szCs w:val="14"/>
                <w:color w:val="auto"/>
                <w:w w:val="98"/>
              </w:rPr>
              <w:t>Trailing 12 Months</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94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gridSpan w:val="3"/>
          </w:tcPr>
          <w:p>
            <w:pPr>
              <w:jc w:val="right"/>
              <w:ind w:right="305"/>
              <w:spacing w:after="0" w:line="155" w:lineRule="exact"/>
              <w:rPr>
                <w:sz w:val="20"/>
                <w:szCs w:val="20"/>
                <w:color w:val="auto"/>
              </w:rPr>
            </w:pPr>
            <w:r>
              <w:rPr>
                <w:rFonts w:ascii="Arial" w:cs="Arial" w:eastAsia="Arial" w:hAnsi="Arial"/>
                <w:sz w:val="14"/>
                <w:szCs w:val="14"/>
                <w:color w:val="auto"/>
              </w:rPr>
              <w:t>1Q16</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3"/>
          </w:tcPr>
          <w:p>
            <w:pPr>
              <w:jc w:val="right"/>
              <w:ind w:right="360"/>
              <w:spacing w:after="0" w:line="155" w:lineRule="exact"/>
              <w:rPr>
                <w:sz w:val="20"/>
                <w:szCs w:val="20"/>
                <w:color w:val="auto"/>
              </w:rPr>
            </w:pPr>
            <w:r>
              <w:rPr>
                <w:rFonts w:ascii="Arial" w:cs="Arial" w:eastAsia="Arial" w:hAnsi="Arial"/>
                <w:sz w:val="14"/>
                <w:szCs w:val="14"/>
                <w:color w:val="auto"/>
              </w:rPr>
              <w:t>1Q15</w:t>
            </w: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gridSpan w:val="3"/>
          </w:tcPr>
          <w:p>
            <w:pPr>
              <w:ind w:left="280"/>
              <w:spacing w:after="0" w:line="155" w:lineRule="exact"/>
              <w:rPr>
                <w:sz w:val="20"/>
                <w:szCs w:val="20"/>
                <w:color w:val="auto"/>
              </w:rPr>
            </w:pPr>
            <w:r>
              <w:rPr>
                <w:rFonts w:ascii="Arial" w:cs="Arial" w:eastAsia="Arial" w:hAnsi="Arial"/>
                <w:sz w:val="14"/>
                <w:szCs w:val="14"/>
                <w:color w:val="auto"/>
              </w:rPr>
              <w:t>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flow from operations</w:t>
            </w:r>
          </w:p>
        </w:tc>
        <w:tc>
          <w:tcPr>
            <w:tcW w:w="15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3"/>
              </w:rPr>
              <w:t>547</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4,206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4,039</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224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w w:val="93"/>
              </w:rPr>
              <w:t>124</w:t>
            </w:r>
          </w:p>
        </w:tc>
        <w:tc>
          <w:tcPr>
            <w:tcW w:w="8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431</w:t>
            </w:r>
          </w:p>
        </w:tc>
        <w:tc>
          <w:tcPr>
            <w:tcW w:w="1520" w:type="dxa"/>
            <w:vAlign w:val="bottom"/>
            <w:gridSpan w:val="6"/>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2240" w:type="dxa"/>
            <w:vAlign w:val="bottom"/>
            <w:gridSpan w:val="2"/>
            <w:shd w:val="clear" w:color="auto" w:fill="CFF0FC"/>
          </w:tcPr>
          <w:p>
            <w:pPr>
              <w:jc w:val="right"/>
              <w:ind w:right="519"/>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3"/>
              </w:rPr>
              <w:t>423</w:t>
            </w:r>
          </w:p>
        </w:tc>
        <w:tc>
          <w:tcPr>
            <w:tcW w:w="80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3,654</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1520" w:type="dxa"/>
            <w:vAlign w:val="bottom"/>
            <w:gridSpan w:val="6"/>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Free cash flow % of revenue</w:t>
            </w:r>
          </w:p>
        </w:tc>
        <w:tc>
          <w:tcPr>
            <w:tcW w:w="1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5"/>
          </w:tcPr>
          <w:p>
            <w:pPr>
              <w:jc w:val="right"/>
              <w:ind w:right="160"/>
              <w:spacing w:after="0"/>
              <w:rPr>
                <w:sz w:val="20"/>
                <w:szCs w:val="20"/>
                <w:color w:val="auto"/>
              </w:rPr>
            </w:pPr>
            <w:r>
              <w:rPr>
                <w:rFonts w:ascii="Arial" w:cs="Arial" w:eastAsia="Arial" w:hAnsi="Arial"/>
                <w:sz w:val="18"/>
                <w:szCs w:val="18"/>
                <w:color w:val="auto"/>
              </w:rPr>
              <w:t>27.3%</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past 12 months were 4 percent of revenue, consistent with TI’s long-term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color w:val="auto"/>
              </w:rPr>
              <w:t>1Q16</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rPr>
              <w:t>Trailing 12 Months</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40" w:type="dxa"/>
            <w:vAlign w:val="bottom"/>
            <w:tcBorders>
              <w:bottom w:val="single" w:sz="8" w:color="CFF0FC"/>
            </w:tcBorders>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color w:val="auto"/>
              </w:rPr>
              <w:t>1Q16</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color w:val="auto"/>
              </w:rPr>
              <w:t>1Q15</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Stock repurchases</w:t>
            </w:r>
          </w:p>
        </w:tc>
        <w:tc>
          <w:tcPr>
            <w:tcW w:w="21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630</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2,701</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2,781</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cash returned</w:t>
            </w:r>
          </w:p>
        </w:tc>
        <w:tc>
          <w:tcPr>
            <w:tcW w:w="21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4,172</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targeted cash return is 100 percent of free cash flow plus proceeds from exercises of equity compensation minus net debt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445" w:right="7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66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rPr>
              <w:t>For Three Months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60" w:type="dxa"/>
            <w:vAlign w:val="bottom"/>
          </w:tcPr>
          <w:p>
            <w:pPr>
              <w:spacing w:after="0"/>
              <w:rPr>
                <w:sz w:val="13"/>
                <w:szCs w:val="13"/>
                <w:color w:val="auto"/>
              </w:rPr>
            </w:pPr>
          </w:p>
        </w:tc>
        <w:tc>
          <w:tcPr>
            <w:tcW w:w="960" w:type="dxa"/>
            <w:vAlign w:val="bottom"/>
          </w:tcPr>
          <w:p>
            <w:pPr>
              <w:jc w:val="right"/>
              <w:ind w:right="6"/>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960" w:type="dxa"/>
            <w:vAlign w:val="bottom"/>
            <w:tcBorders>
              <w:top w:val="single" w:sz="8" w:color="auto"/>
            </w:tcBorders>
            <w:shd w:val="clear" w:color="auto" w:fill="CFF0FC"/>
          </w:tcPr>
          <w:p>
            <w:pPr>
              <w:jc w:val="right"/>
              <w:ind w:right="806"/>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3,150</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(COR)</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(SG&amp;A)</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Acquisition charges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charges/other</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 (OI&amp;E)</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debt expense</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auto"/>
            </w:tcBorders>
            <w:shd w:val="clear" w:color="auto" w:fill="CFF0FC"/>
          </w:tcPr>
          <w:p>
            <w:pPr>
              <w:jc w:val="right"/>
              <w:ind w:right="806"/>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diluted shares outstanding (millions)</w:t>
            </w:r>
          </w:p>
        </w:tc>
        <w:tc>
          <w:tcPr>
            <w:tcW w:w="9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per common share</w:t>
            </w: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w w:val="96"/>
              </w:rPr>
              <w:t>As a result of accounting rule ASC 260, which requires a portion of Net income to be allocated to unvested</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6"/>
              </w:rPr>
              <w:t>restricted stock units (RSUs) on which we pay dividend equivalents, diluted EPS is calculated using the</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following:</w:t>
            </w:r>
          </w:p>
        </w:tc>
        <w:tc>
          <w:tcPr>
            <w:tcW w:w="9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FF0FC"/>
          </w:tcPr>
          <w:p>
            <w:pPr>
              <w:jc w:val="right"/>
              <w:ind w:right="806"/>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668</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Income allocated to RSUs</w:t>
            </w:r>
          </w:p>
        </w:tc>
        <w:tc>
          <w:tcPr>
            <w:tcW w:w="9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allocated to common stock for diluted EPS</w:t>
            </w:r>
          </w:p>
        </w:tc>
        <w:tc>
          <w:tcPr>
            <w:tcW w:w="960" w:type="dxa"/>
            <w:vAlign w:val="bottom"/>
            <w:tcBorders>
              <w:top w:val="single" w:sz="8" w:color="auto"/>
              <w:bottom w:val="single" w:sz="8" w:color="auto"/>
            </w:tcBorders>
            <w:shd w:val="clear" w:color="auto" w:fill="CFF0FC"/>
          </w:tcPr>
          <w:p>
            <w:pPr>
              <w:jc w:val="right"/>
              <w:ind w:right="806"/>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6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0"/>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FF0FC"/>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1,281</w:t>
            </w: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net of allowances of ($11) and ($12)</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Raw materials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Work in process</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Finished goods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1,805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current assets</w:t>
            </w: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Property, plant and equipment at cost</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5,290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depreciation</w:t>
            </w:r>
          </w:p>
        </w:tc>
        <w:tc>
          <w:tcPr>
            <w:tcW w:w="8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(2,736)</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Property, plant and equipment, net</w:t>
            </w:r>
          </w:p>
        </w:tc>
        <w:tc>
          <w:tcPr>
            <w:tcW w:w="8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Goodwill, net</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4,362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intangibles, net</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licenses, net</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15,686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880" w:type="dxa"/>
            <w:vAlign w:val="bottom"/>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1,249</w:t>
            </w:r>
          </w:p>
        </w:tc>
        <w:tc>
          <w:tcPr>
            <w:tcW w:w="200" w:type="dxa"/>
            <w:vAlign w:val="bottom"/>
          </w:tcPr>
          <w:p>
            <w:pPr>
              <w:spacing w:after="0"/>
              <w:rPr>
                <w:sz w:val="19"/>
                <w:szCs w:val="19"/>
                <w:color w:val="auto"/>
              </w:rPr>
            </w:pPr>
          </w:p>
        </w:tc>
        <w:tc>
          <w:tcPr>
            <w:tcW w:w="400" w:type="dxa"/>
            <w:vAlign w:val="bottom"/>
            <w:gridSpan w:val="2"/>
          </w:tcPr>
          <w:p>
            <w:pPr>
              <w:jc w:val="right"/>
              <w:ind w:right="225"/>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taxes payable</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current liabilities</w:t>
            </w: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2,869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Underfunded retirement plans</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Deferred credits and other liabilities</w:t>
            </w: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5,904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Preferred stock, $25 par value. Authorized – 10,000,000 shares</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Participating cumulative preferred – None issued</w:t>
            </w:r>
          </w:p>
        </w:tc>
        <w:tc>
          <w:tcPr>
            <w:tcW w:w="8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Common stock, $1 par value. Authorized – 2,400,000,000 shares</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Shares issued – 1,740,815,939</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Paid-in capital</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Treasury common stock at cost</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Shares: March 31, 2016 – 734,244,179; March 31, 2015 – 696,401,920</w:t>
            </w:r>
          </w:p>
        </w:tc>
        <w:tc>
          <w:tcPr>
            <w:tcW w:w="8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5"/>
              </w:rPr>
              <w:t>(24,443)</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 net of taxes (AOCI)</w:t>
            </w:r>
          </w:p>
        </w:tc>
        <w:tc>
          <w:tcPr>
            <w:tcW w:w="8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(531)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stockholders’ equity</w:t>
            </w: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9,782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10,369</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880" w:type="dxa"/>
            <w:vAlign w:val="bottom"/>
            <w:tcBorders>
              <w:bottom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15,686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660" w:type="dxa"/>
            <w:vAlign w:val="bottom"/>
            <w:gridSpan w:val="5"/>
          </w:tcPr>
          <w:p>
            <w:pPr>
              <w:jc w:val="right"/>
              <w:ind w:right="225"/>
              <w:spacing w:after="0"/>
              <w:rPr>
                <w:sz w:val="20"/>
                <w:szCs w:val="20"/>
                <w:color w:val="auto"/>
              </w:rPr>
            </w:pPr>
            <w:r>
              <w:rPr>
                <w:rFonts w:ascii="Arial" w:cs="Arial" w:eastAsia="Arial" w:hAnsi="Arial"/>
                <w:sz w:val="14"/>
                <w:szCs w:val="14"/>
                <w:b w:val="1"/>
                <w:bCs w:val="1"/>
                <w:color w:val="auto"/>
              </w:rPr>
              <w:t>For Three Months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705"/>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60" w:type="dxa"/>
            <w:vAlign w:val="bottom"/>
          </w:tcPr>
          <w:p>
            <w:pPr>
              <w:spacing w:after="0"/>
              <w:rPr>
                <w:sz w:val="13"/>
                <w:szCs w:val="13"/>
                <w:color w:val="auto"/>
              </w:rPr>
            </w:pPr>
          </w:p>
        </w:tc>
        <w:tc>
          <w:tcPr>
            <w:tcW w:w="96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25"/>
              <w:spacing w:after="0" w:line="155"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80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668</w:t>
            </w:r>
          </w:p>
        </w:tc>
        <w:tc>
          <w:tcPr>
            <w:tcW w:w="200" w:type="dxa"/>
            <w:vAlign w:val="bottom"/>
          </w:tcPr>
          <w:p>
            <w:pPr>
              <w:spacing w:after="0"/>
              <w:rPr>
                <w:sz w:val="19"/>
                <w:szCs w:val="19"/>
                <w:color w:val="auto"/>
              </w:rPr>
            </w:pPr>
          </w:p>
        </w:tc>
        <w:tc>
          <w:tcPr>
            <w:tcW w:w="980" w:type="dxa"/>
            <w:vAlign w:val="bottom"/>
            <w:gridSpan w:val="2"/>
          </w:tcPr>
          <w:p>
            <w:pPr>
              <w:jc w:val="right"/>
              <w:ind w:right="80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Net income:</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acquisition-related intangibles</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Amortization of capitalized software</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Gains on sales of assets</w:t>
            </w:r>
          </w:p>
        </w:tc>
        <w:tc>
          <w:tcPr>
            <w:tcW w:w="9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Increase (decrease) from changes in:</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(100)</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(114)</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(104)</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Accrued compensation</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(322)</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funded status of retirement plans</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(124)</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asset sales</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Purchases of short-term investments</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short-term investments</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(383)</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repurchases</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(630)</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240"/>
              <w:spacing w:after="0"/>
              <w:rPr>
                <w:sz w:val="20"/>
                <w:szCs w:val="20"/>
                <w:color w:val="auto"/>
              </w:rPr>
            </w:pPr>
            <w:r>
              <w:rPr>
                <w:rFonts w:ascii="Arial" w:cs="Arial" w:eastAsia="Arial" w:hAnsi="Arial"/>
                <w:sz w:val="18"/>
                <w:szCs w:val="18"/>
                <w:color w:val="auto"/>
              </w:rPr>
              <w:t>Proceeds from common stock transactions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tax benefit from share-based payments</w:t>
            </w:r>
          </w:p>
        </w:tc>
        <w:tc>
          <w:tcPr>
            <w:tcW w:w="9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(839)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1Q16 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color w:val="auto"/>
              </w:rPr>
              <w:t>1Q16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1Q15</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color w:val="auto"/>
              </w:rPr>
              <w:t>Change</w:t>
            </w: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Analog:</w:t>
            </w:r>
          </w:p>
        </w:tc>
        <w:tc>
          <w:tcPr>
            <w:tcW w:w="1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Revenue</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2,035</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profit</w:t>
            </w:r>
          </w:p>
        </w:tc>
        <w:tc>
          <w:tcPr>
            <w:tcW w:w="2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Embedded Processing:</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2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Operating profit</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Revenue</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profit*</w:t>
            </w:r>
          </w:p>
        </w:tc>
        <w:tc>
          <w:tcPr>
            <w:tcW w:w="2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121" w:lineRule="exact"/>
        <w:rPr>
          <w:sz w:val="20"/>
          <w:szCs w:val="20"/>
          <w:color w:val="auto"/>
        </w:rPr>
      </w:pPr>
    </w:p>
    <w:p>
      <w:pPr>
        <w:ind w:left="520" w:right="6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decreased primarily due to High Volume Analog &amp; Logic. Power Management and High Performance Analog also declined, while Silicon Valley Analog grew.</w:t>
      </w:r>
    </w:p>
    <w:p>
      <w:pPr>
        <w:spacing w:after="0" w:line="62"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decreased primarily due to lower revenue, which was partially offset by lower manufacturing costs and a higher percentage of more profitable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Microcontrollers, Processors and Connectivity)</w:t>
      </w:r>
    </w:p>
    <w:p>
      <w:pPr>
        <w:spacing w:after="0" w:line="121"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increased in all three product lines, led by Processors.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 as well as lower operating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 products, calculators, custom ASIC products and royalties)</w:t>
      </w:r>
    </w:p>
    <w:p>
      <w:pPr>
        <w:spacing w:after="0" w:line="121"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declined primarily due to custom ASIC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decreased by $7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believes that free cash flow and the associated ratios provide insight into its liquidity, its cash-generating capability and the amount of cash potentially available to return to investors, as well as insight into its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For 12 Months Ended</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(GAAP)</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4,206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5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12,858</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13,212</w:t>
            </w:r>
          </w:p>
        </w:tc>
        <w:tc>
          <w:tcPr>
            <w:tcW w:w="3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32.7%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30.6%</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5"/>
        </w:trPr>
        <w:tc>
          <w:tcPr>
            <w:tcW w:w="116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color w:val="auto"/>
        </w:rPr>
        <w:t># #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62"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TI’s end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40"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TI, its customers or its suppliers operate;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Breaches of TI’s information technology systems or those of its customers or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40" w:lineRule="exact"/>
        <w:rPr>
          <w:rFonts w:ascii="Arial" w:cs="Arial" w:eastAsia="Arial" w:hAnsi="Arial"/>
          <w:sz w:val="16"/>
          <w:szCs w:val="16"/>
          <w:color w:val="auto"/>
        </w:rPr>
      </w:pPr>
    </w:p>
    <w:p>
      <w:pPr>
        <w:ind w:left="1040" w:right="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 expiration of license agreements between TI and its patent licensees, and market conditions reducing royalty payments to TI;</w:t>
      </w:r>
    </w:p>
    <w:p>
      <w:pPr>
        <w:spacing w:after="0" w:line="62"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TI is or may become subject, or actions of enforcement authorities, that restrict TI’s ability to manufacture its products or operate its business, or subject us to fines, penalties, or other legal liability;</w:t>
      </w:r>
    </w:p>
    <w:p>
      <w:pPr>
        <w:spacing w:after="0" w:line="15" w:lineRule="exact"/>
        <w:rPr>
          <w:rFonts w:ascii="Arial" w:cs="Arial" w:eastAsia="Arial" w:hAnsi="Arial"/>
          <w:sz w:val="16"/>
          <w:szCs w:val="16"/>
          <w:color w:val="auto"/>
        </w:rPr>
      </w:pPr>
    </w:p>
    <w:p>
      <w:pPr>
        <w:ind w:left="1040" w:right="4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and the ability to realize deferred tax assets;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difficulties of distributors or their promotion of competing product lines to TI’s detriment;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TI’s ability to fund its daily operations, invest in the business, make strategic acquisitions, or make principal and interest payments on its debt;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 w:name="page12"/>
    <w:bookmarkEnd w:id="11"/>
    <w:p>
      <w:pPr>
        <w:ind w:left="1040" w:right="1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its ability to realize its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Impairments of TI’s non-financial assets.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2015. The forward-looking statements included in this release are made only as of the date of this release, and we undertake no obligation to update the forward-looking statements to reflect subsequent events or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t>
      </w:r>
      <w:r>
        <w:rPr>
          <w:rFonts w:ascii="Arial" w:cs="Arial" w:eastAsia="Arial" w:hAnsi="Arial"/>
          <w:sz w:val="18"/>
          <w:szCs w:val="18"/>
          <w:u w:val="single" w:color="auto"/>
          <w:color w:val="auto"/>
        </w:rPr>
        <w:t>www.ti.com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9"/>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2019-12-05T11:28:43Z</dcterms:created>
  <dcterms:modified xsi:type="dcterms:W3CDTF">2019-12-05T11:28:43Z</dcterms:modified>
</cp:coreProperties>
</file>