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158750</wp:posOffset>
            </wp:positionV>
            <wp:extent cx="7632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186690</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April 20,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1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14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210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940" w:type="dxa"/>
            <w:vAlign w:val="bottom"/>
          </w:tcPr>
          <w:p>
            <w:pPr>
              <w:spacing w:after="0"/>
              <w:rPr>
                <w:sz w:val="12"/>
                <w:szCs w:val="12"/>
                <w:color w:val="auto"/>
              </w:rPr>
            </w:pPr>
          </w:p>
        </w:tc>
        <w:tc>
          <w:tcPr>
            <w:tcW w:w="330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940" w:type="dxa"/>
            <w:vAlign w:val="bottom"/>
          </w:tcPr>
          <w:p>
            <w:pPr>
              <w:spacing w:after="0"/>
              <w:rPr>
                <w:sz w:val="16"/>
                <w:szCs w:val="16"/>
                <w:color w:val="auto"/>
              </w:rPr>
            </w:pPr>
          </w:p>
        </w:tc>
        <w:tc>
          <w:tcPr>
            <w:tcW w:w="330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3246755</wp:posOffset>
            </wp:positionH>
            <wp:positionV relativeFrom="paragraph">
              <wp:posOffset>153670</wp:posOffset>
            </wp:positionV>
            <wp:extent cx="7632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82"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5.07. Submission of Matters to a Vote of Security Holders.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the annual meeting of stockholders held on April 20, 2017, the stockholders elected the Board of Directors of Texas Instruments Incorporated (“TI”) and voted upon three Board proposals contained within our Proxy Statement dated March 6,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41"/>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1940" w:type="dxa"/>
            <w:vAlign w:val="bottom"/>
            <w:tcBorders>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6"/>
              </w:rPr>
              <w:t>For</w:t>
            </w: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Against</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Abstentions</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Non-Votes</w:t>
            </w:r>
          </w:p>
        </w:tc>
      </w:tr>
      <w:tr>
        <w:trPr>
          <w:trHeight w:val="404"/>
        </w:trPr>
        <w:tc>
          <w:tcPr>
            <w:tcW w:w="2320" w:type="dxa"/>
            <w:vAlign w:val="bottom"/>
          </w:tcPr>
          <w:p>
            <w:pPr>
              <w:spacing w:after="0"/>
              <w:rPr>
                <w:sz w:val="20"/>
                <w:szCs w:val="20"/>
                <w:color w:val="auto"/>
              </w:rPr>
            </w:pPr>
            <w:r>
              <w:rPr>
                <w:rFonts w:ascii="Arial" w:cs="Arial" w:eastAsia="Arial" w:hAnsi="Arial"/>
                <w:sz w:val="18"/>
                <w:szCs w:val="18"/>
                <w:color w:val="auto"/>
              </w:rPr>
              <w:t>Ralph W. Babb, Jr.</w:t>
            </w:r>
          </w:p>
        </w:tc>
        <w:tc>
          <w:tcPr>
            <w:tcW w:w="1940" w:type="dxa"/>
            <w:vAlign w:val="bottom"/>
          </w:tcPr>
          <w:p>
            <w:pPr>
              <w:jc w:val="center"/>
              <w:ind w:left="270"/>
              <w:spacing w:after="0"/>
              <w:rPr>
                <w:sz w:val="20"/>
                <w:szCs w:val="20"/>
                <w:color w:val="auto"/>
              </w:rPr>
            </w:pPr>
            <w:r>
              <w:rPr>
                <w:rFonts w:ascii="Arial" w:cs="Arial" w:eastAsia="Arial" w:hAnsi="Arial"/>
                <w:sz w:val="18"/>
                <w:szCs w:val="18"/>
                <w:color w:val="auto"/>
                <w:w w:val="89"/>
              </w:rPr>
              <w:t>813,111,433</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4,669,030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1,142,884</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Mark A. Blinn</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813,599,605</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4,220,836</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1,102,906</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Todd M. Bluedorn</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734,119,803</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83,696,678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1,106,866</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Daniel A. Carp</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799,835,024</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17,964,350</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1,123,973</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Janet F. Clark</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813,394,131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4,523,868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1,005,348</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Carrie S. Cox</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806,781,912</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11,116,668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1,024,767</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Jean M. Hobby</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816,061,312</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1,819,468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1,042,567</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Ronald Kirk</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812,894,490</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4,901,353</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1,127,504</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Pamela H. Patsley</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722,561,097</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95,302,533</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1,059,717</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Robert E. Sanchez</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808,401,626</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9,431,735</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1,089,986</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Wayne R. Sanders</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794,509,128</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23,315,217</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1,099,002</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r>
        <w:trPr>
          <w:trHeight w:val="244"/>
        </w:trPr>
        <w:tc>
          <w:tcPr>
            <w:tcW w:w="2320" w:type="dxa"/>
            <w:vAlign w:val="bottom"/>
          </w:tcPr>
          <w:p>
            <w:pPr>
              <w:spacing w:after="0"/>
              <w:rPr>
                <w:sz w:val="20"/>
                <w:szCs w:val="20"/>
                <w:color w:val="auto"/>
              </w:rPr>
            </w:pPr>
            <w:r>
              <w:rPr>
                <w:rFonts w:ascii="Arial" w:cs="Arial" w:eastAsia="Arial" w:hAnsi="Arial"/>
                <w:sz w:val="18"/>
                <w:szCs w:val="18"/>
                <w:color w:val="auto"/>
              </w:rPr>
              <w:t>Richard K. Templeton</w:t>
            </w:r>
          </w:p>
        </w:tc>
        <w:tc>
          <w:tcPr>
            <w:tcW w:w="1940" w:type="dxa"/>
            <w:vAlign w:val="bottom"/>
          </w:tcPr>
          <w:p>
            <w:pPr>
              <w:jc w:val="center"/>
              <w:ind w:left="290"/>
              <w:spacing w:after="0"/>
              <w:rPr>
                <w:sz w:val="20"/>
                <w:szCs w:val="20"/>
                <w:color w:val="auto"/>
              </w:rPr>
            </w:pPr>
            <w:r>
              <w:rPr>
                <w:rFonts w:ascii="Arial" w:cs="Arial" w:eastAsia="Arial" w:hAnsi="Arial"/>
                <w:sz w:val="18"/>
                <w:szCs w:val="18"/>
                <w:color w:val="auto"/>
                <w:w w:val="87"/>
              </w:rPr>
              <w:t>790,362,461</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23,565,376</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4,995,510</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82,373,138</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60" w:type="dxa"/>
            <w:vAlign w:val="bottom"/>
            <w:gridSpan w:val="4"/>
          </w:tcPr>
          <w:p>
            <w:pPr>
              <w:spacing w:after="0"/>
              <w:rPr>
                <w:sz w:val="20"/>
                <w:szCs w:val="20"/>
                <w:color w:val="auto"/>
              </w:rPr>
            </w:pPr>
            <w:r>
              <w:rPr>
                <w:rFonts w:ascii="Arial" w:cs="Arial" w:eastAsia="Arial" w:hAnsi="Arial"/>
                <w:sz w:val="18"/>
                <w:szCs w:val="18"/>
                <w:color w:val="auto"/>
                <w:w w:val="97"/>
              </w:rPr>
              <w:t>The stockholders voted on the following proposals and cast their votes as described below:</w:t>
            </w: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2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Broker</w:t>
            </w:r>
          </w:p>
        </w:tc>
        <w:tc>
          <w:tcPr>
            <w:tcW w:w="1060" w:type="dxa"/>
            <w:vAlign w:val="bottom"/>
          </w:tcPr>
          <w:p>
            <w:pPr>
              <w:spacing w:after="0"/>
              <w:rPr>
                <w:sz w:val="24"/>
                <w:szCs w:val="24"/>
                <w:color w:val="auto"/>
              </w:rPr>
            </w:pP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For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c>
          <w:tcPr>
            <w:tcW w:w="1060" w:type="dxa"/>
            <w:vAlign w:val="bottom"/>
          </w:tcPr>
          <w:p>
            <w:pPr>
              <w:spacing w:after="0"/>
              <w:rPr>
                <w:sz w:val="20"/>
                <w:szCs w:val="20"/>
                <w:color w:val="auto"/>
              </w:rPr>
            </w:pP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w w:val="97"/>
              </w:rPr>
              <w:t>Board proposal regarding advisory</w:t>
            </w: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7"/>
              </w:rPr>
              <w:t>772,841,468</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43,376,426</w:t>
            </w:r>
          </w:p>
        </w:tc>
        <w:tc>
          <w:tcPr>
            <w:tcW w:w="1500" w:type="dxa"/>
            <w:vAlign w:val="bottom"/>
          </w:tcPr>
          <w:p>
            <w:pPr>
              <w:jc w:val="right"/>
              <w:ind w:right="270"/>
              <w:spacing w:after="0"/>
              <w:rPr>
                <w:sz w:val="20"/>
                <w:szCs w:val="20"/>
                <w:color w:val="auto"/>
              </w:rPr>
            </w:pPr>
            <w:r>
              <w:rPr>
                <w:rFonts w:ascii="Arial" w:cs="Arial" w:eastAsia="Arial" w:hAnsi="Arial"/>
                <w:sz w:val="18"/>
                <w:szCs w:val="18"/>
                <w:color w:val="auto"/>
              </w:rPr>
              <w:t>2,705,453</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82,373,138</w:t>
            </w:r>
          </w:p>
        </w:tc>
        <w:tc>
          <w:tcPr>
            <w:tcW w:w="1060" w:type="dxa"/>
            <w:vAlign w:val="bottom"/>
          </w:tcPr>
          <w:p>
            <w:pPr>
              <w:spacing w:after="0"/>
              <w:rPr>
                <w:sz w:val="24"/>
                <w:szCs w:val="24"/>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approval of the company’s</w:t>
            </w: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executive compensation</w:t>
            </w:r>
          </w:p>
        </w:tc>
        <w:tc>
          <w:tcPr>
            <w:tcW w:w="1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2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60" w:type="dxa"/>
            <w:vAlign w:val="bottom"/>
          </w:tcPr>
          <w:p>
            <w:pPr>
              <w:jc w:val="center"/>
              <w:ind w:left="170"/>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1 year</w:t>
            </w: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6"/>
              </w:rPr>
              <w:t>2 years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3 years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c>
          <w:tcPr>
            <w:tcW w:w="1060" w:type="dxa"/>
            <w:vAlign w:val="bottom"/>
          </w:tcPr>
          <w:p>
            <w:pPr>
              <w:jc w:val="center"/>
              <w:ind w:left="170"/>
              <w:spacing w:after="0"/>
              <w:rPr>
                <w:sz w:val="20"/>
                <w:szCs w:val="20"/>
                <w:color w:val="auto"/>
              </w:rPr>
            </w:pPr>
            <w:r>
              <w:rPr>
                <w:rFonts w:ascii="Arial" w:cs="Arial" w:eastAsia="Arial" w:hAnsi="Arial"/>
                <w:sz w:val="18"/>
                <w:szCs w:val="18"/>
                <w:b w:val="1"/>
                <w:bCs w:val="1"/>
                <w:color w:val="auto"/>
                <w:w w:val="88"/>
              </w:rPr>
              <w:t>Non-Votes</w:t>
            </w: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w w:val="97"/>
              </w:rPr>
              <w:t>Board proposal regarding advisory</w:t>
            </w:r>
          </w:p>
        </w:tc>
        <w:tc>
          <w:tcPr>
            <w:tcW w:w="1420" w:type="dxa"/>
            <w:vAlign w:val="bottom"/>
          </w:tcPr>
          <w:p>
            <w:pPr>
              <w:jc w:val="center"/>
              <w:ind w:right="50"/>
              <w:spacing w:after="0"/>
              <w:rPr>
                <w:sz w:val="20"/>
                <w:szCs w:val="20"/>
                <w:color w:val="auto"/>
              </w:rPr>
            </w:pPr>
            <w:r>
              <w:rPr>
                <w:rFonts w:ascii="Arial" w:cs="Arial" w:eastAsia="Arial" w:hAnsi="Arial"/>
                <w:sz w:val="18"/>
                <w:szCs w:val="18"/>
                <w:color w:val="auto"/>
                <w:w w:val="87"/>
              </w:rPr>
              <w:t>752,006,178</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2,015,133</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63,351,773</w:t>
            </w:r>
          </w:p>
        </w:tc>
        <w:tc>
          <w:tcPr>
            <w:tcW w:w="1420" w:type="dxa"/>
            <w:vAlign w:val="bottom"/>
          </w:tcPr>
          <w:p>
            <w:pPr>
              <w:jc w:val="right"/>
              <w:ind w:right="270"/>
              <w:spacing w:after="0"/>
              <w:rPr>
                <w:sz w:val="20"/>
                <w:szCs w:val="20"/>
                <w:color w:val="auto"/>
              </w:rPr>
            </w:pPr>
            <w:r>
              <w:rPr>
                <w:rFonts w:ascii="Arial" w:cs="Arial" w:eastAsia="Arial" w:hAnsi="Arial"/>
                <w:sz w:val="18"/>
                <w:szCs w:val="18"/>
                <w:color w:val="auto"/>
              </w:rPr>
              <w:t>1,550,263</w:t>
            </w: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88"/>
              </w:rPr>
              <w:t>82,373,138</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vote on future advisory votes on</w:t>
            </w: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executive officer compensation</w:t>
            </w:r>
          </w:p>
        </w:tc>
        <w:tc>
          <w:tcPr>
            <w:tcW w:w="1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results being consistent with the Board’s recommendation, TI will continue to hold an advisory vote on executive compensation every year.</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Proposal</w:t>
            </w: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For</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4040" w:type="dxa"/>
            <w:vAlign w:val="bottom"/>
          </w:tcPr>
          <w:p>
            <w:pPr>
              <w:jc w:val="center"/>
              <w:ind w:right="2130"/>
              <w:spacing w:after="0"/>
              <w:rPr>
                <w:sz w:val="20"/>
                <w:szCs w:val="20"/>
                <w:color w:val="auto"/>
              </w:rPr>
            </w:pPr>
            <w:r>
              <w:rPr>
                <w:rFonts w:ascii="Arial" w:cs="Arial" w:eastAsia="Arial" w:hAnsi="Arial"/>
                <w:sz w:val="18"/>
                <w:szCs w:val="18"/>
                <w:b w:val="1"/>
                <w:bCs w:val="1"/>
                <w:color w:val="auto"/>
                <w:w w:val="86"/>
              </w:rPr>
              <w:t>Abstentions</w:t>
            </w:r>
          </w:p>
        </w:tc>
      </w:tr>
      <w:tr>
        <w:trPr>
          <w:trHeight w:val="418"/>
        </w:trPr>
        <w:tc>
          <w:tcPr>
            <w:tcW w:w="3920" w:type="dxa"/>
            <w:vAlign w:val="bottom"/>
          </w:tcPr>
          <w:p>
            <w:pPr>
              <w:spacing w:after="0"/>
              <w:rPr>
                <w:sz w:val="20"/>
                <w:szCs w:val="20"/>
                <w:color w:val="auto"/>
              </w:rPr>
            </w:pPr>
            <w:r>
              <w:rPr>
                <w:rFonts w:ascii="Arial" w:cs="Arial" w:eastAsia="Arial" w:hAnsi="Arial"/>
                <w:sz w:val="18"/>
                <w:szCs w:val="18"/>
                <w:color w:val="auto"/>
              </w:rPr>
              <w:t>Board proposal to ratify the appointment of Ernst</w:t>
            </w:r>
          </w:p>
        </w:tc>
        <w:tc>
          <w:tcPr>
            <w:tcW w:w="1740" w:type="dxa"/>
            <w:vAlign w:val="bottom"/>
          </w:tcPr>
          <w:p>
            <w:pPr>
              <w:jc w:val="right"/>
              <w:ind w:right="430"/>
              <w:spacing w:after="0"/>
              <w:rPr>
                <w:sz w:val="20"/>
                <w:szCs w:val="20"/>
                <w:color w:val="auto"/>
              </w:rPr>
            </w:pPr>
            <w:r>
              <w:rPr>
                <w:rFonts w:ascii="Arial" w:cs="Arial" w:eastAsia="Arial" w:hAnsi="Arial"/>
                <w:sz w:val="18"/>
                <w:szCs w:val="18"/>
                <w:color w:val="auto"/>
              </w:rPr>
              <w:t>878,118,910</w:t>
            </w:r>
          </w:p>
        </w:tc>
        <w:tc>
          <w:tcPr>
            <w:tcW w:w="1740" w:type="dxa"/>
            <w:vAlign w:val="bottom"/>
          </w:tcPr>
          <w:p>
            <w:pPr>
              <w:jc w:val="right"/>
              <w:ind w:right="350"/>
              <w:spacing w:after="0"/>
              <w:rPr>
                <w:sz w:val="20"/>
                <w:szCs w:val="20"/>
                <w:color w:val="auto"/>
              </w:rPr>
            </w:pPr>
            <w:r>
              <w:rPr>
                <w:rFonts w:ascii="Arial" w:cs="Arial" w:eastAsia="Arial" w:hAnsi="Arial"/>
                <w:sz w:val="18"/>
                <w:szCs w:val="18"/>
                <w:color w:val="auto"/>
              </w:rPr>
              <w:t>22,135,112</w:t>
            </w:r>
          </w:p>
        </w:tc>
        <w:tc>
          <w:tcPr>
            <w:tcW w:w="4040" w:type="dxa"/>
            <w:vAlign w:val="bottom"/>
          </w:tcPr>
          <w:p>
            <w:pPr>
              <w:jc w:val="right"/>
              <w:ind w:right="2690"/>
              <w:spacing w:after="0"/>
              <w:rPr>
                <w:sz w:val="20"/>
                <w:szCs w:val="20"/>
                <w:color w:val="auto"/>
              </w:rPr>
            </w:pPr>
            <w:r>
              <w:rPr>
                <w:rFonts w:ascii="Arial" w:cs="Arial" w:eastAsia="Arial" w:hAnsi="Arial"/>
                <w:sz w:val="18"/>
                <w:szCs w:val="18"/>
                <w:color w:val="auto"/>
              </w:rPr>
              <w:t>1,042,463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&amp; Young LLP as the company’s independent</w:t>
            </w:r>
          </w:p>
        </w:tc>
        <w:tc>
          <w:tcPr>
            <w:tcW w:w="1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registered public accounting firm for 2017</w:t>
            </w:r>
          </w:p>
        </w:tc>
        <w:tc>
          <w:tcPr>
            <w:tcW w:w="17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40" w:type="dxa"/>
            <w:vAlign w:val="bottom"/>
          </w:tcPr>
          <w:p>
            <w:pPr>
              <w:spacing w:after="0"/>
              <w:rPr>
                <w:sz w:val="20"/>
                <w:szCs w:val="20"/>
                <w:color w:val="auto"/>
              </w:rPr>
            </w:pPr>
          </w:p>
        </w:tc>
      </w:tr>
      <w:tr>
        <w:trPr>
          <w:trHeight w:val="547"/>
        </w:trPr>
        <w:tc>
          <w:tcPr>
            <w:tcW w:w="39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2"/>
          </w:tcPr>
          <w:p>
            <w:pPr>
              <w:ind w:left="206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April 26, 2017</w:t>
            </w:r>
          </w:p>
        </w:tc>
        <w:tc>
          <w:tcPr>
            <w:tcW w:w="2680" w:type="dxa"/>
            <w:vAlign w:val="bottom"/>
          </w:tcPr>
          <w:p>
            <w:pPr>
              <w:ind w:left="20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Cynthia Hoff Trochu</w:t>
            </w:r>
          </w:p>
        </w:tc>
      </w:tr>
      <w:tr>
        <w:trPr>
          <w:trHeight w:val="195"/>
        </w:trPr>
        <w:tc>
          <w:tcPr>
            <w:tcW w:w="35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Cynthia Hoff Trochu</w:t>
            </w:r>
          </w:p>
        </w:tc>
      </w:tr>
      <w:tr>
        <w:trPr>
          <w:trHeight w:val="230"/>
        </w:trPr>
        <w:tc>
          <w:tcPr>
            <w:tcW w:w="35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Senior Vice President, Secretary and General Counsel</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2019-12-05T07:26:20Z</dcterms:created>
  <dcterms:modified xsi:type="dcterms:W3CDTF">2019-12-05T07:26:20Z</dcterms:modified>
</cp:coreProperties>
</file>