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229235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79"/>
        <w:spacing w:after="0"/>
        <w:tabs>
          <w:tab w:leader="none" w:pos="2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220980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200"/>
        <w:spacing w:after="0" w:line="184" w:lineRule="exact"/>
        <w:tabs>
          <w:tab w:leader="none" w:pos="32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6" w:lineRule="exact"/>
        <w:rPr>
          <w:sz w:val="24"/>
          <w:szCs w:val="24"/>
          <w:color w:val="auto"/>
        </w:rPr>
      </w:pPr>
    </w:p>
    <w:p>
      <w:pPr>
        <w:ind w:left="200"/>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760" w:hanging="556"/>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7" w:lineRule="exact"/>
        <w:rPr>
          <w:sz w:val="24"/>
          <w:szCs w:val="24"/>
          <w:color w:val="auto"/>
        </w:rPr>
      </w:pPr>
    </w:p>
    <w:p>
      <w:pPr>
        <w:ind w:left="760" w:hanging="556"/>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760" w:hanging="556"/>
        <w:spacing w:after="0"/>
        <w:tabs>
          <w:tab w:leader="none" w:pos="7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760" w:hanging="556"/>
        <w:spacing w:after="0"/>
        <w:tabs>
          <w:tab w:leader="none" w:pos="7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75" w:lineRule="exact"/>
        <w:rPr>
          <w:sz w:val="24"/>
          <w:szCs w:val="24"/>
          <w:color w:val="auto"/>
        </w:rPr>
      </w:pPr>
    </w:p>
    <w:p>
      <w:pPr>
        <w:jc w:val="center"/>
        <w:ind w:right="-379"/>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61595</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9"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2" w:lineRule="exact"/>
        <w:rPr>
          <w:sz w:val="24"/>
          <w:szCs w:val="24"/>
          <w:color w:val="auto"/>
        </w:rPr>
      </w:pPr>
    </w:p>
    <w:p>
      <w:pPr>
        <w:ind w:left="200"/>
        <w:spacing w:after="0"/>
        <w:rPr>
          <w:sz w:val="20"/>
          <w:szCs w:val="20"/>
          <w:color w:val="auto"/>
        </w:rPr>
      </w:pPr>
      <w:r>
        <w:rPr>
          <w:rFonts w:ascii="Arial" w:cs="Arial" w:eastAsia="Arial" w:hAnsi="Arial"/>
          <w:sz w:val="16"/>
          <w:szCs w:val="16"/>
          <w:color w:val="auto"/>
        </w:rPr>
        <w:t>Payment of Filing Fee (Check the appropriate box):</w:t>
      </w:r>
    </w:p>
    <w:p>
      <w:pPr>
        <w:spacing w:after="0" w:line="221" w:lineRule="exact"/>
        <w:rPr>
          <w:sz w:val="24"/>
          <w:szCs w:val="24"/>
          <w:color w:val="auto"/>
        </w:rPr>
      </w:pPr>
    </w:p>
    <w:p>
      <w:pPr>
        <w:ind w:left="780" w:hanging="576"/>
        <w:spacing w:after="0"/>
        <w:tabs>
          <w:tab w:leader="none" w:pos="7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780" w:hanging="576"/>
        <w:spacing w:after="0"/>
        <w:tabs>
          <w:tab w:leader="none" w:pos="7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320" w:hanging="549"/>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320" w:hanging="549"/>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320" w:right="20" w:hanging="549"/>
        <w:spacing w:after="0" w:line="260" w:lineRule="auto"/>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06" w:lineRule="exact"/>
        <w:rPr>
          <w:rFonts w:ascii="Arial" w:cs="Arial" w:eastAsia="Arial" w:hAnsi="Arial"/>
          <w:sz w:val="16"/>
          <w:szCs w:val="16"/>
          <w:color w:val="auto"/>
        </w:rPr>
      </w:pPr>
    </w:p>
    <w:p>
      <w:pPr>
        <w:ind w:left="1320" w:hanging="549"/>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320" w:hanging="549"/>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780" w:hanging="576"/>
        <w:spacing w:after="0"/>
        <w:tabs>
          <w:tab w:leader="none" w:pos="7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780" w:hanging="576"/>
        <w:spacing w:after="0" w:line="260" w:lineRule="auto"/>
        <w:tabs>
          <w:tab w:leader="none" w:pos="7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6"/>
          <w:szCs w:val="16"/>
          <w:color w:val="auto"/>
        </w:rPr>
      </w:pPr>
    </w:p>
    <w:p>
      <w:pPr>
        <w:ind w:left="1320" w:hanging="549"/>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-2930525</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-2475865</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-1901190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-1446530</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-1052195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319405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040"/>
          </w:cols>
          <w:pgMar w:left="240" w:top="230" w:right="619" w:bottom="755" w:gutter="0" w:footer="0" w:header="0"/>
        </w:sectPr>
      </w:pPr>
    </w:p>
    <w:bookmarkStart w:id="1" w:name="page2"/>
    <w:bookmarkEnd w:id="1"/>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-589280</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-134620</wp:posOffset>
            </wp:positionV>
            <wp:extent cx="6294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319405</wp:posOffset>
            </wp:positionV>
            <wp:extent cx="6294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499745</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542290</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4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April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168910</wp:posOffset>
            </wp:positionV>
            <wp:extent cx="7006590" cy="608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65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Stockholder:</w:t>
      </w:r>
    </w:p>
    <w:p>
      <w:pPr>
        <w:spacing w:after="0" w:line="212"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You are cordially invited to attend the 2018 annual meeting of stockholders on Thursday, April 26, 2018, in the auditorium on our property at 12500 TI Boulevard, Dallas, Texas, at 8:30 a.m. (Central time). See “Attendance requirements” for important information about attending the annual meeting. At the meeting we will consider and act upon the following matters:</w:t>
      </w:r>
    </w:p>
    <w:p>
      <w:pPr>
        <w:spacing w:after="0" w:line="225" w:lineRule="exact"/>
        <w:rPr>
          <w:sz w:val="20"/>
          <w:szCs w:val="20"/>
          <w:color w:val="auto"/>
        </w:rPr>
      </w:pPr>
    </w:p>
    <w:p>
      <w:pPr>
        <w:ind w:left="960" w:hanging="54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ind w:left="960" w:hanging="540"/>
        <w:spacing w:after="0" w:line="23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ind w:left="960" w:hanging="540"/>
        <w:spacing w:after="0" w:line="23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the Texas Instruments 2018 Director Compensation Plan,</w:t>
      </w:r>
    </w:p>
    <w:p>
      <w:pPr>
        <w:ind w:left="960" w:right="240" w:hanging="540"/>
        <w:spacing w:after="0" w:line="23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2018, and</w:t>
      </w:r>
    </w:p>
    <w:p>
      <w:pPr>
        <w:spacing w:after="0" w:line="1" w:lineRule="exact"/>
        <w:rPr>
          <w:rFonts w:ascii="Arial" w:cs="Arial" w:eastAsia="Arial" w:hAnsi="Arial"/>
          <w:sz w:val="18"/>
          <w:szCs w:val="18"/>
          <w:color w:val="auto"/>
        </w:rPr>
      </w:pPr>
    </w:p>
    <w:p>
      <w:pPr>
        <w:ind w:left="960" w:hanging="54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meeting.</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of record at the close of business on February 26, 2018, are entitled to vote at the annual meeting.</w:t>
      </w:r>
    </w:p>
    <w:p>
      <w:pPr>
        <w:spacing w:after="0" w:line="190"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color w:val="auto"/>
        </w:rPr>
        <w:t>We urge you to vote your shares as promptly as possible by: (1) accessing the internet website, (2) calling the toll-free number or (3) signing, dating and mailing the enclosed proxy.</w:t>
      </w:r>
    </w:p>
    <w:p>
      <w:pPr>
        <w:spacing w:after="0" w:line="17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152400</wp:posOffset>
            </wp:positionV>
            <wp:extent cx="2066925"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669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ind w:left="6060"/>
        <w:spacing w:after="0" w:line="234" w:lineRule="auto"/>
        <w:rPr>
          <w:sz w:val="20"/>
          <w:szCs w:val="20"/>
          <w:color w:val="auto"/>
        </w:rPr>
      </w:pPr>
      <w:r>
        <w:rPr>
          <w:rFonts w:ascii="Arial" w:cs="Arial" w:eastAsia="Arial" w:hAnsi="Arial"/>
          <w:sz w:val="18"/>
          <w:szCs w:val="18"/>
          <w:color w:val="auto"/>
        </w:rPr>
        <w:t>Senior Vice President,</w:t>
      </w:r>
    </w:p>
    <w:p>
      <w:pPr>
        <w:ind w:left="6060"/>
        <w:spacing w:after="0" w:line="235" w:lineRule="auto"/>
        <w:rPr>
          <w:sz w:val="20"/>
          <w:szCs w:val="20"/>
          <w:color w:val="auto"/>
        </w:rPr>
      </w:pPr>
      <w:r>
        <w:rPr>
          <w:rFonts w:ascii="Arial" w:cs="Arial" w:eastAsia="Arial" w:hAnsi="Arial"/>
          <w:sz w:val="18"/>
          <w:szCs w:val="18"/>
          <w:color w:val="auto"/>
        </w:rPr>
        <w:t>Secretary and</w:t>
      </w:r>
    </w:p>
    <w:p>
      <w:pPr>
        <w:ind w:left="6060"/>
        <w:spacing w:after="0" w:line="235" w:lineRule="auto"/>
        <w:rPr>
          <w:sz w:val="20"/>
          <w:szCs w:val="20"/>
          <w:color w:val="auto"/>
        </w:rPr>
      </w:pPr>
      <w:r>
        <w:rPr>
          <w:rFonts w:ascii="Arial" w:cs="Arial" w:eastAsia="Arial" w:hAnsi="Arial"/>
          <w:sz w:val="18"/>
          <w:szCs w:val="18"/>
          <w:color w:val="auto"/>
        </w:rPr>
        <w:t>General Counsel</w:t>
      </w:r>
    </w:p>
    <w:p>
      <w:pPr>
        <w:ind w:left="200"/>
        <w:spacing w:after="0" w:line="235" w:lineRule="auto"/>
        <w:rPr>
          <w:sz w:val="20"/>
          <w:szCs w:val="20"/>
          <w:color w:val="auto"/>
        </w:rPr>
      </w:pPr>
      <w:r>
        <w:rPr>
          <w:rFonts w:ascii="Arial" w:cs="Arial" w:eastAsia="Arial" w:hAnsi="Arial"/>
          <w:sz w:val="18"/>
          <w:szCs w:val="18"/>
          <w:color w:val="auto"/>
        </w:rPr>
        <w:t>Dallas, Texas</w:t>
      </w:r>
    </w:p>
    <w:p>
      <w:pPr>
        <w:ind w:left="200"/>
        <w:spacing w:after="0"/>
        <w:rPr>
          <w:sz w:val="20"/>
          <w:szCs w:val="20"/>
          <w:color w:val="auto"/>
        </w:rPr>
      </w:pPr>
      <w:r>
        <w:rPr>
          <w:rFonts w:ascii="Arial" w:cs="Arial" w:eastAsia="Arial" w:hAnsi="Arial"/>
          <w:sz w:val="18"/>
          <w:szCs w:val="18"/>
          <w:color w:val="auto"/>
        </w:rPr>
        <w:t>March 13, 2018</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2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1</w:t>
            </w:r>
          </w:p>
        </w:tc>
      </w:tr>
    </w:tbl>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TABLE OF CONTENTS</w:t>
      </w:r>
    </w:p>
    <w:p>
      <w:pPr>
        <w:spacing w:after="0" w:line="28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820" w:type="dxa"/>
            <w:vAlign w:val="bottom"/>
            <w:gridSpan w:val="3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Voting procedures, quorum and attendance requirements</w:t>
              </w:r>
            </w:hyperlink>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4940" w:type="dxa"/>
            <w:vAlign w:val="bottom"/>
            <w:gridSpan w:val="28"/>
          </w:tcPr>
          <w:p>
            <w:pPr>
              <w:ind w:left="180"/>
              <w:spacing w:after="0"/>
              <w:rPr>
                <w:rFonts w:ascii="Arial" w:cs="Arial" w:eastAsia="Arial" w:hAnsi="Arial"/>
                <w:sz w:val="18"/>
                <w:szCs w:val="18"/>
                <w:color w:val="0000EE"/>
              </w:rPr>
            </w:pPr>
            <w:hyperlink w:anchor="page32">
              <w:r>
                <w:rPr>
                  <w:rFonts w:ascii="Arial" w:cs="Arial" w:eastAsia="Arial" w:hAnsi="Arial"/>
                  <w:sz w:val="18"/>
                  <w:szCs w:val="18"/>
                  <w:color w:val="0000EE"/>
                </w:rPr>
                <w:t>Compensation Committee report</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83"/>
        </w:trPr>
        <w:tc>
          <w:tcPr>
            <w:tcW w:w="454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Election of directors</w:t>
              </w:r>
            </w:hyperlink>
          </w:p>
        </w:tc>
        <w:tc>
          <w:tcPr>
            <w:tcW w:w="280" w:type="dxa"/>
            <w:vAlign w:val="bottom"/>
            <w:gridSpan w:val="3"/>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Summary compensation table</w:t>
              </w:r>
            </w:hyperlink>
          </w:p>
        </w:tc>
        <w:tc>
          <w:tcPr>
            <w:tcW w:w="2140" w:type="dxa"/>
            <w:vAlign w:val="bottom"/>
            <w:gridSpan w:val="15"/>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1500" w:type="dxa"/>
            <w:vAlign w:val="bottom"/>
            <w:gridSpan w:val="7"/>
            <w:shd w:val="clear" w:color="auto" w:fill="0000EE"/>
          </w:tcPr>
          <w:p>
            <w:pPr>
              <w:spacing w:after="0" w:line="20" w:lineRule="exact"/>
              <w:rPr>
                <w:sz w:val="1"/>
                <w:szCs w:val="1"/>
                <w:color w:val="auto"/>
              </w:rPr>
            </w:pPr>
          </w:p>
        </w:tc>
        <w:tc>
          <w:tcPr>
            <w:tcW w:w="5600" w:type="dxa"/>
            <w:vAlign w:val="bottom"/>
            <w:tcBorders>
              <w:left w:val="single" w:sz="8" w:color="0000EE"/>
            </w:tcBorders>
            <w:gridSpan w:val="34"/>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840" w:type="dxa"/>
            <w:vAlign w:val="bottom"/>
            <w:tcBorders>
              <w:left w:val="single" w:sz="8" w:color="0000EE"/>
            </w:tcBorders>
            <w:gridSpan w:val="18"/>
            <w:shd w:val="clear" w:color="auto" w:fill="0000EE"/>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60" w:type="dxa"/>
            <w:vAlign w:val="bottom"/>
            <w:gridSpan w:val="16"/>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Nominees for directorship</w:t>
              </w:r>
            </w:hyperlink>
          </w:p>
        </w:tc>
        <w:tc>
          <w:tcPr>
            <w:tcW w:w="2600" w:type="dxa"/>
            <w:vAlign w:val="bottom"/>
            <w:gridSpan w:val="16"/>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27"/>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Grants of plan-based awards</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20"/>
        </w:trPr>
        <w:tc>
          <w:tcPr>
            <w:tcW w:w="1500" w:type="dxa"/>
            <w:vAlign w:val="bottom"/>
            <w:gridSpan w:val="7"/>
          </w:tcPr>
          <w:p>
            <w:pPr>
              <w:spacing w:after="0" w:line="20" w:lineRule="exact"/>
              <w:rPr>
                <w:sz w:val="1"/>
                <w:szCs w:val="1"/>
                <w:color w:val="auto"/>
              </w:rPr>
            </w:pPr>
          </w:p>
        </w:tc>
        <w:tc>
          <w:tcPr>
            <w:tcW w:w="4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5180" w:type="dxa"/>
            <w:vAlign w:val="bottom"/>
            <w:tcBorders>
              <w:left w:val="single" w:sz="8" w:color="0000EE"/>
            </w:tcBorders>
            <w:gridSpan w:val="29"/>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840" w:type="dxa"/>
            <w:vAlign w:val="bottom"/>
            <w:gridSpan w:val="18"/>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4660" w:type="dxa"/>
            <w:vAlign w:val="bottom"/>
            <w:gridSpan w:val="32"/>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Director nomination process</w:t>
              </w:r>
            </w:hyperlink>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27"/>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Outstanding equity awards at fiscal year-end</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160" w:type="dxa"/>
            <w:vAlign w:val="bottom"/>
          </w:tcPr>
          <w:p>
            <w:pPr>
              <w:spacing w:after="0"/>
              <w:rPr>
                <w:sz w:val="15"/>
                <w:szCs w:val="15"/>
                <w:color w:val="auto"/>
              </w:rPr>
            </w:pPr>
          </w:p>
        </w:tc>
        <w:tc>
          <w:tcPr>
            <w:tcW w:w="466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Director candidate recommendations</w:t>
              </w:r>
            </w:hyperlink>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Option exercises and stock vested</w:t>
              </w:r>
            </w:hyperlink>
          </w:p>
        </w:tc>
        <w:tc>
          <w:tcPr>
            <w:tcW w:w="1200" w:type="dxa"/>
            <w:vAlign w:val="bottom"/>
            <w:gridSpan w:val="8"/>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160" w:type="dxa"/>
            <w:vAlign w:val="bottom"/>
          </w:tcPr>
          <w:p>
            <w:pPr>
              <w:spacing w:after="0"/>
              <w:rPr>
                <w:sz w:val="15"/>
                <w:szCs w:val="15"/>
                <w:color w:val="auto"/>
              </w:rPr>
            </w:pPr>
          </w:p>
        </w:tc>
        <w:tc>
          <w:tcPr>
            <w:tcW w:w="294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Stockholder nomination of directors</w:t>
              </w:r>
            </w:hyperlink>
          </w:p>
        </w:tc>
        <w:tc>
          <w:tcPr>
            <w:tcW w:w="1720" w:type="dxa"/>
            <w:vAlign w:val="bottom"/>
            <w:gridSpan w:val="9"/>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Pension benefits</w:t>
              </w:r>
            </w:hyperlink>
          </w:p>
        </w:tc>
        <w:tc>
          <w:tcPr>
            <w:tcW w:w="2000" w:type="dxa"/>
            <w:vAlign w:val="bottom"/>
            <w:gridSpan w:val="14"/>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1500" w:type="dxa"/>
            <w:vAlign w:val="bottom"/>
            <w:gridSpan w:val="7"/>
          </w:tcPr>
          <w:p>
            <w:pPr>
              <w:spacing w:after="0" w:line="20" w:lineRule="exact"/>
              <w:rPr>
                <w:sz w:val="1"/>
                <w:szCs w:val="1"/>
                <w:color w:val="auto"/>
              </w:rPr>
            </w:pPr>
          </w:p>
        </w:tc>
        <w:tc>
          <w:tcPr>
            <w:tcW w:w="4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440" w:type="dxa"/>
            <w:vAlign w:val="bottom"/>
            <w:tcBorders>
              <w:left w:val="single" w:sz="8" w:color="0000EE"/>
            </w:tcBorders>
            <w:gridSpan w:val="19"/>
            <w:shd w:val="clear" w:color="auto" w:fill="0000EE"/>
          </w:tcPr>
          <w:p>
            <w:pPr>
              <w:spacing w:after="0" w:line="20" w:lineRule="exact"/>
              <w:rPr>
                <w:sz w:val="1"/>
                <w:szCs w:val="1"/>
                <w:color w:val="auto"/>
              </w:rPr>
            </w:pPr>
          </w:p>
        </w:tc>
        <w:tc>
          <w:tcPr>
            <w:tcW w:w="3840" w:type="dxa"/>
            <w:vAlign w:val="bottom"/>
            <w:tcBorders>
              <w:left w:val="single" w:sz="8" w:color="0000EE"/>
            </w:tcBorders>
            <w:gridSpan w:val="23"/>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820" w:type="dxa"/>
            <w:vAlign w:val="bottom"/>
            <w:gridSpan w:val="22"/>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Director nominees</w:t>
              </w:r>
            </w:hyperlink>
          </w:p>
        </w:tc>
        <w:tc>
          <w:tcPr>
            <w:tcW w:w="1840" w:type="dxa"/>
            <w:vAlign w:val="bottom"/>
            <w:gridSpan w:val="10"/>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27"/>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Non-qualified deferred compensation</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20"/>
        </w:trPr>
        <w:tc>
          <w:tcPr>
            <w:tcW w:w="1500" w:type="dxa"/>
            <w:vAlign w:val="bottom"/>
            <w:gridSpan w:val="7"/>
          </w:tcPr>
          <w:p>
            <w:pPr>
              <w:spacing w:after="0" w:line="20" w:lineRule="exact"/>
              <w:rPr>
                <w:sz w:val="1"/>
                <w:szCs w:val="1"/>
                <w:color w:val="auto"/>
              </w:rPr>
            </w:pPr>
          </w:p>
        </w:tc>
        <w:tc>
          <w:tcPr>
            <w:tcW w:w="5600" w:type="dxa"/>
            <w:vAlign w:val="bottom"/>
            <w:tcBorders>
              <w:left w:val="single" w:sz="8" w:color="0000EE"/>
            </w:tcBorders>
            <w:gridSpan w:val="34"/>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840" w:type="dxa"/>
            <w:vAlign w:val="bottom"/>
            <w:tcBorders>
              <w:left w:val="single" w:sz="8" w:color="0000EE"/>
            </w:tcBorders>
            <w:gridSpan w:val="18"/>
            <w:shd w:val="clear" w:color="auto" w:fill="0000EE"/>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140" w:type="dxa"/>
            <w:vAlign w:val="bottom"/>
            <w:gridSpan w:val="17"/>
          </w:tcPr>
          <w:p>
            <w:pPr>
              <w:spacing w:after="0" w:line="182"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Diversity and qualifications</w:t>
              </w:r>
            </w:hyperlink>
          </w:p>
        </w:tc>
        <w:tc>
          <w:tcPr>
            <w:tcW w:w="2520" w:type="dxa"/>
            <w:vAlign w:val="bottom"/>
            <w:gridSpan w:val="15"/>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27"/>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Potential payments upon termination or change in control</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20"/>
        </w:trPr>
        <w:tc>
          <w:tcPr>
            <w:tcW w:w="1500" w:type="dxa"/>
            <w:vAlign w:val="bottom"/>
            <w:gridSpan w:val="7"/>
          </w:tcPr>
          <w:p>
            <w:pPr>
              <w:spacing w:after="0" w:line="20" w:lineRule="exact"/>
              <w:rPr>
                <w:sz w:val="1"/>
                <w:szCs w:val="1"/>
                <w:color w:val="auto"/>
              </w:rPr>
            </w:pPr>
          </w:p>
        </w:tc>
        <w:tc>
          <w:tcPr>
            <w:tcW w:w="4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4800" w:type="dxa"/>
            <w:vAlign w:val="bottom"/>
            <w:gridSpan w:val="23"/>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tcBorders>
              <w:left w:val="single" w:sz="8" w:color="0000EE"/>
              <w:right w:val="single" w:sz="8" w:color="0000EE"/>
            </w:tcBorders>
            <w:gridSpan w:val="8"/>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4660" w:type="dxa"/>
            <w:vAlign w:val="bottom"/>
            <w:gridSpan w:val="32"/>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Communications with the board</w:t>
              </w:r>
            </w:hyperlink>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5"/>
                <w:szCs w:val="15"/>
                <w:color w:val="auto"/>
              </w:rPr>
            </w:pPr>
          </w:p>
        </w:tc>
        <w:tc>
          <w:tcPr>
            <w:tcW w:w="4940" w:type="dxa"/>
            <w:vAlign w:val="bottom"/>
            <w:gridSpan w:val="28"/>
          </w:tcPr>
          <w:p>
            <w:pPr>
              <w:ind w:left="180"/>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Pay ratio</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20"/>
        </w:trPr>
        <w:tc>
          <w:tcPr>
            <w:tcW w:w="1500" w:type="dxa"/>
            <w:vAlign w:val="bottom"/>
            <w:gridSpan w:val="7"/>
          </w:tcPr>
          <w:p>
            <w:pPr>
              <w:spacing w:after="0" w:line="20" w:lineRule="exact"/>
              <w:rPr>
                <w:sz w:val="1"/>
                <w:szCs w:val="1"/>
                <w:color w:val="auto"/>
              </w:rPr>
            </w:pPr>
          </w:p>
        </w:tc>
        <w:tc>
          <w:tcPr>
            <w:tcW w:w="4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280" w:type="dxa"/>
            <w:vAlign w:val="bottom"/>
            <w:tcBorders>
              <w:left w:val="single" w:sz="8" w:color="0000EE"/>
            </w:tcBorders>
            <w:gridSpan w:val="42"/>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760" w:type="dxa"/>
            <w:vAlign w:val="bottom"/>
            <w:gridSpan w:val="11"/>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Corporate governance</w:t>
              </w:r>
            </w:hyperlink>
          </w:p>
        </w:tc>
        <w:tc>
          <w:tcPr>
            <w:tcW w:w="740" w:type="dxa"/>
            <w:vAlign w:val="bottom"/>
            <w:gridSpan w:val="10"/>
          </w:tcPr>
          <w:p>
            <w:pPr>
              <w:spacing w:after="0"/>
              <w:rPr>
                <w:sz w:val="15"/>
                <w:szCs w:val="15"/>
                <w:color w:val="auto"/>
              </w:rPr>
            </w:pPr>
          </w:p>
        </w:tc>
        <w:tc>
          <w:tcPr>
            <w:tcW w:w="2160" w:type="dxa"/>
            <w:vAlign w:val="bottom"/>
            <w:gridSpan w:val="11"/>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5"/>
                <w:szCs w:val="15"/>
                <w:color w:val="auto"/>
              </w:rPr>
            </w:pPr>
          </w:p>
        </w:tc>
        <w:tc>
          <w:tcPr>
            <w:tcW w:w="4940" w:type="dxa"/>
            <w:vAlign w:val="bottom"/>
            <w:gridSpan w:val="28"/>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Audit Committee report</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20"/>
        </w:trPr>
        <w:tc>
          <w:tcPr>
            <w:tcW w:w="1500" w:type="dxa"/>
            <w:vAlign w:val="bottom"/>
            <w:gridSpan w:val="7"/>
          </w:tcPr>
          <w:p>
            <w:pPr>
              <w:spacing w:after="0" w:line="20" w:lineRule="exact"/>
              <w:rPr>
                <w:sz w:val="1"/>
                <w:szCs w:val="1"/>
                <w:color w:val="auto"/>
              </w:rPr>
            </w:pPr>
          </w:p>
        </w:tc>
        <w:tc>
          <w:tcPr>
            <w:tcW w:w="4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5180" w:type="dxa"/>
            <w:vAlign w:val="bottom"/>
            <w:tcBorders>
              <w:left w:val="single" w:sz="8" w:color="0000EE"/>
            </w:tcBorders>
            <w:gridSpan w:val="29"/>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80" w:type="dxa"/>
            <w:vAlign w:val="bottom"/>
            <w:gridSpan w:val="20"/>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2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Annual meeting attendance</w:t>
              </w:r>
            </w:hyperlink>
          </w:p>
        </w:tc>
        <w:tc>
          <w:tcPr>
            <w:tcW w:w="2460" w:type="dxa"/>
            <w:vAlign w:val="bottom"/>
            <w:gridSpan w:val="14"/>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5"/>
                <w:szCs w:val="15"/>
                <w:color w:val="auto"/>
              </w:rPr>
            </w:pPr>
          </w:p>
        </w:tc>
        <w:tc>
          <w:tcPr>
            <w:tcW w:w="4560" w:type="dxa"/>
            <w:vAlign w:val="bottom"/>
            <w:tcBorders>
              <w:bottom w:val="single" w:sz="8" w:color="0000EE"/>
            </w:tcBorders>
            <w:gridSpan w:val="25"/>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Proposal to ratify appointment of independent registered</w:t>
              </w:r>
            </w:hyperlink>
          </w:p>
        </w:tc>
        <w:tc>
          <w:tcPr>
            <w:tcW w:w="38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r>
      <w:tr>
        <w:trPr>
          <w:trHeight w:val="183"/>
        </w:trPr>
        <w:tc>
          <w:tcPr>
            <w:tcW w:w="160" w:type="dxa"/>
            <w:vAlign w:val="bottom"/>
          </w:tcPr>
          <w:p>
            <w:pPr>
              <w:spacing w:after="0"/>
              <w:rPr>
                <w:sz w:val="15"/>
                <w:szCs w:val="15"/>
                <w:color w:val="auto"/>
              </w:rPr>
            </w:pPr>
          </w:p>
        </w:tc>
        <w:tc>
          <w:tcPr>
            <w:tcW w:w="18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Director independence</w:t>
              </w:r>
            </w:hyperlink>
          </w:p>
        </w:tc>
        <w:tc>
          <w:tcPr>
            <w:tcW w:w="2840" w:type="dxa"/>
            <w:vAlign w:val="bottom"/>
            <w:gridSpan w:val="20"/>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public accounting firm</w:t>
              </w:r>
            </w:hyperlink>
          </w:p>
        </w:tc>
        <w:tc>
          <w:tcPr>
            <w:tcW w:w="3000" w:type="dxa"/>
            <w:vAlign w:val="bottom"/>
            <w:gridSpan w:val="18"/>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1500" w:type="dxa"/>
            <w:vAlign w:val="bottom"/>
            <w:gridSpan w:val="7"/>
          </w:tcPr>
          <w:p>
            <w:pPr>
              <w:spacing w:after="0" w:line="182"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Board organization</w:t>
              </w:r>
            </w:hyperlink>
          </w:p>
        </w:tc>
        <w:tc>
          <w:tcPr>
            <w:tcW w:w="3320" w:type="dxa"/>
            <w:vAlign w:val="bottom"/>
            <w:gridSpan w:val="26"/>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5"/>
                <w:szCs w:val="15"/>
                <w:color w:val="auto"/>
              </w:rPr>
            </w:pPr>
          </w:p>
        </w:tc>
        <w:tc>
          <w:tcPr>
            <w:tcW w:w="4940" w:type="dxa"/>
            <w:vAlign w:val="bottom"/>
            <w:gridSpan w:val="28"/>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Proposal to approve the Texas Instruments 2018 Director</w:t>
              </w:r>
            </w:hyperlink>
          </w:p>
        </w:tc>
        <w:tc>
          <w:tcPr>
            <w:tcW w:w="400" w:type="dxa"/>
            <w:vAlign w:val="bottom"/>
          </w:tcPr>
          <w:p>
            <w:pPr>
              <w:spacing w:after="0"/>
              <w:rPr>
                <w:sz w:val="15"/>
                <w:szCs w:val="15"/>
                <w:color w:val="auto"/>
              </w:rPr>
            </w:pPr>
          </w:p>
        </w:tc>
      </w:tr>
      <w:tr>
        <w:trPr>
          <w:trHeight w:val="20"/>
        </w:trPr>
        <w:tc>
          <w:tcPr>
            <w:tcW w:w="7100" w:type="dxa"/>
            <w:vAlign w:val="bottom"/>
            <w:gridSpan w:val="41"/>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tcBorders>
              <w:left w:val="single" w:sz="8" w:color="0000EE"/>
              <w:right w:val="single" w:sz="8" w:color="0000EE"/>
            </w:tcBorders>
            <w:gridSpan w:val="8"/>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500" w:type="dxa"/>
            <w:vAlign w:val="bottom"/>
            <w:gridSpan w:val="21"/>
          </w:tcPr>
          <w:p>
            <w:pPr>
              <w:spacing w:after="0" w:line="182" w:lineRule="exact"/>
              <w:rPr>
                <w:rFonts w:ascii="Arial" w:cs="Arial" w:eastAsia="Arial" w:hAnsi="Arial"/>
                <w:sz w:val="18"/>
                <w:szCs w:val="18"/>
                <w:color w:val="0000EE"/>
                <w:w w:val="98"/>
              </w:rPr>
            </w:pPr>
            <w:hyperlink w:anchor="page13">
              <w:r>
                <w:rPr>
                  <w:rFonts w:ascii="Arial" w:cs="Arial" w:eastAsia="Arial" w:hAnsi="Arial"/>
                  <w:sz w:val="18"/>
                  <w:szCs w:val="18"/>
                  <w:color w:val="0000EE"/>
                  <w:w w:val="98"/>
                </w:rPr>
                <w:t>Board and committee meetings</w:t>
              </w:r>
            </w:hyperlink>
          </w:p>
        </w:tc>
        <w:tc>
          <w:tcPr>
            <w:tcW w:w="2160" w:type="dxa"/>
            <w:vAlign w:val="bottom"/>
            <w:gridSpan w:val="11"/>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27"/>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Compensation Plan</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1920" w:type="dxa"/>
            <w:vAlign w:val="bottom"/>
            <w:tcBorders>
              <w:right w:val="single" w:sz="8" w:color="0000EE"/>
            </w:tcBorders>
            <w:gridSpan w:val="12"/>
          </w:tcPr>
          <w:p>
            <w:pPr>
              <w:spacing w:after="0" w:line="20" w:lineRule="exact"/>
              <w:rPr>
                <w:sz w:val="1"/>
                <w:szCs w:val="1"/>
                <w:color w:val="auto"/>
              </w:rPr>
            </w:pPr>
          </w:p>
        </w:tc>
        <w:tc>
          <w:tcPr>
            <w:tcW w:w="38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4800" w:type="dxa"/>
            <w:vAlign w:val="bottom"/>
            <w:tcBorders>
              <w:left w:val="single" w:sz="8" w:color="0000EE"/>
            </w:tcBorders>
            <w:gridSpan w:val="23"/>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0" w:type="dxa"/>
            <w:vAlign w:val="bottom"/>
            <w:tcBorders>
              <w:left w:val="single" w:sz="8" w:color="0000EE"/>
            </w:tcBorders>
            <w:gridSpan w:val="21"/>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9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Committees of the board</w:t>
              </w:r>
            </w:hyperlink>
          </w:p>
        </w:tc>
        <w:tc>
          <w:tcPr>
            <w:tcW w:w="520" w:type="dxa"/>
            <w:vAlign w:val="bottom"/>
            <w:gridSpan w:val="6"/>
          </w:tcPr>
          <w:p>
            <w:pPr>
              <w:spacing w:after="0"/>
              <w:rPr>
                <w:sz w:val="15"/>
                <w:szCs w:val="15"/>
                <w:color w:val="auto"/>
              </w:rPr>
            </w:pPr>
          </w:p>
        </w:tc>
        <w:tc>
          <w:tcPr>
            <w:tcW w:w="2160" w:type="dxa"/>
            <w:vAlign w:val="bottom"/>
            <w:gridSpan w:val="11"/>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5"/>
                <w:szCs w:val="15"/>
                <w:color w:val="auto"/>
              </w:rPr>
            </w:pPr>
          </w:p>
        </w:tc>
        <w:tc>
          <w:tcPr>
            <w:tcW w:w="302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Equity compensation plan information</w:t>
              </w:r>
            </w:hyperlink>
          </w:p>
        </w:tc>
        <w:tc>
          <w:tcPr>
            <w:tcW w:w="1920" w:type="dxa"/>
            <w:vAlign w:val="bottom"/>
            <w:gridSpan w:val="13"/>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183"/>
        </w:trPr>
        <w:tc>
          <w:tcPr>
            <w:tcW w:w="160" w:type="dxa"/>
            <w:vAlign w:val="bottom"/>
          </w:tcPr>
          <w:p>
            <w:pPr>
              <w:spacing w:after="0"/>
              <w:rPr>
                <w:sz w:val="15"/>
                <w:szCs w:val="15"/>
                <w:color w:val="auto"/>
              </w:rPr>
            </w:pPr>
          </w:p>
        </w:tc>
        <w:tc>
          <w:tcPr>
            <w:tcW w:w="2140" w:type="dxa"/>
            <w:vAlign w:val="bottom"/>
            <w:gridSpan w:val="17"/>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Board leadership structure</w:t>
              </w:r>
            </w:hyperlink>
          </w:p>
        </w:tc>
        <w:tc>
          <w:tcPr>
            <w:tcW w:w="2520" w:type="dxa"/>
            <w:vAlign w:val="bottom"/>
            <w:gridSpan w:val="15"/>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5"/>
                <w:szCs w:val="15"/>
                <w:color w:val="auto"/>
              </w:rPr>
            </w:pPr>
          </w:p>
        </w:tc>
        <w:tc>
          <w:tcPr>
            <w:tcW w:w="4940" w:type="dxa"/>
            <w:vAlign w:val="bottom"/>
            <w:gridSpan w:val="28"/>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Additional information</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4660" w:type="dxa"/>
            <w:vAlign w:val="bottom"/>
            <w:gridSpan w:val="32"/>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Risk oversight by the board</w:t>
              </w:r>
            </w:hyperlink>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5"/>
                <w:szCs w:val="15"/>
                <w:color w:val="auto"/>
              </w:rPr>
            </w:pPr>
          </w:p>
        </w:tc>
        <w:tc>
          <w:tcPr>
            <w:tcW w:w="4940" w:type="dxa"/>
            <w:vAlign w:val="bottom"/>
            <w:gridSpan w:val="28"/>
          </w:tcPr>
          <w:p>
            <w:pPr>
              <w:ind w:left="180"/>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Voting securities</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4820" w:type="dxa"/>
            <w:vAlign w:val="bottom"/>
            <w:gridSpan w:val="33"/>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Director compensation</w:t>
              </w:r>
            </w:hyperlink>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5"/>
                <w:szCs w:val="15"/>
                <w:color w:val="auto"/>
              </w:rPr>
            </w:pPr>
          </w:p>
        </w:tc>
        <w:tc>
          <w:tcPr>
            <w:tcW w:w="4940" w:type="dxa"/>
            <w:vAlign w:val="bottom"/>
            <w:gridSpan w:val="28"/>
          </w:tcPr>
          <w:p>
            <w:pPr>
              <w:ind w:left="180"/>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Security ownership of certain beneficial owners</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1920" w:type="dxa"/>
            <w:vAlign w:val="bottom"/>
            <w:gridSpan w:val="12"/>
          </w:tcPr>
          <w:p>
            <w:pPr>
              <w:spacing w:after="0" w:line="182"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Executive compensation</w:t>
              </w:r>
            </w:hyperlink>
          </w:p>
        </w:tc>
        <w:tc>
          <w:tcPr>
            <w:tcW w:w="2900" w:type="dxa"/>
            <w:vAlign w:val="bottom"/>
            <w:gridSpan w:val="21"/>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27"/>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Security ownership of directors and management</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440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Proposal regarding advisory approval of the company’s</w:t>
              </w:r>
            </w:hyperlink>
          </w:p>
        </w:tc>
        <w:tc>
          <w:tcPr>
            <w:tcW w:w="26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Related person transactions</w:t>
              </w:r>
            </w:hyperlink>
          </w:p>
        </w:tc>
        <w:tc>
          <w:tcPr>
            <w:tcW w:w="2440" w:type="dxa"/>
            <w:vAlign w:val="bottom"/>
            <w:gridSpan w:val="17"/>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executive compensation</w:t>
              </w:r>
            </w:hyperlink>
          </w:p>
        </w:tc>
        <w:tc>
          <w:tcPr>
            <w:tcW w:w="2520" w:type="dxa"/>
            <w:vAlign w:val="bottom"/>
            <w:gridSpan w:val="15"/>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Compensation committee interlocks and insider</w:t>
              </w:r>
            </w:hyperlink>
          </w:p>
        </w:tc>
        <w:tc>
          <w:tcPr>
            <w:tcW w:w="960" w:type="dxa"/>
            <w:vAlign w:val="bottom"/>
            <w:gridSpan w:val="5"/>
          </w:tcPr>
          <w:p>
            <w:pPr>
              <w:spacing w:after="0"/>
              <w:rPr>
                <w:sz w:val="15"/>
                <w:szCs w:val="15"/>
                <w:color w:val="auto"/>
              </w:rPr>
            </w:pPr>
          </w:p>
        </w:tc>
        <w:tc>
          <w:tcPr>
            <w:tcW w:w="400" w:type="dxa"/>
            <w:vAlign w:val="bottom"/>
          </w:tcPr>
          <w:p>
            <w:pPr>
              <w:spacing w:after="0"/>
              <w:rPr>
                <w:sz w:val="15"/>
                <w:szCs w:val="15"/>
                <w:color w:val="auto"/>
              </w:rPr>
            </w:pPr>
          </w:p>
        </w:tc>
      </w:tr>
      <w:tr>
        <w:trPr>
          <w:trHeight w:val="183"/>
        </w:trPr>
        <w:tc>
          <w:tcPr>
            <w:tcW w:w="160" w:type="dxa"/>
            <w:vAlign w:val="bottom"/>
          </w:tcPr>
          <w:p>
            <w:pPr>
              <w:spacing w:after="0"/>
              <w:rPr>
                <w:sz w:val="15"/>
                <w:szCs w:val="15"/>
                <w:color w:val="auto"/>
              </w:rPr>
            </w:pPr>
          </w:p>
        </w:tc>
        <w:tc>
          <w:tcPr>
            <w:tcW w:w="316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Compensation Discussion and Analysis</w:t>
              </w:r>
            </w:hyperlink>
          </w:p>
        </w:tc>
        <w:tc>
          <w:tcPr>
            <w:tcW w:w="1500" w:type="dxa"/>
            <w:vAlign w:val="bottom"/>
            <w:gridSpan w:val="8"/>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participation</w:t>
              </w:r>
            </w:hyperlink>
          </w:p>
        </w:tc>
        <w:tc>
          <w:tcPr>
            <w:tcW w:w="3600" w:type="dxa"/>
            <w:vAlign w:val="bottom"/>
            <w:gridSpan w:val="23"/>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10"/>
          </w:tcPr>
          <w:p>
            <w:pPr>
              <w:spacing w:after="0" w:line="182"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Executive summary</w:t>
              </w:r>
            </w:hyperlink>
          </w:p>
        </w:tc>
        <w:tc>
          <w:tcPr>
            <w:tcW w:w="2900" w:type="dxa"/>
            <w:vAlign w:val="bottom"/>
            <w:gridSpan w:val="21"/>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27"/>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Cost of solicitation</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Detailed discussion</w:t>
              </w:r>
            </w:hyperlink>
          </w:p>
        </w:tc>
        <w:tc>
          <w:tcPr>
            <w:tcW w:w="2900" w:type="dxa"/>
            <w:vAlign w:val="bottom"/>
            <w:gridSpan w:val="21"/>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20" w:type="dxa"/>
            <w:vAlign w:val="bottom"/>
            <w:tcBorders>
              <w:bottom w:val="single" w:sz="8" w:color="0000EE"/>
            </w:tcBorders>
            <w:gridSpan w:val="23"/>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Stockholder proposals and nominations for 2019</w:t>
              </w:r>
            </w:hyperlink>
          </w:p>
        </w:tc>
        <w:tc>
          <w:tcPr>
            <w:tcW w:w="840" w:type="dxa"/>
            <w:vAlign w:val="bottom"/>
            <w:gridSpan w:val="4"/>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Compensation philosophy and elements</w:t>
              </w:r>
            </w:hyperlink>
          </w:p>
        </w:tc>
        <w:tc>
          <w:tcPr>
            <w:tcW w:w="1080" w:type="dxa"/>
            <w:vAlign w:val="bottom"/>
            <w:gridSpan w:val="7"/>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Benefit plan voting</w:t>
              </w:r>
            </w:hyperlink>
          </w:p>
        </w:tc>
        <w:tc>
          <w:tcPr>
            <w:tcW w:w="3200" w:type="dxa"/>
            <w:vAlign w:val="bottom"/>
            <w:gridSpan w:val="20"/>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gridSpan w:val="30"/>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Comparator group</w:t>
              </w:r>
            </w:hyperlink>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5"/>
                <w:szCs w:val="15"/>
                <w:color w:val="auto"/>
              </w:rPr>
            </w:pPr>
          </w:p>
        </w:tc>
        <w:tc>
          <w:tcPr>
            <w:tcW w:w="4940" w:type="dxa"/>
            <w:vAlign w:val="bottom"/>
            <w:gridSpan w:val="28"/>
          </w:tcPr>
          <w:p>
            <w:pPr>
              <w:ind w:left="180"/>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Section 16(a) beneficial ownership reporting compliance</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gridSpan w:val="30"/>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Analysis of compensation determinations</w:t>
              </w:r>
            </w:hyperlink>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5"/>
                <w:szCs w:val="15"/>
                <w:color w:val="auto"/>
              </w:rPr>
            </w:pPr>
          </w:p>
        </w:tc>
        <w:tc>
          <w:tcPr>
            <w:tcW w:w="4940" w:type="dxa"/>
            <w:vAlign w:val="bottom"/>
            <w:gridSpan w:val="28"/>
          </w:tcPr>
          <w:p>
            <w:pPr>
              <w:ind w:left="180"/>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Telephone and internet voting</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24"/>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Equity dilution</w:t>
              </w:r>
            </w:hyperlink>
          </w:p>
        </w:tc>
        <w:tc>
          <w:tcPr>
            <w:tcW w:w="1020" w:type="dxa"/>
            <w:vAlign w:val="bottom"/>
            <w:gridSpan w:val="6"/>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27"/>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Stockholders sharing the same address</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Process for equity grants</w:t>
              </w:r>
            </w:hyperlink>
          </w:p>
        </w:tc>
        <w:tc>
          <w:tcPr>
            <w:tcW w:w="2300" w:type="dxa"/>
            <w:vAlign w:val="bottom"/>
            <w:gridSpan w:val="12"/>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8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Electronic delivery of proxy materials and copies of our</w:t>
              </w:r>
            </w:hyperlink>
          </w:p>
        </w:tc>
        <w:tc>
          <w:tcPr>
            <w:tcW w:w="38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Recoupment policy</w:t>
              </w:r>
            </w:hyperlink>
          </w:p>
        </w:tc>
        <w:tc>
          <w:tcPr>
            <w:tcW w:w="2760" w:type="dxa"/>
            <w:vAlign w:val="bottom"/>
            <w:gridSpan w:val="19"/>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Form 10-K</w:t>
              </w:r>
            </w:hyperlink>
          </w:p>
        </w:tc>
        <w:tc>
          <w:tcPr>
            <w:tcW w:w="3720" w:type="dxa"/>
            <w:vAlign w:val="bottom"/>
            <w:gridSpan w:val="24"/>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00" w:type="dxa"/>
            <w:vAlign w:val="bottom"/>
            <w:gridSpan w:val="29"/>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Most recent stockholder advisory vote on executive</w:t>
              </w:r>
            </w:hyperlink>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40" w:type="dxa"/>
            <w:vAlign w:val="bottom"/>
            <w:gridSpan w:val="28"/>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Notice regarding forward-looking statements</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120" w:type="dxa"/>
            <w:vAlign w:val="bottom"/>
            <w:gridSpan w:val="1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20" w:type="dxa"/>
            <w:vAlign w:val="bottom"/>
            <w:gridSpan w:val="28"/>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compensation</w:t>
              </w:r>
            </w:hyperlink>
          </w:p>
        </w:tc>
        <w:tc>
          <w:tcPr>
            <w:tcW w:w="20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5"/>
                <w:szCs w:val="15"/>
                <w:color w:val="auto"/>
              </w:rPr>
            </w:pPr>
          </w:p>
        </w:tc>
        <w:tc>
          <w:tcPr>
            <w:tcW w:w="4940" w:type="dxa"/>
            <w:vAlign w:val="bottom"/>
            <w:gridSpan w:val="28"/>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Directions and other annual meeting information</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12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spacing w:after="0" w:line="182"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Benefits</w:t>
              </w:r>
            </w:hyperlink>
          </w:p>
        </w:tc>
        <w:tc>
          <w:tcPr>
            <w:tcW w:w="3640" w:type="dxa"/>
            <w:vAlign w:val="bottom"/>
            <w:gridSpan w:val="28"/>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5"/>
                <w:szCs w:val="15"/>
                <w:color w:val="auto"/>
              </w:rPr>
            </w:pPr>
          </w:p>
        </w:tc>
        <w:tc>
          <w:tcPr>
            <w:tcW w:w="4940" w:type="dxa"/>
            <w:vAlign w:val="bottom"/>
            <w:gridSpan w:val="28"/>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Appendix A (Non-GAAP reconciliations)</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A-</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212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bottom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56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22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00" w:type="dxa"/>
            <w:vAlign w:val="bottom"/>
            <w:gridSpan w:val="30"/>
          </w:tcPr>
          <w:p>
            <w:pPr>
              <w:spacing w:after="0" w:line="163" w:lineRule="exact"/>
              <w:rPr>
                <w:rFonts w:ascii="Arial" w:cs="Arial" w:eastAsia="Arial" w:hAnsi="Arial"/>
                <w:sz w:val="18"/>
                <w:szCs w:val="18"/>
                <w:color w:val="0000EE"/>
              </w:rPr>
            </w:pPr>
            <w:hyperlink w:anchor="page31">
              <w:r>
                <w:rPr>
                  <w:rFonts w:ascii="Arial" w:cs="Arial" w:eastAsia="Arial" w:hAnsi="Arial"/>
                  <w:sz w:val="18"/>
                  <w:szCs w:val="18"/>
                  <w:color w:val="0000EE"/>
                </w:rPr>
                <w:t>Compensation following employment termination or</w:t>
              </w:r>
            </w:hyperlink>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line="163" w:lineRule="exact"/>
              <w:rPr>
                <w:sz w:val="20"/>
                <w:szCs w:val="20"/>
                <w:color w:val="auto"/>
              </w:rPr>
            </w:pPr>
            <w:r>
              <w:rPr>
                <w:rFonts w:ascii="Arial" w:cs="Arial" w:eastAsia="Arial" w:hAnsi="Arial"/>
                <w:sz w:val="18"/>
                <w:szCs w:val="18"/>
                <w:color w:val="auto"/>
              </w:rPr>
              <w:t>1</w:t>
            </w: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3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change in control</w:t>
              </w:r>
            </w:hyperlink>
          </w:p>
        </w:tc>
        <w:tc>
          <w:tcPr>
            <w:tcW w:w="2540" w:type="dxa"/>
            <w:vAlign w:val="bottom"/>
            <w:tcBorders>
              <w:top w:val="single" w:sz="8" w:color="0000EE"/>
            </w:tcBorders>
            <w:gridSpan w:val="17"/>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29</w:t>
            </w:r>
          </w:p>
        </w:tc>
        <w:tc>
          <w:tcPr>
            <w:tcW w:w="280" w:type="dxa"/>
            <w:vAlign w:val="bottom"/>
          </w:tcPr>
          <w:p>
            <w:pPr>
              <w:spacing w:after="0"/>
              <w:rPr>
                <w:sz w:val="15"/>
                <w:szCs w:val="15"/>
                <w:color w:val="auto"/>
              </w:rPr>
            </w:pPr>
          </w:p>
        </w:tc>
        <w:tc>
          <w:tcPr>
            <w:tcW w:w="364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Appendix B (Texas Instruments 2018 Director</w:t>
              </w:r>
            </w:hyperlink>
          </w:p>
        </w:tc>
        <w:tc>
          <w:tcPr>
            <w:tcW w:w="1300" w:type="dxa"/>
            <w:vAlign w:val="bottom"/>
            <w:gridSpan w:val="9"/>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gridSpan w:val="30"/>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Stock ownership guidelines and policy against</w:t>
              </w:r>
            </w:hyperlink>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40" w:type="dxa"/>
            <w:vAlign w:val="bottom"/>
            <w:gridSpan w:val="28"/>
          </w:tcPr>
          <w:p>
            <w:pPr>
              <w:ind w:left="180"/>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Compensation Plan)</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5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hedging</w:t>
              </w:r>
            </w:hyperlink>
          </w:p>
        </w:tc>
        <w:tc>
          <w:tcPr>
            <w:tcW w:w="620" w:type="dxa"/>
            <w:vAlign w:val="bottom"/>
            <w:gridSpan w:val="5"/>
          </w:tcPr>
          <w:p>
            <w:pPr>
              <w:spacing w:after="0"/>
              <w:rPr>
                <w:sz w:val="15"/>
                <w:szCs w:val="15"/>
                <w:color w:val="auto"/>
              </w:rPr>
            </w:pPr>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80" w:type="dxa"/>
            <w:vAlign w:val="bottom"/>
            <w:gridSpan w:val="2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0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Consideration of tax and accounting treatment of</w:t>
              </w:r>
            </w:hyperlink>
          </w:p>
        </w:tc>
        <w:tc>
          <w:tcPr>
            <w:tcW w:w="400" w:type="dxa"/>
            <w:vAlign w:val="bottom"/>
            <w:gridSpan w:val="4"/>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3"/>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20" w:type="dxa"/>
            <w:vAlign w:val="bottom"/>
            <w:gridSpan w:val="29"/>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compensation</w:t>
              </w:r>
            </w:hyperlink>
          </w:p>
        </w:tc>
        <w:tc>
          <w:tcPr>
            <w:tcW w:w="5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450"/>
        </w:trPr>
        <w:tc>
          <w:tcPr>
            <w:tcW w:w="160" w:type="dxa"/>
            <w:vAlign w:val="bottom"/>
          </w:tcPr>
          <w:p>
            <w:pPr>
              <w:spacing w:after="0"/>
              <w:rPr>
                <w:sz w:val="20"/>
                <w:szCs w:val="20"/>
                <w:color w:val="auto"/>
              </w:rPr>
            </w:pPr>
            <w:r>
              <w:rPr>
                <w:rFonts w:ascii="Arial" w:cs="Arial" w:eastAsia="Arial" w:hAnsi="Arial"/>
                <w:sz w:val="13"/>
                <w:szCs w:val="13"/>
                <w:color w:val="666666"/>
              </w:rPr>
              <w:t>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7"/>
          </w:tcPr>
          <w:p>
            <w:pPr>
              <w:jc w:val="right"/>
              <w:spacing w:after="0"/>
              <w:rPr>
                <w:sz w:val="20"/>
                <w:szCs w:val="20"/>
                <w:color w:val="auto"/>
              </w:rPr>
            </w:pPr>
            <w:r>
              <w:rPr>
                <w:rFonts w:ascii="Arial" w:cs="Arial" w:eastAsia="Arial" w:hAnsi="Arial"/>
                <w:sz w:val="13"/>
                <w:szCs w:val="13"/>
                <w:color w:val="666666"/>
              </w:rPr>
              <w:t>TEXAS INSTRUMENTS</w:t>
            </w:r>
          </w:p>
        </w:tc>
        <w:tc>
          <w:tcPr>
            <w:tcW w:w="5220" w:type="dxa"/>
            <w:vAlign w:val="bottom"/>
            <w:gridSpan w:val="29"/>
          </w:tcPr>
          <w:p>
            <w:pPr>
              <w:ind w:left="80"/>
              <w:spacing w:after="0"/>
              <w:rPr>
                <w:sz w:val="20"/>
                <w:szCs w:val="20"/>
                <w:color w:val="auto"/>
              </w:rPr>
            </w:pPr>
            <w:r>
              <w:rPr>
                <w:rFonts w:ascii="Arial" w:cs="Arial" w:eastAsia="Arial" w:hAnsi="Arial"/>
                <w:sz w:val="13"/>
                <w:szCs w:val="13"/>
                <w:color w:val="666666"/>
              </w:rPr>
              <w:t>•  2018 PROXY STATEMENT</w:t>
            </w:r>
          </w:p>
        </w:tc>
        <w:tc>
          <w:tcPr>
            <w:tcW w:w="40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 MARCH 13, 2018</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12500 TI BOULEVARD, DALLAS, TX 75243</w:t>
      </w:r>
    </w:p>
    <w:p>
      <w:pPr>
        <w:ind w:left="200"/>
        <w:spacing w:after="0"/>
        <w:rPr>
          <w:sz w:val="20"/>
          <w:szCs w:val="20"/>
          <w:color w:val="auto"/>
        </w:rPr>
      </w:pPr>
      <w:r>
        <w:rPr>
          <w:rFonts w:ascii="Arial" w:cs="Arial" w:eastAsia="Arial" w:hAnsi="Arial"/>
          <w:sz w:val="18"/>
          <w:szCs w:val="18"/>
          <w:color w:val="auto"/>
        </w:rPr>
        <w:t>MAILING ADDRESS: P.O. BOX 660199, DALLAS, TX 75266-0199</w:t>
      </w:r>
    </w:p>
    <w:p>
      <w:pPr>
        <w:spacing w:after="0" w:line="3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Voting procedures, quorum and attendance requirements</w:t>
      </w:r>
    </w:p>
    <w:p>
      <w:pPr>
        <w:spacing w:after="0" w:line="238"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TI’s board of directors requests your proxy for the annual meeting of stockholders on April 26, 2018.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13, 2018.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quorum of stockholders is necessary to hold a valid meeting. If at least a majority of the shares of TI common stock issued</w:t>
      </w:r>
    </w:p>
    <w:p>
      <w:pPr>
        <w:ind w:left="200" w:right="120"/>
        <w:spacing w:after="0" w:line="239" w:lineRule="auto"/>
        <w:rPr>
          <w:sz w:val="20"/>
          <w:szCs w:val="20"/>
          <w:color w:val="auto"/>
        </w:rPr>
      </w:pPr>
      <w:r>
        <w:rPr>
          <w:rFonts w:ascii="Arial" w:cs="Arial" w:eastAsia="Arial" w:hAnsi="Arial"/>
          <w:sz w:val="18"/>
          <w:szCs w:val="18"/>
          <w:color w:val="auto"/>
        </w:rPr>
        <w:t>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202"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Shown below is a list of the matters to be considered at the meeting (each of which is discussed elsewhere in this proxy statement), and the vote required for election or approval, as the case may be.</w:t>
      </w:r>
    </w:p>
    <w:p>
      <w:pPr>
        <w:spacing w:after="0" w:line="212" w:lineRule="exact"/>
        <w:rPr>
          <w:sz w:val="20"/>
          <w:szCs w:val="20"/>
          <w:color w:val="auto"/>
        </w:rPr>
      </w:pPr>
    </w:p>
    <w:p>
      <w:pPr>
        <w:ind w:left="320"/>
        <w:spacing w:after="0"/>
        <w:tabs>
          <w:tab w:leader="none" w:pos="4500" w:val="left"/>
          <w:tab w:leader="none" w:pos="8120" w:val="left"/>
        </w:tabs>
        <w:rPr>
          <w:sz w:val="20"/>
          <w:szCs w:val="20"/>
          <w:color w:val="auto"/>
        </w:rPr>
      </w:pPr>
      <w:r>
        <w:rPr>
          <w:rFonts w:ascii="Arial" w:cs="Arial" w:eastAsia="Arial" w:hAnsi="Arial"/>
          <w:sz w:val="14"/>
          <w:szCs w:val="14"/>
          <w:b w:val="1"/>
          <w:bCs w:val="1"/>
          <w:color w:val="auto"/>
        </w:rPr>
        <w:t>Matter</w:t>
      </w:r>
      <w:r>
        <w:rPr>
          <w:sz w:val="20"/>
          <w:szCs w:val="20"/>
          <w:color w:val="auto"/>
        </w:rPr>
        <w:tab/>
      </w:r>
      <w:r>
        <w:rPr>
          <w:rFonts w:ascii="Arial" w:cs="Arial" w:eastAsia="Arial" w:hAnsi="Arial"/>
          <w:sz w:val="14"/>
          <w:szCs w:val="14"/>
          <w:b w:val="1"/>
          <w:bCs w:val="1"/>
          <w:color w:val="auto"/>
        </w:rPr>
        <w:t>Required Vote for Election or Approval</w:t>
      </w:r>
      <w:r>
        <w:rPr>
          <w:sz w:val="20"/>
          <w:szCs w:val="20"/>
          <w:color w:val="auto"/>
        </w:rPr>
        <w:tab/>
      </w:r>
      <w:r>
        <w:rPr>
          <w:rFonts w:ascii="Arial" w:cs="Arial" w:eastAsia="Arial" w:hAnsi="Arial"/>
          <w:sz w:val="14"/>
          <w:szCs w:val="14"/>
          <w:b w:val="1"/>
          <w:bCs w:val="1"/>
          <w:color w:val="auto"/>
        </w:rPr>
        <w:t>Impact of Abstentions or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6997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00" w:right="920" w:hanging="9"/>
        <w:spacing w:after="0" w:line="246" w:lineRule="auto"/>
        <w:rPr>
          <w:sz w:val="20"/>
          <w:szCs w:val="20"/>
          <w:color w:val="auto"/>
        </w:rPr>
      </w:pPr>
      <w:r>
        <w:rPr>
          <w:rFonts w:ascii="Arial" w:cs="Arial" w:eastAsia="Arial" w:hAnsi="Arial"/>
          <w:sz w:val="18"/>
          <w:szCs w:val="18"/>
          <w:color w:val="auto"/>
        </w:rPr>
        <w:t>Advisory vote to approve named executive officer compensation.</w:t>
      </w:r>
    </w:p>
    <w:p>
      <w:pPr>
        <w:spacing w:after="0" w:line="183" w:lineRule="exact"/>
        <w:rPr>
          <w:sz w:val="20"/>
          <w:szCs w:val="20"/>
          <w:color w:val="auto"/>
        </w:rPr>
      </w:pPr>
    </w:p>
    <w:p>
      <w:pPr>
        <w:ind w:left="300" w:right="80"/>
        <w:spacing w:after="0" w:line="275" w:lineRule="auto"/>
        <w:rPr>
          <w:sz w:val="20"/>
          <w:szCs w:val="20"/>
          <w:color w:val="auto"/>
        </w:rPr>
      </w:pPr>
      <w:r>
        <w:rPr>
          <w:rFonts w:ascii="Arial" w:cs="Arial" w:eastAsia="Arial" w:hAnsi="Arial"/>
          <w:sz w:val="17"/>
          <w:szCs w:val="17"/>
          <w:color w:val="auto"/>
        </w:rPr>
        <w:t>Proposal to approve the Texas Instruments 2018 Director Compensation Plan.</w:t>
      </w:r>
    </w:p>
    <w:p>
      <w:pPr>
        <w:spacing w:after="0" w:line="160" w:lineRule="exact"/>
        <w:rPr>
          <w:sz w:val="20"/>
          <w:szCs w:val="20"/>
          <w:color w:val="auto"/>
        </w:rPr>
      </w:pPr>
    </w:p>
    <w:p>
      <w:pPr>
        <w:ind w:left="300" w:right="900"/>
        <w:spacing w:after="0"/>
        <w:rPr>
          <w:sz w:val="20"/>
          <w:szCs w:val="20"/>
          <w:color w:val="auto"/>
        </w:rPr>
      </w:pPr>
      <w:r>
        <w:rPr>
          <w:rFonts w:ascii="Arial" w:cs="Arial" w:eastAsia="Arial" w:hAnsi="Arial"/>
          <w:sz w:val="18"/>
          <w:szCs w:val="18"/>
          <w:color w:val="auto"/>
        </w:rPr>
        <w:t>Proposal to ratify appointment of independent registered public accounting firm.</w:t>
      </w:r>
    </w:p>
    <w:p>
      <w:pPr>
        <w:spacing w:after="0" w:line="200" w:lineRule="exact"/>
        <w:rPr>
          <w:sz w:val="20"/>
          <w:szCs w:val="20"/>
          <w:color w:val="auto"/>
        </w:rPr>
      </w:pPr>
    </w:p>
    <w:p>
      <w:pPr>
        <w:spacing w:after="0" w:line="395" w:lineRule="exact"/>
        <w:rPr>
          <w:sz w:val="20"/>
          <w:szCs w:val="20"/>
          <w:color w:val="auto"/>
        </w:rPr>
      </w:pPr>
    </w:p>
    <w:p>
      <w:pPr>
        <w:ind w:left="300" w:right="480" w:hanging="9"/>
        <w:spacing w:after="0" w:line="246" w:lineRule="auto"/>
        <w:rPr>
          <w:sz w:val="20"/>
          <w:szCs w:val="20"/>
          <w:color w:val="auto"/>
        </w:rPr>
      </w:pPr>
      <w:r>
        <w:rPr>
          <w:rFonts w:ascii="Arial" w:cs="Arial" w:eastAsia="Arial" w:hAnsi="Arial"/>
          <w:sz w:val="18"/>
          <w:szCs w:val="18"/>
          <w:color w:val="auto"/>
        </w:rPr>
        <w:t>Any other matter that may properly be submitted at the meeting.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Majority of votes present in person or by proxy at the meeting and entitled to be cast in the election with respect to</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 nominee must be cast for that nominee. Majority of votes present in person or by proxy at the meeting must be cast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-382905</wp:posOffset>
            </wp:positionV>
            <wp:extent cx="6997700"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386080"/>
                    </a:xfrm>
                    <a:prstGeom prst="rect">
                      <a:avLst/>
                    </a:prstGeom>
                    <a:noFill/>
                  </pic:spPr>
                </pic:pic>
              </a:graphicData>
            </a:graphic>
          </wp:anchor>
        </w:drawing>
      </w:r>
    </w:p>
    <w:p>
      <w:pPr>
        <w:jc w:val="both"/>
        <w:ind w:right="60"/>
        <w:spacing w:after="0" w:line="234" w:lineRule="auto"/>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-393065</wp:posOffset>
            </wp:positionV>
            <wp:extent cx="6997700" cy="771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77152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right="180"/>
        <w:spacing w:after="0" w:line="261" w:lineRule="auto"/>
        <w:rPr>
          <w:sz w:val="20"/>
          <w:szCs w:val="20"/>
          <w:color w:val="auto"/>
        </w:rPr>
      </w:pPr>
      <w:r>
        <w:rPr>
          <w:rFonts w:ascii="Arial" w:cs="Arial" w:eastAsia="Arial" w:hAnsi="Arial"/>
          <w:sz w:val="17"/>
          <w:szCs w:val="17"/>
          <w:color w:val="auto"/>
        </w:rPr>
        <w:t>Abstentions have the same effect as votes against. Broker non-votes are not counted as votes for or against.</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183"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Abstentions have the same effect as votes against. (Brokers are permitted to exercise their discretion and vote without specific instruction on this matter. Accordingly, there are no broker non-votes.)</w:t>
      </w:r>
    </w:p>
    <w:p>
      <w:pPr>
        <w:spacing w:after="0" w:line="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326" w:lineRule="exact"/>
        <w:rPr>
          <w:sz w:val="20"/>
          <w:szCs w:val="20"/>
          <w:color w:val="auto"/>
        </w:rPr>
      </w:pPr>
    </w:p>
    <w:p>
      <w:pPr>
        <w:sectPr>
          <w:pgSz w:w="11900" w:h="16838" w:orient="portrait"/>
          <w:cols w:equalWidth="0" w:num="3">
            <w:col w:w="3800" w:space="720"/>
            <w:col w:w="3320" w:space="300"/>
            <w:col w:w="3080"/>
          </w:cols>
          <w:pgMar w:left="240" w:top="459" w:right="439" w:bottom="1440" w:gutter="0" w:footer="0" w:header="0"/>
          <w:type w:val="continuous"/>
        </w:sectPr>
      </w:pPr>
    </w:p>
    <w:tbl>
      <w:tblPr>
        <w:tblLayout w:type="fixed"/>
        <w:tblInd w:w="4120" w:type="dxa"/>
        <w:tblCellMar>
          <w:top w:w="0" w:type="dxa"/>
          <w:left w:w="0" w:type="dxa"/>
          <w:bottom w:w="0" w:type="dxa"/>
          <w:right w:w="0" w:type="dxa"/>
        </w:tblCellMar>
      </w:tblPr>
      <w:tr>
        <w:trPr>
          <w:trHeight w:val="152"/>
        </w:trPr>
        <w:tc>
          <w:tcPr>
            <w:tcW w:w="512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3</w:t>
            </w:r>
          </w:p>
        </w:tc>
      </w:tr>
    </w:tbl>
    <w:p>
      <w:pPr>
        <w:sectPr>
          <w:pgSz w:w="11900" w:h="16838" w:orient="portrait"/>
          <w:cols w:equalWidth="0" w:num="1">
            <w:col w:w="11220"/>
          </w:cols>
          <w:pgMar w:left="24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Attendance requirements</w:t>
      </w:r>
    </w:p>
    <w:p>
      <w:pPr>
        <w:spacing w:after="0" w:line="205"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Attendance at the meeting is limited to stockholders or their legal proxy holders. Each attendee must present a government-issued photo ID and an advance registration form.</w:t>
      </w:r>
    </w:p>
    <w:p>
      <w:pPr>
        <w:spacing w:after="0" w:line="197"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If you plan to attend the annual meeting in person, you must print your own advance registration form and bring it to the meeting to gain access.</w:t>
      </w:r>
    </w:p>
    <w:p>
      <w:pPr>
        <w:spacing w:after="0" w:line="224" w:lineRule="exact"/>
        <w:rPr>
          <w:sz w:val="20"/>
          <w:szCs w:val="20"/>
          <w:color w:val="auto"/>
        </w:rPr>
      </w:pPr>
    </w:p>
    <w:p>
      <w:pPr>
        <w:ind w:left="960" w:right="320" w:hanging="540"/>
        <w:spacing w:after="0" w:line="23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registration forms can be printed by clicking on the “Register for Meeting” button found at www.proxyvote.com and following the instructions provided. You will need the 16-digit control number included on your notice, proxy card or voting instruction form. You must request your advance registration form by 11:59 p.m. April 25, 2018.</w:t>
      </w:r>
    </w:p>
    <w:p>
      <w:pPr>
        <w:spacing w:after="0" w:line="2" w:lineRule="exact"/>
        <w:rPr>
          <w:rFonts w:ascii="Arial" w:cs="Arial" w:eastAsia="Arial" w:hAnsi="Arial"/>
          <w:sz w:val="18"/>
          <w:szCs w:val="18"/>
          <w:color w:val="auto"/>
        </w:rPr>
      </w:pPr>
    </w:p>
    <w:p>
      <w:pPr>
        <w:ind w:left="960" w:right="40" w:hanging="540"/>
        <w:spacing w:after="0" w:line="23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are unable to print your advance registration form, please call Stockholder Meeting Registration Phone Support (toll free) at 1-844-318-0137 or (international toll call) at 1-925-331-6070 for assistance.</w:t>
      </w:r>
    </w:p>
    <w:p>
      <w:pPr>
        <w:spacing w:after="0" w:line="1" w:lineRule="exact"/>
        <w:rPr>
          <w:rFonts w:ascii="Arial" w:cs="Arial" w:eastAsia="Arial" w:hAnsi="Arial"/>
          <w:sz w:val="18"/>
          <w:szCs w:val="18"/>
          <w:color w:val="auto"/>
        </w:rPr>
      </w:pPr>
    </w:p>
    <w:p>
      <w:pPr>
        <w:ind w:left="960" w:right="500" w:hanging="54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the day of the meeting, you will be required to present valid government-issued photo ID, such as a driver’s license or passport, with your advance registration form. You may be denied entrance if the required identification and form are not presented.</w:t>
      </w:r>
    </w:p>
    <w:p>
      <w:pPr>
        <w:spacing w:after="0" w:line="20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Guest advance registration forms are not available. Exceptions may be granted to stockholders who require a companion in order to facilitate their own attendance (for example, due to a physical disability) by contacting Investor Relations.</w:t>
      </w:r>
    </w:p>
    <w:p>
      <w:pPr>
        <w:spacing w:after="0" w:line="197"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Additionally, if you plan to attend as proxy for a stockholder of record, you must present a valid legal proxy from the stockholder of record to you. If you plan to attend as proxy for a street name stockholder, you must present a valid legal proxy from the stockholder of record (i.e., the bank, broker or other holder of record) to the street name stockholder that is assignable and a valid legal proxy from the street name stockholder to you. Stockholders may appoint only one proxy holder to attend on their behalf.</w:t>
      </w:r>
    </w:p>
    <w:p>
      <w:pPr>
        <w:spacing w:after="0" w:line="12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080"/>
          </w:cols>
          <w:pgMar w:left="240" w:top="459" w:right="5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Election of directors</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w:t>
      </w:r>
    </w:p>
    <w:p>
      <w:pPr>
        <w:ind w:left="200" w:right="60"/>
        <w:spacing w:after="0"/>
        <w:rPr>
          <w:sz w:val="20"/>
          <w:szCs w:val="20"/>
          <w:color w:val="auto"/>
        </w:rPr>
      </w:pPr>
      <w:r>
        <w:rPr>
          <w:rFonts w:ascii="Arial" w:cs="Arial" w:eastAsia="Arial" w:hAnsi="Arial"/>
          <w:sz w:val="18"/>
          <w:szCs w:val="18"/>
          <w:color w:val="auto"/>
        </w:rPr>
        <w:t>The board of directors has designated the following persons as nominees: RALPH W. BABB, JR., MARK A. BLINN, TODD M. BLUEDORN, DANIEL A. CARP, JANET F. CLARK, CARRIE S. COX, BRIAN T. CRUTCHER, JEAN M. HOBBY, RONALD KIRK, PAMELA H. PATSLEY, ROBERT E. SANCHEZ and RICHARD K. TEMPLETON.</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you return a proxy that is not otherwise marked, your shares will be voted FOR each of the nominees.</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Nominees for directorship</w:t>
      </w:r>
    </w:p>
    <w:p>
      <w:pPr>
        <w:spacing w:after="0" w:line="205"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All of the nominees for directorship are directors of the company. For a discussion of each nominee’s qualifications to serve as a director of the company, see “Board diversity and nominee qualifications.” If any nominee becomes unable to serve before the meeting, the persons named as proxies may vote for a substitute or the number of directors will be reduced accordingly.</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Directors</w:t>
      </w:r>
    </w:p>
    <w:p>
      <w:pPr>
        <w:spacing w:after="0" w:line="95" w:lineRule="exact"/>
        <w:rPr>
          <w:sz w:val="20"/>
          <w:szCs w:val="20"/>
          <w:color w:val="auto"/>
        </w:rPr>
      </w:pPr>
    </w:p>
    <w:tbl>
      <w:tblPr>
        <w:tblLayout w:type="fixed"/>
        <w:tblInd w:w="1820" w:type="dxa"/>
        <w:tblCellMar>
          <w:top w:w="0" w:type="dxa"/>
          <w:left w:w="0" w:type="dxa"/>
          <w:bottom w:w="0" w:type="dxa"/>
          <w:right w:w="0" w:type="dxa"/>
        </w:tblCellMar>
      </w:tblPr>
      <w:tr>
        <w:trPr>
          <w:trHeight w:val="225"/>
        </w:trPr>
        <w:tc>
          <w:tcPr>
            <w:tcW w:w="2720" w:type="dxa"/>
            <w:vAlign w:val="bottom"/>
          </w:tcPr>
          <w:p>
            <w:pPr>
              <w:spacing w:after="0"/>
              <w:rPr>
                <w:sz w:val="20"/>
                <w:szCs w:val="20"/>
                <w:color w:val="auto"/>
              </w:rPr>
            </w:pPr>
            <w:r>
              <w:rPr>
                <w:rFonts w:ascii="Arial" w:cs="Arial" w:eastAsia="Arial" w:hAnsi="Arial"/>
                <w:sz w:val="18"/>
                <w:szCs w:val="18"/>
                <w:b w:val="1"/>
                <w:bCs w:val="1"/>
                <w:color w:val="auto"/>
              </w:rPr>
              <w:t>RALPH W. BABB, JR.</w:t>
            </w:r>
          </w:p>
        </w:tc>
        <w:tc>
          <w:tcPr>
            <w:tcW w:w="3440" w:type="dxa"/>
            <w:vAlign w:val="bottom"/>
          </w:tcPr>
          <w:p>
            <w:pPr>
              <w:ind w:left="900"/>
              <w:spacing w:after="0"/>
              <w:rPr>
                <w:sz w:val="20"/>
                <w:szCs w:val="20"/>
                <w:color w:val="auto"/>
              </w:rPr>
            </w:pPr>
            <w:r>
              <w:rPr>
                <w:rFonts w:ascii="Arial" w:cs="Arial" w:eastAsia="Arial" w:hAnsi="Arial"/>
                <w:sz w:val="18"/>
                <w:szCs w:val="18"/>
                <w:b w:val="1"/>
                <w:bCs w:val="1"/>
                <w:color w:val="auto"/>
              </w:rPr>
              <w:t>JANET F. CLARK</w:t>
            </w:r>
          </w:p>
        </w:tc>
        <w:tc>
          <w:tcPr>
            <w:tcW w:w="2740" w:type="dxa"/>
            <w:vAlign w:val="bottom"/>
          </w:tcPr>
          <w:p>
            <w:pPr>
              <w:ind w:left="1020"/>
              <w:spacing w:after="0"/>
              <w:rPr>
                <w:sz w:val="20"/>
                <w:szCs w:val="20"/>
                <w:color w:val="auto"/>
              </w:rPr>
            </w:pPr>
            <w:r>
              <w:rPr>
                <w:rFonts w:ascii="Arial" w:cs="Arial" w:eastAsia="Arial" w:hAnsi="Arial"/>
                <w:sz w:val="18"/>
                <w:szCs w:val="18"/>
                <w:b w:val="1"/>
                <w:bCs w:val="1"/>
                <w:color w:val="auto"/>
              </w:rPr>
              <w:t>RONALD KIRK</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Age 69</w:t>
            </w:r>
          </w:p>
        </w:tc>
        <w:tc>
          <w:tcPr>
            <w:tcW w:w="3440" w:type="dxa"/>
            <w:vAlign w:val="bottom"/>
          </w:tcPr>
          <w:p>
            <w:pPr>
              <w:ind w:left="900"/>
              <w:spacing w:after="0" w:line="202" w:lineRule="exact"/>
              <w:rPr>
                <w:sz w:val="20"/>
                <w:szCs w:val="20"/>
                <w:color w:val="auto"/>
              </w:rPr>
            </w:pPr>
            <w:r>
              <w:rPr>
                <w:rFonts w:ascii="Arial" w:cs="Arial" w:eastAsia="Arial" w:hAnsi="Arial"/>
                <w:sz w:val="18"/>
                <w:szCs w:val="18"/>
                <w:color w:val="auto"/>
              </w:rPr>
              <w:t>Age 63</w:t>
            </w:r>
          </w:p>
        </w:tc>
        <w:tc>
          <w:tcPr>
            <w:tcW w:w="2740" w:type="dxa"/>
            <w:vAlign w:val="bottom"/>
          </w:tcPr>
          <w:p>
            <w:pPr>
              <w:ind w:left="1020"/>
              <w:spacing w:after="0" w:line="202" w:lineRule="exact"/>
              <w:rPr>
                <w:sz w:val="20"/>
                <w:szCs w:val="20"/>
                <w:color w:val="auto"/>
              </w:rPr>
            </w:pPr>
            <w:r>
              <w:rPr>
                <w:rFonts w:ascii="Arial" w:cs="Arial" w:eastAsia="Arial" w:hAnsi="Arial"/>
                <w:sz w:val="18"/>
                <w:szCs w:val="18"/>
                <w:color w:val="auto"/>
              </w:rPr>
              <w:t>Age 63</w:t>
            </w:r>
          </w:p>
        </w:tc>
      </w:tr>
      <w:tr>
        <w:trPr>
          <w:trHeight w:val="185"/>
        </w:trPr>
        <w:tc>
          <w:tcPr>
            <w:tcW w:w="2720" w:type="dxa"/>
            <w:vAlign w:val="bottom"/>
          </w:tcPr>
          <w:p>
            <w:pPr>
              <w:spacing w:after="0" w:line="185" w:lineRule="exact"/>
              <w:rPr>
                <w:sz w:val="20"/>
                <w:szCs w:val="20"/>
                <w:color w:val="auto"/>
              </w:rPr>
            </w:pPr>
            <w:r>
              <w:rPr>
                <w:rFonts w:ascii="Arial" w:cs="Arial" w:eastAsia="Arial" w:hAnsi="Arial"/>
                <w:sz w:val="18"/>
                <w:szCs w:val="18"/>
                <w:color w:val="auto"/>
              </w:rPr>
              <w:t>Director since 2010</w:t>
            </w:r>
          </w:p>
        </w:tc>
        <w:tc>
          <w:tcPr>
            <w:tcW w:w="3440" w:type="dxa"/>
            <w:vAlign w:val="bottom"/>
          </w:tcPr>
          <w:p>
            <w:pPr>
              <w:ind w:left="900"/>
              <w:spacing w:after="0" w:line="185" w:lineRule="exact"/>
              <w:rPr>
                <w:sz w:val="20"/>
                <w:szCs w:val="20"/>
                <w:color w:val="auto"/>
              </w:rPr>
            </w:pPr>
            <w:r>
              <w:rPr>
                <w:rFonts w:ascii="Arial" w:cs="Arial" w:eastAsia="Arial" w:hAnsi="Arial"/>
                <w:sz w:val="18"/>
                <w:szCs w:val="18"/>
                <w:color w:val="auto"/>
              </w:rPr>
              <w:t>Director since 2015</w:t>
            </w:r>
          </w:p>
        </w:tc>
        <w:tc>
          <w:tcPr>
            <w:tcW w:w="2740" w:type="dxa"/>
            <w:vAlign w:val="bottom"/>
          </w:tcPr>
          <w:p>
            <w:pPr>
              <w:ind w:left="1020"/>
              <w:spacing w:after="0" w:line="185" w:lineRule="exact"/>
              <w:rPr>
                <w:sz w:val="20"/>
                <w:szCs w:val="20"/>
                <w:color w:val="auto"/>
              </w:rPr>
            </w:pPr>
            <w:r>
              <w:rPr>
                <w:rFonts w:ascii="Arial" w:cs="Arial" w:eastAsia="Arial" w:hAnsi="Arial"/>
                <w:sz w:val="18"/>
                <w:szCs w:val="18"/>
                <w:color w:val="auto"/>
              </w:rPr>
              <w:t>Director since 2013</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i w:val="1"/>
                <w:iCs w:val="1"/>
                <w:color w:val="auto"/>
              </w:rPr>
              <w:t>Member, Governance</w:t>
            </w:r>
          </w:p>
        </w:tc>
        <w:tc>
          <w:tcPr>
            <w:tcW w:w="3440" w:type="dxa"/>
            <w:vAlign w:val="bottom"/>
          </w:tcPr>
          <w:p>
            <w:pPr>
              <w:ind w:left="900"/>
              <w:spacing w:after="0" w:line="202" w:lineRule="exact"/>
              <w:rPr>
                <w:sz w:val="20"/>
                <w:szCs w:val="20"/>
                <w:color w:val="auto"/>
              </w:rPr>
            </w:pPr>
            <w:r>
              <w:rPr>
                <w:rFonts w:ascii="Arial" w:cs="Arial" w:eastAsia="Arial" w:hAnsi="Arial"/>
                <w:sz w:val="18"/>
                <w:szCs w:val="18"/>
                <w:i w:val="1"/>
                <w:iCs w:val="1"/>
                <w:color w:val="auto"/>
              </w:rPr>
              <w:t>Member</w:t>
            </w:r>
            <w:r>
              <w:rPr>
                <w:rFonts w:ascii="Arial" w:cs="Arial" w:eastAsia="Arial" w:hAnsi="Arial"/>
                <w:sz w:val="18"/>
                <w:szCs w:val="18"/>
                <w:color w:val="auto"/>
              </w:rPr>
              <w:t>,</w:t>
            </w:r>
            <w:r>
              <w:rPr>
                <w:rFonts w:ascii="Arial" w:cs="Arial" w:eastAsia="Arial" w:hAnsi="Arial"/>
                <w:sz w:val="18"/>
                <w:szCs w:val="18"/>
                <w:i w:val="1"/>
                <w:iCs w:val="1"/>
                <w:color w:val="auto"/>
              </w:rPr>
              <w:t xml:space="preserve"> Audit</w:t>
            </w:r>
          </w:p>
        </w:tc>
        <w:tc>
          <w:tcPr>
            <w:tcW w:w="2740" w:type="dxa"/>
            <w:vAlign w:val="bottom"/>
          </w:tcPr>
          <w:p>
            <w:pPr>
              <w:ind w:left="1020"/>
              <w:spacing w:after="0" w:line="202" w:lineRule="exact"/>
              <w:rPr>
                <w:sz w:val="20"/>
                <w:szCs w:val="20"/>
                <w:color w:val="auto"/>
              </w:rPr>
            </w:pPr>
            <w:r>
              <w:rPr>
                <w:rFonts w:ascii="Arial" w:cs="Arial" w:eastAsia="Arial" w:hAnsi="Arial"/>
                <w:sz w:val="18"/>
                <w:szCs w:val="18"/>
                <w:i w:val="1"/>
                <w:iCs w:val="1"/>
                <w:color w:val="auto"/>
                <w:w w:val="97"/>
              </w:rPr>
              <w:t>Member, Governance</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i w:val="1"/>
                <w:iCs w:val="1"/>
                <w:color w:val="auto"/>
              </w:rPr>
              <w:t>and Stockholder</w:t>
            </w:r>
          </w:p>
        </w:tc>
        <w:tc>
          <w:tcPr>
            <w:tcW w:w="3440" w:type="dxa"/>
            <w:vAlign w:val="bottom"/>
          </w:tcPr>
          <w:p>
            <w:pPr>
              <w:ind w:left="900"/>
              <w:spacing w:after="0" w:line="202" w:lineRule="exact"/>
              <w:rPr>
                <w:sz w:val="20"/>
                <w:szCs w:val="20"/>
                <w:color w:val="auto"/>
              </w:rPr>
            </w:pPr>
            <w:r>
              <w:rPr>
                <w:rFonts w:ascii="Arial" w:cs="Arial" w:eastAsia="Arial" w:hAnsi="Arial"/>
                <w:sz w:val="18"/>
                <w:szCs w:val="18"/>
                <w:i w:val="1"/>
                <w:iCs w:val="1"/>
                <w:color w:val="auto"/>
              </w:rPr>
              <w:t>Committee</w:t>
            </w:r>
          </w:p>
        </w:tc>
        <w:tc>
          <w:tcPr>
            <w:tcW w:w="2740" w:type="dxa"/>
            <w:vAlign w:val="bottom"/>
          </w:tcPr>
          <w:p>
            <w:pPr>
              <w:ind w:left="1020"/>
              <w:spacing w:after="0" w:line="202" w:lineRule="exact"/>
              <w:rPr>
                <w:sz w:val="20"/>
                <w:szCs w:val="20"/>
                <w:color w:val="auto"/>
              </w:rPr>
            </w:pPr>
            <w:r>
              <w:rPr>
                <w:rFonts w:ascii="Arial" w:cs="Arial" w:eastAsia="Arial" w:hAnsi="Arial"/>
                <w:sz w:val="18"/>
                <w:szCs w:val="18"/>
                <w:i w:val="1"/>
                <w:iCs w:val="1"/>
                <w:color w:val="auto"/>
              </w:rPr>
              <w:t>and Stockholder</w:t>
            </w:r>
          </w:p>
        </w:tc>
      </w:tr>
      <w:tr>
        <w:trPr>
          <w:trHeight w:val="235"/>
        </w:trPr>
        <w:tc>
          <w:tcPr>
            <w:tcW w:w="2720" w:type="dxa"/>
            <w:vAlign w:val="bottom"/>
          </w:tcPr>
          <w:p>
            <w:pPr>
              <w:spacing w:after="0"/>
              <w:rPr>
                <w:sz w:val="20"/>
                <w:szCs w:val="20"/>
                <w:color w:val="auto"/>
              </w:rPr>
            </w:pPr>
            <w:r>
              <w:rPr>
                <w:rFonts w:ascii="Arial" w:cs="Arial" w:eastAsia="Arial" w:hAnsi="Arial"/>
                <w:sz w:val="18"/>
                <w:szCs w:val="18"/>
                <w:i w:val="1"/>
                <w:iCs w:val="1"/>
                <w:color w:val="auto"/>
              </w:rPr>
              <w:t>Relations Committee</w:t>
            </w:r>
          </w:p>
        </w:tc>
        <w:tc>
          <w:tcPr>
            <w:tcW w:w="3440" w:type="dxa"/>
            <w:vAlign w:val="bottom"/>
          </w:tcPr>
          <w:p>
            <w:pPr>
              <w:spacing w:after="0"/>
              <w:rPr>
                <w:sz w:val="20"/>
                <w:szCs w:val="20"/>
                <w:color w:val="auto"/>
              </w:rPr>
            </w:pPr>
          </w:p>
        </w:tc>
        <w:tc>
          <w:tcPr>
            <w:tcW w:w="2740" w:type="dxa"/>
            <w:vAlign w:val="bottom"/>
          </w:tcPr>
          <w:p>
            <w:pPr>
              <w:ind w:left="1020"/>
              <w:spacing w:after="0"/>
              <w:rPr>
                <w:sz w:val="20"/>
                <w:szCs w:val="20"/>
                <w:color w:val="auto"/>
              </w:rPr>
            </w:pPr>
            <w:r>
              <w:rPr>
                <w:rFonts w:ascii="Arial" w:cs="Arial" w:eastAsia="Arial" w:hAnsi="Arial"/>
                <w:sz w:val="18"/>
                <w:szCs w:val="18"/>
                <w:i w:val="1"/>
                <w:iCs w:val="1"/>
                <w:color w:val="auto"/>
              </w:rPr>
              <w:t>Relations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-779780</wp:posOffset>
            </wp:positionV>
            <wp:extent cx="805815" cy="969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-779780</wp:posOffset>
            </wp:positionV>
            <wp:extent cx="805815" cy="969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-779780</wp:posOffset>
            </wp:positionV>
            <wp:extent cx="805815" cy="969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1820" w:type="dxa"/>
        <w:tblCellMar>
          <w:top w:w="0" w:type="dxa"/>
          <w:left w:w="0" w:type="dxa"/>
          <w:bottom w:w="0" w:type="dxa"/>
          <w:right w:w="0" w:type="dxa"/>
        </w:tblCellMar>
      </w:tblPr>
      <w:tr>
        <w:trPr>
          <w:trHeight w:val="225"/>
        </w:trPr>
        <w:tc>
          <w:tcPr>
            <w:tcW w:w="2720" w:type="dxa"/>
            <w:vAlign w:val="bottom"/>
          </w:tcPr>
          <w:p>
            <w:pPr>
              <w:spacing w:after="0"/>
              <w:rPr>
                <w:sz w:val="20"/>
                <w:szCs w:val="20"/>
                <w:color w:val="auto"/>
              </w:rPr>
            </w:pPr>
            <w:r>
              <w:rPr>
                <w:rFonts w:ascii="Arial" w:cs="Arial" w:eastAsia="Arial" w:hAnsi="Arial"/>
                <w:sz w:val="18"/>
                <w:szCs w:val="18"/>
                <w:b w:val="1"/>
                <w:bCs w:val="1"/>
                <w:color w:val="auto"/>
              </w:rPr>
              <w:t>MARK A. BLINN</w:t>
            </w:r>
          </w:p>
        </w:tc>
        <w:tc>
          <w:tcPr>
            <w:tcW w:w="3540" w:type="dxa"/>
            <w:vAlign w:val="bottom"/>
          </w:tcPr>
          <w:p>
            <w:pPr>
              <w:ind w:left="900"/>
              <w:spacing w:after="0"/>
              <w:rPr>
                <w:sz w:val="20"/>
                <w:szCs w:val="20"/>
                <w:color w:val="auto"/>
              </w:rPr>
            </w:pPr>
            <w:r>
              <w:rPr>
                <w:rFonts w:ascii="Arial" w:cs="Arial" w:eastAsia="Arial" w:hAnsi="Arial"/>
                <w:sz w:val="18"/>
                <w:szCs w:val="18"/>
                <w:b w:val="1"/>
                <w:bCs w:val="1"/>
                <w:color w:val="auto"/>
              </w:rPr>
              <w:t>CARRIE S. COX</w:t>
            </w:r>
          </w:p>
        </w:tc>
        <w:tc>
          <w:tcPr>
            <w:tcW w:w="2820" w:type="dxa"/>
            <w:vAlign w:val="bottom"/>
          </w:tcPr>
          <w:p>
            <w:pPr>
              <w:ind w:left="920"/>
              <w:spacing w:after="0"/>
              <w:rPr>
                <w:sz w:val="20"/>
                <w:szCs w:val="20"/>
                <w:color w:val="auto"/>
              </w:rPr>
            </w:pPr>
            <w:r>
              <w:rPr>
                <w:rFonts w:ascii="Arial" w:cs="Arial" w:eastAsia="Arial" w:hAnsi="Arial"/>
                <w:sz w:val="18"/>
                <w:szCs w:val="18"/>
                <w:b w:val="1"/>
                <w:bCs w:val="1"/>
                <w:color w:val="auto"/>
              </w:rPr>
              <w:t>PAMELA H. PATSLEY</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Age 56</w:t>
            </w:r>
          </w:p>
        </w:tc>
        <w:tc>
          <w:tcPr>
            <w:tcW w:w="3540" w:type="dxa"/>
            <w:vAlign w:val="bottom"/>
          </w:tcPr>
          <w:p>
            <w:pPr>
              <w:ind w:left="900"/>
              <w:spacing w:after="0" w:line="202" w:lineRule="exact"/>
              <w:rPr>
                <w:sz w:val="20"/>
                <w:szCs w:val="20"/>
                <w:color w:val="auto"/>
              </w:rPr>
            </w:pPr>
            <w:r>
              <w:rPr>
                <w:rFonts w:ascii="Arial" w:cs="Arial" w:eastAsia="Arial" w:hAnsi="Arial"/>
                <w:sz w:val="18"/>
                <w:szCs w:val="18"/>
                <w:color w:val="auto"/>
              </w:rPr>
              <w:t>Age 60</w:t>
            </w:r>
          </w:p>
        </w:tc>
        <w:tc>
          <w:tcPr>
            <w:tcW w:w="2820" w:type="dxa"/>
            <w:vAlign w:val="bottom"/>
          </w:tcPr>
          <w:p>
            <w:pPr>
              <w:ind w:left="920"/>
              <w:spacing w:after="0" w:line="202" w:lineRule="exact"/>
              <w:rPr>
                <w:sz w:val="20"/>
                <w:szCs w:val="20"/>
                <w:color w:val="auto"/>
              </w:rPr>
            </w:pPr>
            <w:r>
              <w:rPr>
                <w:rFonts w:ascii="Arial" w:cs="Arial" w:eastAsia="Arial" w:hAnsi="Arial"/>
                <w:sz w:val="18"/>
                <w:szCs w:val="18"/>
                <w:color w:val="auto"/>
              </w:rPr>
              <w:t>Age 61</w:t>
            </w:r>
          </w:p>
        </w:tc>
      </w:tr>
      <w:tr>
        <w:trPr>
          <w:trHeight w:val="185"/>
        </w:trPr>
        <w:tc>
          <w:tcPr>
            <w:tcW w:w="2720" w:type="dxa"/>
            <w:vAlign w:val="bottom"/>
          </w:tcPr>
          <w:p>
            <w:pPr>
              <w:spacing w:after="0" w:line="185" w:lineRule="exact"/>
              <w:rPr>
                <w:sz w:val="20"/>
                <w:szCs w:val="20"/>
                <w:color w:val="auto"/>
              </w:rPr>
            </w:pPr>
            <w:r>
              <w:rPr>
                <w:rFonts w:ascii="Arial" w:cs="Arial" w:eastAsia="Arial" w:hAnsi="Arial"/>
                <w:sz w:val="18"/>
                <w:szCs w:val="18"/>
                <w:color w:val="auto"/>
              </w:rPr>
              <w:t>Director since 2013</w:t>
            </w:r>
          </w:p>
        </w:tc>
        <w:tc>
          <w:tcPr>
            <w:tcW w:w="3540" w:type="dxa"/>
            <w:vAlign w:val="bottom"/>
          </w:tcPr>
          <w:p>
            <w:pPr>
              <w:ind w:left="900"/>
              <w:spacing w:after="0" w:line="185" w:lineRule="exact"/>
              <w:rPr>
                <w:sz w:val="20"/>
                <w:szCs w:val="20"/>
                <w:color w:val="auto"/>
              </w:rPr>
            </w:pPr>
            <w:r>
              <w:rPr>
                <w:rFonts w:ascii="Arial" w:cs="Arial" w:eastAsia="Arial" w:hAnsi="Arial"/>
                <w:sz w:val="18"/>
                <w:szCs w:val="18"/>
                <w:color w:val="auto"/>
              </w:rPr>
              <w:t>Director since 2004</w:t>
            </w:r>
          </w:p>
        </w:tc>
        <w:tc>
          <w:tcPr>
            <w:tcW w:w="2820" w:type="dxa"/>
            <w:vAlign w:val="bottom"/>
          </w:tcPr>
          <w:p>
            <w:pPr>
              <w:ind w:left="920"/>
              <w:spacing w:after="0" w:line="185" w:lineRule="exact"/>
              <w:rPr>
                <w:sz w:val="20"/>
                <w:szCs w:val="20"/>
                <w:color w:val="auto"/>
              </w:rPr>
            </w:pPr>
            <w:r>
              <w:rPr>
                <w:rFonts w:ascii="Arial" w:cs="Arial" w:eastAsia="Arial" w:hAnsi="Arial"/>
                <w:sz w:val="18"/>
                <w:szCs w:val="18"/>
                <w:color w:val="auto"/>
              </w:rPr>
              <w:t>Director since 2004</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i w:val="1"/>
                <w:iCs w:val="1"/>
                <w:color w:val="auto"/>
              </w:rPr>
              <w:t>Chair, Audit Committee</w:t>
            </w:r>
          </w:p>
        </w:tc>
        <w:tc>
          <w:tcPr>
            <w:tcW w:w="3540" w:type="dxa"/>
            <w:vAlign w:val="bottom"/>
          </w:tcPr>
          <w:p>
            <w:pPr>
              <w:ind w:left="900"/>
              <w:spacing w:after="0" w:line="202" w:lineRule="exact"/>
              <w:rPr>
                <w:sz w:val="20"/>
                <w:szCs w:val="20"/>
                <w:color w:val="auto"/>
              </w:rPr>
            </w:pPr>
            <w:r>
              <w:rPr>
                <w:rFonts w:ascii="Arial" w:cs="Arial" w:eastAsia="Arial" w:hAnsi="Arial"/>
                <w:sz w:val="18"/>
                <w:szCs w:val="18"/>
                <w:i w:val="1"/>
                <w:iCs w:val="1"/>
                <w:color w:val="auto"/>
              </w:rPr>
              <w:t>Member, Governance</w:t>
            </w:r>
          </w:p>
        </w:tc>
        <w:tc>
          <w:tcPr>
            <w:tcW w:w="2820" w:type="dxa"/>
            <w:vAlign w:val="bottom"/>
          </w:tcPr>
          <w:p>
            <w:pPr>
              <w:ind w:left="920"/>
              <w:spacing w:after="0" w:line="202" w:lineRule="exact"/>
              <w:rPr>
                <w:sz w:val="20"/>
                <w:szCs w:val="20"/>
                <w:color w:val="auto"/>
              </w:rPr>
            </w:pPr>
            <w:r>
              <w:rPr>
                <w:rFonts w:ascii="Arial" w:cs="Arial" w:eastAsia="Arial" w:hAnsi="Arial"/>
                <w:sz w:val="18"/>
                <w:szCs w:val="18"/>
                <w:i w:val="1"/>
                <w:iCs w:val="1"/>
                <w:color w:val="auto"/>
                <w:w w:val="97"/>
              </w:rPr>
              <w:t>Member, Compensation</w:t>
            </w:r>
          </w:p>
        </w:tc>
      </w:tr>
      <w:tr>
        <w:trPr>
          <w:trHeight w:val="203"/>
        </w:trPr>
        <w:tc>
          <w:tcPr>
            <w:tcW w:w="2720" w:type="dxa"/>
            <w:vAlign w:val="bottom"/>
          </w:tcPr>
          <w:p>
            <w:pPr>
              <w:spacing w:after="0"/>
              <w:rPr>
                <w:sz w:val="17"/>
                <w:szCs w:val="17"/>
                <w:color w:val="auto"/>
              </w:rPr>
            </w:pPr>
          </w:p>
        </w:tc>
        <w:tc>
          <w:tcPr>
            <w:tcW w:w="3540" w:type="dxa"/>
            <w:vAlign w:val="bottom"/>
          </w:tcPr>
          <w:p>
            <w:pPr>
              <w:ind w:left="900"/>
              <w:spacing w:after="0" w:line="202" w:lineRule="exact"/>
              <w:rPr>
                <w:sz w:val="20"/>
                <w:szCs w:val="20"/>
                <w:color w:val="auto"/>
              </w:rPr>
            </w:pPr>
            <w:r>
              <w:rPr>
                <w:rFonts w:ascii="Arial" w:cs="Arial" w:eastAsia="Arial" w:hAnsi="Arial"/>
                <w:sz w:val="18"/>
                <w:szCs w:val="18"/>
                <w:i w:val="1"/>
                <w:iCs w:val="1"/>
                <w:color w:val="auto"/>
              </w:rPr>
              <w:t>and Stockholder</w:t>
            </w:r>
          </w:p>
        </w:tc>
        <w:tc>
          <w:tcPr>
            <w:tcW w:w="2820" w:type="dxa"/>
            <w:vAlign w:val="bottom"/>
          </w:tcPr>
          <w:p>
            <w:pPr>
              <w:ind w:left="920"/>
              <w:spacing w:after="0" w:line="202" w:lineRule="exact"/>
              <w:rPr>
                <w:sz w:val="20"/>
                <w:szCs w:val="20"/>
                <w:color w:val="auto"/>
              </w:rPr>
            </w:pPr>
            <w:r>
              <w:rPr>
                <w:rFonts w:ascii="Arial" w:cs="Arial" w:eastAsia="Arial" w:hAnsi="Arial"/>
                <w:sz w:val="18"/>
                <w:szCs w:val="18"/>
                <w:i w:val="1"/>
                <w:iCs w:val="1"/>
                <w:color w:val="auto"/>
              </w:rPr>
              <w:t>Committee</w:t>
            </w:r>
          </w:p>
        </w:tc>
      </w:tr>
      <w:tr>
        <w:trPr>
          <w:trHeight w:val="235"/>
        </w:trPr>
        <w:tc>
          <w:tcPr>
            <w:tcW w:w="2720" w:type="dxa"/>
            <w:vAlign w:val="bottom"/>
          </w:tcPr>
          <w:p>
            <w:pPr>
              <w:spacing w:after="0"/>
              <w:rPr>
                <w:sz w:val="20"/>
                <w:szCs w:val="20"/>
                <w:color w:val="auto"/>
              </w:rPr>
            </w:pPr>
          </w:p>
        </w:tc>
        <w:tc>
          <w:tcPr>
            <w:tcW w:w="3540" w:type="dxa"/>
            <w:vAlign w:val="bottom"/>
          </w:tcPr>
          <w:p>
            <w:pPr>
              <w:ind w:left="900"/>
              <w:spacing w:after="0"/>
              <w:rPr>
                <w:sz w:val="20"/>
                <w:szCs w:val="20"/>
                <w:color w:val="auto"/>
              </w:rPr>
            </w:pPr>
            <w:r>
              <w:rPr>
                <w:rFonts w:ascii="Arial" w:cs="Arial" w:eastAsia="Arial" w:hAnsi="Arial"/>
                <w:sz w:val="18"/>
                <w:szCs w:val="18"/>
                <w:i w:val="1"/>
                <w:iCs w:val="1"/>
                <w:color w:val="auto"/>
              </w:rPr>
              <w:t>Relations Committee</w:t>
            </w:r>
          </w:p>
        </w:tc>
        <w:tc>
          <w:tcPr>
            <w:tcW w:w="2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-779780</wp:posOffset>
            </wp:positionV>
            <wp:extent cx="805815" cy="969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-779780</wp:posOffset>
            </wp:positionV>
            <wp:extent cx="805815" cy="9690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-779780</wp:posOffset>
            </wp:positionV>
            <wp:extent cx="805815" cy="969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1820" w:type="dxa"/>
        <w:tblCellMar>
          <w:top w:w="0" w:type="dxa"/>
          <w:left w:w="0" w:type="dxa"/>
          <w:bottom w:w="0" w:type="dxa"/>
          <w:right w:w="0" w:type="dxa"/>
        </w:tblCellMar>
      </w:tblPr>
      <w:tr>
        <w:trPr>
          <w:trHeight w:val="225"/>
        </w:trPr>
        <w:tc>
          <w:tcPr>
            <w:tcW w:w="2720" w:type="dxa"/>
            <w:vAlign w:val="bottom"/>
          </w:tcPr>
          <w:p>
            <w:pPr>
              <w:spacing w:after="0"/>
              <w:rPr>
                <w:sz w:val="20"/>
                <w:szCs w:val="20"/>
                <w:color w:val="auto"/>
              </w:rPr>
            </w:pPr>
            <w:r>
              <w:rPr>
                <w:rFonts w:ascii="Arial" w:cs="Arial" w:eastAsia="Arial" w:hAnsi="Arial"/>
                <w:sz w:val="18"/>
                <w:szCs w:val="18"/>
                <w:b w:val="1"/>
                <w:bCs w:val="1"/>
                <w:color w:val="auto"/>
              </w:rPr>
              <w:t>TODD M. BLUEDORN</w:t>
            </w:r>
          </w:p>
        </w:tc>
        <w:tc>
          <w:tcPr>
            <w:tcW w:w="3580" w:type="dxa"/>
            <w:vAlign w:val="bottom"/>
          </w:tcPr>
          <w:p>
            <w:pPr>
              <w:ind w:left="900"/>
              <w:spacing w:after="0"/>
              <w:rPr>
                <w:sz w:val="20"/>
                <w:szCs w:val="20"/>
                <w:color w:val="auto"/>
              </w:rPr>
            </w:pPr>
            <w:r>
              <w:rPr>
                <w:rFonts w:ascii="Arial" w:cs="Arial" w:eastAsia="Arial" w:hAnsi="Arial"/>
                <w:sz w:val="18"/>
                <w:szCs w:val="18"/>
                <w:b w:val="1"/>
                <w:bCs w:val="1"/>
                <w:color w:val="auto"/>
              </w:rPr>
              <w:t>BRIAN T. CRUTCHER</w:t>
            </w:r>
          </w:p>
        </w:tc>
        <w:tc>
          <w:tcPr>
            <w:tcW w:w="2780" w:type="dxa"/>
            <w:vAlign w:val="bottom"/>
          </w:tcPr>
          <w:p>
            <w:pPr>
              <w:ind w:left="880"/>
              <w:spacing w:after="0"/>
              <w:rPr>
                <w:sz w:val="20"/>
                <w:szCs w:val="20"/>
                <w:color w:val="auto"/>
              </w:rPr>
            </w:pPr>
            <w:r>
              <w:rPr>
                <w:rFonts w:ascii="Arial" w:cs="Arial" w:eastAsia="Arial" w:hAnsi="Arial"/>
                <w:sz w:val="18"/>
                <w:szCs w:val="18"/>
                <w:b w:val="1"/>
                <w:bCs w:val="1"/>
                <w:color w:val="auto"/>
                <w:w w:val="98"/>
              </w:rPr>
              <w:t>ROBERT E. SANCHEZ</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Age 54</w:t>
            </w:r>
          </w:p>
        </w:tc>
        <w:tc>
          <w:tcPr>
            <w:tcW w:w="3580" w:type="dxa"/>
            <w:vAlign w:val="bottom"/>
          </w:tcPr>
          <w:p>
            <w:pPr>
              <w:ind w:left="900"/>
              <w:spacing w:after="0" w:line="202" w:lineRule="exact"/>
              <w:rPr>
                <w:sz w:val="20"/>
                <w:szCs w:val="20"/>
                <w:color w:val="auto"/>
              </w:rPr>
            </w:pPr>
            <w:r>
              <w:rPr>
                <w:rFonts w:ascii="Arial" w:cs="Arial" w:eastAsia="Arial" w:hAnsi="Arial"/>
                <w:sz w:val="18"/>
                <w:szCs w:val="18"/>
                <w:color w:val="auto"/>
              </w:rPr>
              <w:t>Age 45</w:t>
            </w:r>
          </w:p>
        </w:tc>
        <w:tc>
          <w:tcPr>
            <w:tcW w:w="2780" w:type="dxa"/>
            <w:vAlign w:val="bottom"/>
          </w:tcPr>
          <w:p>
            <w:pPr>
              <w:ind w:left="880"/>
              <w:spacing w:after="0" w:line="202" w:lineRule="exact"/>
              <w:rPr>
                <w:sz w:val="20"/>
                <w:szCs w:val="20"/>
                <w:color w:val="auto"/>
              </w:rPr>
            </w:pPr>
            <w:r>
              <w:rPr>
                <w:rFonts w:ascii="Arial" w:cs="Arial" w:eastAsia="Arial" w:hAnsi="Arial"/>
                <w:sz w:val="18"/>
                <w:szCs w:val="18"/>
                <w:color w:val="auto"/>
              </w:rPr>
              <w:t>Age 52</w:t>
            </w:r>
          </w:p>
        </w:tc>
      </w:tr>
      <w:tr>
        <w:trPr>
          <w:trHeight w:val="185"/>
        </w:trPr>
        <w:tc>
          <w:tcPr>
            <w:tcW w:w="2720" w:type="dxa"/>
            <w:vAlign w:val="bottom"/>
          </w:tcPr>
          <w:p>
            <w:pPr>
              <w:spacing w:after="0" w:line="185" w:lineRule="exact"/>
              <w:rPr>
                <w:sz w:val="20"/>
                <w:szCs w:val="20"/>
                <w:color w:val="auto"/>
              </w:rPr>
            </w:pPr>
            <w:r>
              <w:rPr>
                <w:rFonts w:ascii="Arial" w:cs="Arial" w:eastAsia="Arial" w:hAnsi="Arial"/>
                <w:sz w:val="18"/>
                <w:szCs w:val="18"/>
                <w:color w:val="auto"/>
              </w:rPr>
              <w:t>Director since 2017</w:t>
            </w:r>
          </w:p>
        </w:tc>
        <w:tc>
          <w:tcPr>
            <w:tcW w:w="3580" w:type="dxa"/>
            <w:vAlign w:val="bottom"/>
          </w:tcPr>
          <w:p>
            <w:pPr>
              <w:ind w:left="900"/>
              <w:spacing w:after="0" w:line="185" w:lineRule="exact"/>
              <w:rPr>
                <w:sz w:val="20"/>
                <w:szCs w:val="20"/>
                <w:color w:val="auto"/>
              </w:rPr>
            </w:pPr>
            <w:r>
              <w:rPr>
                <w:rFonts w:ascii="Arial" w:cs="Arial" w:eastAsia="Arial" w:hAnsi="Arial"/>
                <w:sz w:val="18"/>
                <w:szCs w:val="18"/>
                <w:color w:val="auto"/>
              </w:rPr>
              <w:t>Director since 2017</w:t>
            </w:r>
          </w:p>
        </w:tc>
        <w:tc>
          <w:tcPr>
            <w:tcW w:w="2780" w:type="dxa"/>
            <w:vAlign w:val="bottom"/>
          </w:tcPr>
          <w:p>
            <w:pPr>
              <w:ind w:left="880"/>
              <w:spacing w:after="0" w:line="185" w:lineRule="exact"/>
              <w:rPr>
                <w:sz w:val="20"/>
                <w:szCs w:val="20"/>
                <w:color w:val="auto"/>
              </w:rPr>
            </w:pPr>
            <w:r>
              <w:rPr>
                <w:rFonts w:ascii="Arial" w:cs="Arial" w:eastAsia="Arial" w:hAnsi="Arial"/>
                <w:sz w:val="18"/>
                <w:szCs w:val="18"/>
                <w:color w:val="auto"/>
              </w:rPr>
              <w:t>Director since 2011</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i w:val="1"/>
                <w:iCs w:val="1"/>
                <w:color w:val="auto"/>
              </w:rPr>
              <w:t>Member, Audit</w:t>
            </w:r>
          </w:p>
        </w:tc>
        <w:tc>
          <w:tcPr>
            <w:tcW w:w="3580" w:type="dxa"/>
            <w:vAlign w:val="bottom"/>
          </w:tcPr>
          <w:p>
            <w:pPr>
              <w:spacing w:after="0"/>
              <w:rPr>
                <w:sz w:val="17"/>
                <w:szCs w:val="17"/>
                <w:color w:val="auto"/>
              </w:rPr>
            </w:pPr>
          </w:p>
        </w:tc>
        <w:tc>
          <w:tcPr>
            <w:tcW w:w="2780" w:type="dxa"/>
            <w:vAlign w:val="bottom"/>
          </w:tcPr>
          <w:p>
            <w:pPr>
              <w:ind w:left="880"/>
              <w:spacing w:after="0" w:line="202" w:lineRule="exact"/>
              <w:rPr>
                <w:sz w:val="20"/>
                <w:szCs w:val="20"/>
                <w:color w:val="auto"/>
              </w:rPr>
            </w:pPr>
            <w:r>
              <w:rPr>
                <w:rFonts w:ascii="Arial" w:cs="Arial" w:eastAsia="Arial" w:hAnsi="Arial"/>
                <w:sz w:val="18"/>
                <w:szCs w:val="18"/>
                <w:i w:val="1"/>
                <w:iCs w:val="1"/>
                <w:color w:val="auto"/>
              </w:rPr>
              <w:t>Chair, Compensation</w:t>
            </w:r>
          </w:p>
        </w:tc>
      </w:tr>
      <w:tr>
        <w:trPr>
          <w:trHeight w:val="235"/>
        </w:trPr>
        <w:tc>
          <w:tcPr>
            <w:tcW w:w="2720" w:type="dxa"/>
            <w:vAlign w:val="bottom"/>
          </w:tcPr>
          <w:p>
            <w:pPr>
              <w:spacing w:after="0"/>
              <w:rPr>
                <w:sz w:val="20"/>
                <w:szCs w:val="20"/>
                <w:color w:val="auto"/>
              </w:rPr>
            </w:pPr>
            <w:r>
              <w:rPr>
                <w:rFonts w:ascii="Arial" w:cs="Arial" w:eastAsia="Arial" w:hAnsi="Arial"/>
                <w:sz w:val="18"/>
                <w:szCs w:val="18"/>
                <w:i w:val="1"/>
                <w:iCs w:val="1"/>
                <w:color w:val="auto"/>
              </w:rPr>
              <w:t>Committee</w:t>
            </w:r>
          </w:p>
        </w:tc>
        <w:tc>
          <w:tcPr>
            <w:tcW w:w="3580" w:type="dxa"/>
            <w:vAlign w:val="bottom"/>
          </w:tcPr>
          <w:p>
            <w:pPr>
              <w:spacing w:after="0"/>
              <w:rPr>
                <w:sz w:val="20"/>
                <w:szCs w:val="20"/>
                <w:color w:val="auto"/>
              </w:rPr>
            </w:pPr>
          </w:p>
        </w:tc>
        <w:tc>
          <w:tcPr>
            <w:tcW w:w="2780" w:type="dxa"/>
            <w:vAlign w:val="bottom"/>
          </w:tcPr>
          <w:p>
            <w:pPr>
              <w:ind w:left="880"/>
              <w:spacing w:after="0"/>
              <w:rPr>
                <w:sz w:val="20"/>
                <w:szCs w:val="20"/>
                <w:color w:val="auto"/>
              </w:rPr>
            </w:pPr>
            <w:r>
              <w:rPr>
                <w:rFonts w:ascii="Arial" w:cs="Arial" w:eastAsia="Arial" w:hAnsi="Arial"/>
                <w:sz w:val="18"/>
                <w:szCs w:val="18"/>
                <w:i w:val="1"/>
                <w:iCs w:val="1"/>
                <w:color w:val="auto"/>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-650875</wp:posOffset>
            </wp:positionV>
            <wp:extent cx="805815" cy="969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-650875</wp:posOffset>
            </wp:positionV>
            <wp:extent cx="805815" cy="977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05815" cy="97790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-650875</wp:posOffset>
            </wp:positionV>
            <wp:extent cx="805815" cy="969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820" w:type="dxa"/>
        <w:tblCellMar>
          <w:top w:w="0" w:type="dxa"/>
          <w:left w:w="0" w:type="dxa"/>
          <w:bottom w:w="0" w:type="dxa"/>
          <w:right w:w="0" w:type="dxa"/>
        </w:tblCellMar>
      </w:tblPr>
      <w:tr>
        <w:trPr>
          <w:trHeight w:val="225"/>
        </w:trPr>
        <w:tc>
          <w:tcPr>
            <w:tcW w:w="2100" w:type="dxa"/>
            <w:vAlign w:val="bottom"/>
          </w:tcPr>
          <w:p>
            <w:pPr>
              <w:spacing w:after="0"/>
              <w:rPr>
                <w:sz w:val="20"/>
                <w:szCs w:val="20"/>
                <w:color w:val="auto"/>
              </w:rPr>
            </w:pPr>
            <w:r>
              <w:rPr>
                <w:rFonts w:ascii="Arial" w:cs="Arial" w:eastAsia="Arial" w:hAnsi="Arial"/>
                <w:sz w:val="18"/>
                <w:szCs w:val="18"/>
                <w:b w:val="1"/>
                <w:bCs w:val="1"/>
                <w:color w:val="auto"/>
              </w:rPr>
              <w:t>DANIEL A. CARP</w:t>
            </w:r>
          </w:p>
        </w:tc>
        <w:tc>
          <w:tcPr>
            <w:tcW w:w="4240" w:type="dxa"/>
            <w:vAlign w:val="bottom"/>
          </w:tcPr>
          <w:p>
            <w:pPr>
              <w:ind w:left="1520"/>
              <w:spacing w:after="0"/>
              <w:rPr>
                <w:sz w:val="20"/>
                <w:szCs w:val="20"/>
                <w:color w:val="auto"/>
              </w:rPr>
            </w:pPr>
            <w:r>
              <w:rPr>
                <w:rFonts w:ascii="Arial" w:cs="Arial" w:eastAsia="Arial" w:hAnsi="Arial"/>
                <w:sz w:val="18"/>
                <w:szCs w:val="18"/>
                <w:b w:val="1"/>
                <w:bCs w:val="1"/>
                <w:color w:val="auto"/>
              </w:rPr>
              <w:t>JEAN M. HOBBY</w:t>
            </w:r>
          </w:p>
        </w:tc>
        <w:tc>
          <w:tcPr>
            <w:tcW w:w="3060" w:type="dxa"/>
            <w:vAlign w:val="bottom"/>
          </w:tcPr>
          <w:p>
            <w:pPr>
              <w:ind w:left="840"/>
              <w:spacing w:after="0"/>
              <w:rPr>
                <w:sz w:val="20"/>
                <w:szCs w:val="20"/>
                <w:color w:val="auto"/>
              </w:rPr>
            </w:pPr>
            <w:r>
              <w:rPr>
                <w:rFonts w:ascii="Arial" w:cs="Arial" w:eastAsia="Arial" w:hAnsi="Arial"/>
                <w:sz w:val="18"/>
                <w:szCs w:val="18"/>
                <w:b w:val="1"/>
                <w:bCs w:val="1"/>
                <w:color w:val="auto"/>
                <w:w w:val="99"/>
              </w:rPr>
              <w:t>RICHARD K. TEMPLETON</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Age 69</w:t>
            </w:r>
          </w:p>
        </w:tc>
        <w:tc>
          <w:tcPr>
            <w:tcW w:w="4240" w:type="dxa"/>
            <w:vAlign w:val="bottom"/>
          </w:tcPr>
          <w:p>
            <w:pPr>
              <w:ind w:left="1520"/>
              <w:spacing w:after="0" w:line="202" w:lineRule="exact"/>
              <w:rPr>
                <w:sz w:val="20"/>
                <w:szCs w:val="20"/>
                <w:color w:val="auto"/>
              </w:rPr>
            </w:pPr>
            <w:r>
              <w:rPr>
                <w:rFonts w:ascii="Arial" w:cs="Arial" w:eastAsia="Arial" w:hAnsi="Arial"/>
                <w:sz w:val="18"/>
                <w:szCs w:val="18"/>
                <w:color w:val="auto"/>
              </w:rPr>
              <w:t>Age 57</w:t>
            </w:r>
          </w:p>
        </w:tc>
        <w:tc>
          <w:tcPr>
            <w:tcW w:w="3060" w:type="dxa"/>
            <w:vAlign w:val="bottom"/>
          </w:tcPr>
          <w:p>
            <w:pPr>
              <w:ind w:left="840"/>
              <w:spacing w:after="0" w:line="202" w:lineRule="exact"/>
              <w:rPr>
                <w:sz w:val="20"/>
                <w:szCs w:val="20"/>
                <w:color w:val="auto"/>
              </w:rPr>
            </w:pPr>
            <w:r>
              <w:rPr>
                <w:rFonts w:ascii="Arial" w:cs="Arial" w:eastAsia="Arial" w:hAnsi="Arial"/>
                <w:sz w:val="18"/>
                <w:szCs w:val="18"/>
                <w:color w:val="auto"/>
              </w:rPr>
              <w:t>Age 59</w:t>
            </w:r>
          </w:p>
        </w:tc>
      </w:tr>
      <w:tr>
        <w:trPr>
          <w:trHeight w:val="185"/>
        </w:trPr>
        <w:tc>
          <w:tcPr>
            <w:tcW w:w="2100" w:type="dxa"/>
            <w:vAlign w:val="bottom"/>
          </w:tcPr>
          <w:p>
            <w:pPr>
              <w:spacing w:after="0" w:line="185" w:lineRule="exact"/>
              <w:rPr>
                <w:sz w:val="20"/>
                <w:szCs w:val="20"/>
                <w:color w:val="auto"/>
              </w:rPr>
            </w:pPr>
            <w:r>
              <w:rPr>
                <w:rFonts w:ascii="Arial" w:cs="Arial" w:eastAsia="Arial" w:hAnsi="Arial"/>
                <w:sz w:val="18"/>
                <w:szCs w:val="18"/>
                <w:color w:val="auto"/>
              </w:rPr>
              <w:t>Director since 1997</w:t>
            </w:r>
          </w:p>
        </w:tc>
        <w:tc>
          <w:tcPr>
            <w:tcW w:w="4240" w:type="dxa"/>
            <w:vAlign w:val="bottom"/>
          </w:tcPr>
          <w:p>
            <w:pPr>
              <w:ind w:left="1520"/>
              <w:spacing w:after="0" w:line="185" w:lineRule="exact"/>
              <w:rPr>
                <w:sz w:val="20"/>
                <w:szCs w:val="20"/>
                <w:color w:val="auto"/>
              </w:rPr>
            </w:pPr>
            <w:r>
              <w:rPr>
                <w:rFonts w:ascii="Arial" w:cs="Arial" w:eastAsia="Arial" w:hAnsi="Arial"/>
                <w:sz w:val="18"/>
                <w:szCs w:val="18"/>
                <w:color w:val="auto"/>
              </w:rPr>
              <w:t>Director since 2016</w:t>
            </w:r>
          </w:p>
        </w:tc>
        <w:tc>
          <w:tcPr>
            <w:tcW w:w="3060" w:type="dxa"/>
            <w:vAlign w:val="bottom"/>
          </w:tcPr>
          <w:p>
            <w:pPr>
              <w:ind w:left="840"/>
              <w:spacing w:after="0" w:line="185" w:lineRule="exact"/>
              <w:rPr>
                <w:sz w:val="20"/>
                <w:szCs w:val="20"/>
                <w:color w:val="auto"/>
              </w:rPr>
            </w:pPr>
            <w:r>
              <w:rPr>
                <w:rFonts w:ascii="Arial" w:cs="Arial" w:eastAsia="Arial" w:hAnsi="Arial"/>
                <w:sz w:val="18"/>
                <w:szCs w:val="18"/>
                <w:color w:val="auto"/>
              </w:rPr>
              <w:t>Chairman since 2008</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i w:val="1"/>
                <w:iCs w:val="1"/>
                <w:color w:val="auto"/>
              </w:rPr>
              <w:t>Member, Compensation</w:t>
            </w:r>
          </w:p>
        </w:tc>
        <w:tc>
          <w:tcPr>
            <w:tcW w:w="4240" w:type="dxa"/>
            <w:vAlign w:val="bottom"/>
          </w:tcPr>
          <w:p>
            <w:pPr>
              <w:ind w:left="1520"/>
              <w:spacing w:after="0" w:line="202" w:lineRule="exact"/>
              <w:rPr>
                <w:sz w:val="20"/>
                <w:szCs w:val="20"/>
                <w:color w:val="auto"/>
              </w:rPr>
            </w:pPr>
            <w:r>
              <w:rPr>
                <w:rFonts w:ascii="Arial" w:cs="Arial" w:eastAsia="Arial" w:hAnsi="Arial"/>
                <w:sz w:val="18"/>
                <w:szCs w:val="18"/>
                <w:i w:val="1"/>
                <w:iCs w:val="1"/>
                <w:color w:val="auto"/>
              </w:rPr>
              <w:t>Member, Audit</w:t>
            </w:r>
          </w:p>
        </w:tc>
        <w:tc>
          <w:tcPr>
            <w:tcW w:w="3060" w:type="dxa"/>
            <w:vAlign w:val="bottom"/>
          </w:tcPr>
          <w:p>
            <w:pPr>
              <w:ind w:left="840"/>
              <w:spacing w:after="0" w:line="202" w:lineRule="exact"/>
              <w:rPr>
                <w:sz w:val="20"/>
                <w:szCs w:val="20"/>
                <w:color w:val="auto"/>
              </w:rPr>
            </w:pPr>
            <w:r>
              <w:rPr>
                <w:rFonts w:ascii="Arial" w:cs="Arial" w:eastAsia="Arial" w:hAnsi="Arial"/>
                <w:sz w:val="18"/>
                <w:szCs w:val="18"/>
                <w:color w:val="auto"/>
              </w:rPr>
              <w:t>and director since 2003</w:t>
            </w:r>
          </w:p>
        </w:tc>
      </w:tr>
      <w:tr>
        <w:trPr>
          <w:trHeight w:val="235"/>
        </w:trPr>
        <w:tc>
          <w:tcPr>
            <w:tcW w:w="2100" w:type="dxa"/>
            <w:vAlign w:val="bottom"/>
          </w:tcPr>
          <w:p>
            <w:pPr>
              <w:spacing w:after="0"/>
              <w:rPr>
                <w:sz w:val="20"/>
                <w:szCs w:val="20"/>
                <w:color w:val="auto"/>
              </w:rPr>
            </w:pPr>
            <w:r>
              <w:rPr>
                <w:rFonts w:ascii="Arial" w:cs="Arial" w:eastAsia="Arial" w:hAnsi="Arial"/>
                <w:sz w:val="18"/>
                <w:szCs w:val="18"/>
                <w:i w:val="1"/>
                <w:iCs w:val="1"/>
                <w:color w:val="auto"/>
              </w:rPr>
              <w:t>Committee</w:t>
            </w:r>
          </w:p>
        </w:tc>
        <w:tc>
          <w:tcPr>
            <w:tcW w:w="4240" w:type="dxa"/>
            <w:vAlign w:val="bottom"/>
          </w:tcPr>
          <w:p>
            <w:pPr>
              <w:ind w:left="1520"/>
              <w:spacing w:after="0"/>
              <w:rPr>
                <w:sz w:val="20"/>
                <w:szCs w:val="20"/>
                <w:color w:val="auto"/>
              </w:rPr>
            </w:pPr>
            <w:r>
              <w:rPr>
                <w:rFonts w:ascii="Arial" w:cs="Arial" w:eastAsia="Arial" w:hAnsi="Arial"/>
                <w:sz w:val="18"/>
                <w:szCs w:val="18"/>
                <w:i w:val="1"/>
                <w:iCs w:val="1"/>
                <w:color w:val="auto"/>
              </w:rPr>
              <w:t>Committee</w:t>
            </w:r>
          </w:p>
        </w:tc>
        <w:tc>
          <w:tcPr>
            <w:tcW w:w="3060" w:type="dxa"/>
            <w:vAlign w:val="bottom"/>
          </w:tcPr>
          <w:p>
            <w:pPr>
              <w:spacing w:after="0"/>
              <w:rPr>
                <w:sz w:val="20"/>
                <w:szCs w:val="20"/>
                <w:color w:val="auto"/>
              </w:rPr>
            </w:pPr>
          </w:p>
        </w:tc>
      </w:tr>
      <w:tr>
        <w:trPr>
          <w:trHeight w:val="794"/>
        </w:trPr>
        <w:tc>
          <w:tcPr>
            <w:tcW w:w="2100" w:type="dxa"/>
            <w:vAlign w:val="bottom"/>
          </w:tcPr>
          <w:p>
            <w:pPr>
              <w:spacing w:after="0"/>
              <w:rPr>
                <w:sz w:val="24"/>
                <w:szCs w:val="24"/>
                <w:color w:val="auto"/>
              </w:rPr>
            </w:pPr>
          </w:p>
        </w:tc>
        <w:tc>
          <w:tcPr>
            <w:tcW w:w="4240" w:type="dxa"/>
            <w:vAlign w:val="bottom"/>
          </w:tcPr>
          <w:p>
            <w:pPr>
              <w:ind w:left="200"/>
              <w:spacing w:after="0"/>
              <w:rPr>
                <w:sz w:val="20"/>
                <w:szCs w:val="20"/>
                <w:color w:val="auto"/>
              </w:rPr>
            </w:pPr>
            <w:r>
              <w:rPr>
                <w:rFonts w:ascii="Arial" w:cs="Arial" w:eastAsia="Arial" w:hAnsi="Arial"/>
                <w:sz w:val="13"/>
                <w:szCs w:val="13"/>
                <w:color w:val="666666"/>
              </w:rPr>
              <w:t>TEXAS INSTRUMENTS  •  2018 PROXY STATEMENT</w:t>
            </w:r>
          </w:p>
        </w:tc>
        <w:tc>
          <w:tcPr>
            <w:tcW w:w="3060" w:type="dxa"/>
            <w:vAlign w:val="bottom"/>
          </w:tcPr>
          <w:p>
            <w:pPr>
              <w:ind w:left="3000"/>
              <w:spacing w:after="0"/>
              <w:rPr>
                <w:sz w:val="20"/>
                <w:szCs w:val="20"/>
                <w:color w:val="auto"/>
              </w:rPr>
            </w:pPr>
            <w:r>
              <w:rPr>
                <w:rFonts w:ascii="Arial" w:cs="Arial" w:eastAsia="Arial" w:hAnsi="Arial"/>
                <w:sz w:val="9"/>
                <w:szCs w:val="9"/>
                <w:color w:val="666666"/>
                <w:w w:val="78"/>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-1155700</wp:posOffset>
            </wp:positionV>
            <wp:extent cx="805815" cy="9690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-1155700</wp:posOffset>
            </wp:positionV>
            <wp:extent cx="805815" cy="9690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05815" cy="96901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-1155700</wp:posOffset>
            </wp:positionV>
            <wp:extent cx="805815" cy="969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 not standing for re-election</w:t>
      </w:r>
    </w:p>
    <w:p>
      <w:pPr>
        <w:spacing w:after="0" w:line="9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805815" cy="969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Age 70</w:t>
      </w:r>
    </w:p>
    <w:p>
      <w:pPr>
        <w:ind w:left="1980"/>
        <w:spacing w:after="0" w:line="234" w:lineRule="auto"/>
        <w:rPr>
          <w:sz w:val="20"/>
          <w:szCs w:val="20"/>
          <w:color w:val="auto"/>
        </w:rPr>
      </w:pPr>
      <w:r>
        <w:rPr>
          <w:rFonts w:ascii="Arial" w:cs="Arial" w:eastAsia="Arial" w:hAnsi="Arial"/>
          <w:sz w:val="18"/>
          <w:szCs w:val="18"/>
          <w:i w:val="1"/>
          <w:iCs w:val="1"/>
          <w:color w:val="auto"/>
        </w:rPr>
        <w:t>Lead Director;</w:t>
      </w:r>
    </w:p>
    <w:p>
      <w:pPr>
        <w:ind w:left="1980"/>
        <w:spacing w:after="0" w:line="235" w:lineRule="auto"/>
        <w:rPr>
          <w:sz w:val="20"/>
          <w:szCs w:val="20"/>
          <w:color w:val="auto"/>
        </w:rPr>
      </w:pPr>
      <w:r>
        <w:rPr>
          <w:rFonts w:ascii="Arial" w:cs="Arial" w:eastAsia="Arial" w:hAnsi="Arial"/>
          <w:sz w:val="18"/>
          <w:szCs w:val="18"/>
          <w:i w:val="1"/>
          <w:iCs w:val="1"/>
          <w:color w:val="auto"/>
        </w:rPr>
        <w:t>Chair, Governance and</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Stockholder Relations Committee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Mr. Sanders, a highly valued director since 1997, has attained the age of 70 and is therefore ineligible under the company’s by-laws to stand for re-election at the 2018 annual meeting. Subject to their re-election by stockholders, Mr. Blinn and Mr. Kirk have been duly elected as new lead director and new GSR chair, respectively, to take effect immediately following the 2018 annual meeting of stockholders.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Director nomination process</w:t>
      </w:r>
    </w:p>
    <w:p>
      <w:pPr>
        <w:spacing w:after="0" w:line="205"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Governance and Stockholder Relations Committee (the GSR Committee), which is responsible for reviewing and recommending nominees to the board. The GSR Committee is comprised solely of independent directors as defined by the rules of the NASDAQ Stock Market (NASDAQ) and the board’s corporate governance guidelines. Our board of directors has adopted a written charter for the GSR Committee. It can be found on our website at www.ti.com/corporategovernance.</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Director candidate recommendations</w:t>
      </w:r>
    </w:p>
    <w:p>
      <w:pPr>
        <w:spacing w:after="0" w:line="205"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It is a long-standing policy of the board to consider prospective board nominees recommended by stockholders. A stockholder who wishes to recommend a prospective board nominee for the GSR Committee’s consideration can write to the Secretary of the GSR Committee, Texas Instruments Incorporated, P.O. Box 655936, MS 8658, Dallas, TX 75265-5936. The GSR Committee will evaluate the stockholder’s prospective board nominee in the same manner as it evaluates other nominees.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Criteria</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evaluating prospective nominees, the GSR Committee looks for the following minimum qualifications, qualities and skills:</w:t>
      </w:r>
    </w:p>
    <w:p>
      <w:pPr>
        <w:spacing w:after="0" w:line="234" w:lineRule="exact"/>
        <w:rPr>
          <w:sz w:val="20"/>
          <w:szCs w:val="20"/>
          <w:color w:val="auto"/>
        </w:rPr>
      </w:pPr>
    </w:p>
    <w:p>
      <w:pPr>
        <w:ind w:left="960" w:hanging="54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Relevant commercial expertise.</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operations experience.</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acumen.</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experience.</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Soundness of judgment.</w:t>
      </w: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ind w:left="960" w:right="74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will he or she be expected to, represent the interests of any particular group).</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diversity (viewpoints, gender, ethnicity).</w:t>
      </w:r>
    </w:p>
    <w:p>
      <w:pPr>
        <w:ind w:left="960" w:right="500" w:hanging="540"/>
        <w:spacing w:after="0" w:line="246"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Directors should not serve on the boards of more than three other public companies.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Outside board memberships</w:t>
      </w:r>
    </w:p>
    <w:p>
      <w:pPr>
        <w:spacing w:after="0" w:line="212" w:lineRule="exact"/>
        <w:rPr>
          <w:sz w:val="20"/>
          <w:szCs w:val="20"/>
          <w:color w:val="auto"/>
        </w:rPr>
      </w:pPr>
    </w:p>
    <w:p>
      <w:pPr>
        <w:jc w:val="both"/>
        <w:ind w:left="200" w:right="500"/>
        <w:spacing w:after="0" w:line="275" w:lineRule="auto"/>
        <w:rPr>
          <w:sz w:val="20"/>
          <w:szCs w:val="20"/>
          <w:color w:val="auto"/>
        </w:rPr>
      </w:pPr>
      <w:r>
        <w:rPr>
          <w:rFonts w:ascii="Arial" w:cs="Arial" w:eastAsia="Arial" w:hAnsi="Arial"/>
          <w:sz w:val="17"/>
          <w:szCs w:val="17"/>
          <w:color w:val="auto"/>
        </w:rPr>
        <w:t>In evaluating prospective nominees, the GSR Committee will consider the number of other boards on which the individual serves as director, and in particular the board’s policy that directors should not serve on the boards of more than three other public companies.</w:t>
      </w:r>
    </w:p>
    <w:p>
      <w:pPr>
        <w:spacing w:after="0" w:line="17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board is sensitive to the fact that a director’s service in an executive role at another company can be time consuming. In this regard, the board reviewed Mr. Bluedorn’s outside directorships at Lennox International, Inc. and Eaton Corporation, plc, and determined that they enhance the breadth and depth of experience on the board. Because of these directorships, Mr. Bluedorn brings to the company a unique combination of specialized knowledge and experience in the industrial market, an area in which the company has publicly disclosed its intent to focus R&amp;D investments. He also brings a familiarity with the challenges posed by</w:t>
      </w:r>
    </w:p>
    <w:p>
      <w:pPr>
        <w:spacing w:after="0" w:line="130"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246" w:lineRule="auto"/>
        <w:rPr>
          <w:sz w:val="20"/>
          <w:szCs w:val="20"/>
          <w:color w:val="auto"/>
        </w:rPr>
      </w:pPr>
      <w:r>
        <w:rPr>
          <w:rFonts w:ascii="Arial" w:cs="Arial" w:eastAsia="Arial" w:hAnsi="Arial"/>
          <w:sz w:val="18"/>
          <w:szCs w:val="18"/>
          <w:color w:val="auto"/>
        </w:rPr>
        <w:t>complex international manufacturers. Additionally, Mr. Bluedorn has held senior management positions at United Technologies, such as leading its Otis Elevator and Carrier (HVAC) business, that provide the board with important perspective on the industrial market.</w:t>
      </w:r>
    </w:p>
    <w:p>
      <w:pPr>
        <w:spacing w:after="0" w:line="197" w:lineRule="exact"/>
        <w:rPr>
          <w:sz w:val="20"/>
          <w:szCs w:val="20"/>
          <w:color w:val="auto"/>
        </w:rPr>
      </w:pPr>
    </w:p>
    <w:p>
      <w:pPr>
        <w:ind w:left="200" w:right="800"/>
        <w:spacing w:after="0" w:line="248" w:lineRule="auto"/>
        <w:rPr>
          <w:sz w:val="20"/>
          <w:szCs w:val="20"/>
          <w:color w:val="auto"/>
        </w:rPr>
      </w:pPr>
      <w:r>
        <w:rPr>
          <w:rFonts w:ascii="Arial" w:cs="Arial" w:eastAsia="Arial" w:hAnsi="Arial"/>
          <w:sz w:val="17"/>
          <w:szCs w:val="17"/>
          <w:color w:val="auto"/>
        </w:rPr>
        <w:t>There is a strong consensus among the directors that Mr. Bluedorn is willing and able to devote the time required to perform board activities, and that his service with Lennox and Eaton will not interfere with his duties to the company and its shareholders. Mr. Bluedorn has served on the boards of Lennox and Eaton since 2007 and 2010, respectively, so his familiarity with his roles and responsibilities at those organizations enables him to devote the balance of his time to his service on the board. Also, two</w:t>
      </w:r>
    </w:p>
    <w:p>
      <w:pPr>
        <w:spacing w:after="0" w:line="2"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of Mr. Bluedorn’s directorships (Lennox and TI) are located within ten miles of each other in the Dallas, Texas area, and Mr. Bluedorn’s exemplary attendance record at both Lennox and Eaton, as well as at the company, indicate his commitment to devoting sufficient time to board duties.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Stockholder nomination of directors</w:t>
      </w:r>
    </w:p>
    <w:p>
      <w:pPr>
        <w:spacing w:after="0" w:line="205"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Under the company’s by-laws, a stockholder, or a group of up to 20 stockholders, owning at least 3 percent of the company’s outstanding common stock continuously for at least three years, may nominate and include in the company’s proxy materials director nominees constituting up to the greater of two individuals or 20 percent of the board of directors, provided that the stockholder(s) and the nominee(s) satisfy the requirements specified in the by-laws.</w:t>
      </w:r>
    </w:p>
    <w:p>
      <w:pPr>
        <w:spacing w:after="0" w:line="202"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The company’s by-laws also allow stockholders to nominate directors without involving the GSR Committee or including the nominee in the company’s proxy materials. To do so, stockholders must comply with the requirements set forth in the by-laws, which can be found on our website at www.ti.com/corporategovernance.</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Director nominees</w:t>
      </w:r>
    </w:p>
    <w:p>
      <w:pPr>
        <w:spacing w:after="0" w:line="205"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All nominees for directorship are currently directors of the company, including Mr. Crutcher, who was elected to the board effective July 19, 2017. He is the only director nominee at the 2018 annual meeting of stockholders who is standing for election by the stockholders for the first time.</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believes its current size is within the desired range as stated in the board’s corporate governance guidelines.</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Diversity and qualifications</w:t>
      </w:r>
    </w:p>
    <w:p>
      <w:pPr>
        <w:spacing w:after="0" w:line="205"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As indicated by the criteria above, 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Maintaining a balance of tenure among the directors is part of the board’s consideration. Longer-serving directors bring valuable experience with 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70.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Nominee assessment</w:t>
      </w:r>
    </w:p>
    <w:p>
      <w:pPr>
        <w:spacing w:after="0" w:line="212"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As it considered director nominees for the 2018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205"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As described below, each of our director nominees has achieved an extremely high level of success in his or her career, whether at multi-billion dollar, multinational corporate enterprises or significant governmental organizations. In these positions, each has been directly involved in the challenges relating to setting the strategic direction and managing the financial performance, personnel and processes of large, complex organizations. Each has had exposure to effective leaders and has developed the ability to judge leadership qualities. Ten of the director nominees have experience in serving on the board of directors of at least one other major corporation, and one has served in high political office, all of which provides additional relevant experience on which each nominee can draw.</w:t>
      </w:r>
    </w:p>
    <w:p>
      <w:pPr>
        <w:spacing w:after="0" w:line="133"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2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7</w:t>
            </w:r>
          </w:p>
        </w:tc>
      </w:tr>
    </w:tbl>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In concluding that each nominee should serve as a director, the board relied on the specific experiences and attributes listed below and on the direct personal knowledge, born of previous service on the board, that each of the nominees brings insight to board deliberations as well as a willingness to ask challenging questions.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Mr. Babb</w:t>
      </w:r>
    </w:p>
    <w:p>
      <w:pPr>
        <w:spacing w:after="0" w:line="239" w:lineRule="exact"/>
        <w:rPr>
          <w:sz w:val="20"/>
          <w:szCs w:val="20"/>
          <w:color w:val="auto"/>
        </w:rPr>
      </w:pPr>
    </w:p>
    <w:p>
      <w:pPr>
        <w:ind w:left="960" w:right="160" w:hanging="540"/>
        <w:spacing w:after="0" w:line="234"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chairman and CEO of Comerica Incorporated and Comerica Bank (2002-present) and through a long career in banking, has gained first-hand experience in managing large, complex institutions, as well as insight into financial markets.</w:t>
      </w:r>
    </w:p>
    <w:p>
      <w:pPr>
        <w:spacing w:after="0" w:line="1" w:lineRule="exact"/>
        <w:rPr>
          <w:rFonts w:ascii="Arial" w:cs="Arial" w:eastAsia="Arial" w:hAnsi="Arial"/>
          <w:sz w:val="18"/>
          <w:szCs w:val="18"/>
          <w:color w:val="auto"/>
        </w:rPr>
      </w:pPr>
    </w:p>
    <w:p>
      <w:pPr>
        <w:ind w:left="960" w:right="220" w:hanging="540"/>
        <w:spacing w:after="0" w:line="239"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Audit Committee chair at the company (2013-April 20, 2017), chief financial officer of Comerica Incorporated and Comerica Bank (1995-2002), controller and later chief financial officer of Mercantile Bancorporation (1978-1995), and auditor and later audit manager at the accounting firm of Peat Marwick Mitchell &amp; Co. (1971-1978), has gained extensive audit knowledge and experience in audit- and financial control-related matters.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Mr. Blinn</w:t>
      </w:r>
    </w:p>
    <w:p>
      <w:pPr>
        <w:spacing w:after="0" w:line="239" w:lineRule="exact"/>
        <w:rPr>
          <w:sz w:val="20"/>
          <w:szCs w:val="20"/>
          <w:color w:val="auto"/>
        </w:rPr>
      </w:pPr>
    </w:p>
    <w:p>
      <w:pPr>
        <w:ind w:left="960" w:right="300" w:hanging="540"/>
        <w:spacing w:after="0" w:line="234"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CEO and a director of Flowserve Corporation (2009-2017), has gained first-hand experience in managing a large, multinational corporation operating in global industrial markets, with ultimate management responsibility for the organization’s financial performance and significant capital and R&amp;D investments.</w:t>
      </w:r>
    </w:p>
    <w:p>
      <w:pPr>
        <w:spacing w:after="0" w:line="2" w:lineRule="exact"/>
        <w:rPr>
          <w:rFonts w:ascii="Arial" w:cs="Arial" w:eastAsia="Arial" w:hAnsi="Arial"/>
          <w:sz w:val="18"/>
          <w:szCs w:val="18"/>
          <w:color w:val="auto"/>
        </w:rPr>
      </w:pPr>
    </w:p>
    <w:p>
      <w:pPr>
        <w:ind w:left="960" w:right="100" w:hanging="540"/>
        <w:spacing w:after="0" w:line="239"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Audit Committee chair at the company (April 21, 2017-present), chief financial officer of Flowserve Corporation (2004-2009), chief financial officer of FedEx Kinko’s Office and Print Services Inc. (2003-2004) and vice president and controller of Centex Corporation (2000-2002), has developed a keen appreciation for audit- and financial control-related matters. Is also a director of Kraton Corporation (2017-present).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Mr. Bluedorn</w:t>
      </w:r>
    </w:p>
    <w:p>
      <w:pPr>
        <w:spacing w:after="0" w:line="239" w:lineRule="exact"/>
        <w:rPr>
          <w:sz w:val="20"/>
          <w:szCs w:val="20"/>
          <w:color w:val="auto"/>
        </w:rPr>
      </w:pPr>
    </w:p>
    <w:p>
      <w:pPr>
        <w:ind w:left="960" w:right="200" w:hanging="540"/>
        <w:spacing w:after="0" w:line="239"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chairman (2012-present) and CEO and a director (2007-present) of Lennox International Inc., has gained first-hand experience in managing a large, multinational corporation operating in global industrial markets, with ultimate management responsibility for the corporation’s financial performance and its significant investments in capital and R&amp;D. Is also a director of Eaton Corporation plc (2010-present).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Mr. Carp</w:t>
      </w:r>
    </w:p>
    <w:p>
      <w:pPr>
        <w:spacing w:after="0" w:line="239" w:lineRule="exact"/>
        <w:rPr>
          <w:sz w:val="20"/>
          <w:szCs w:val="20"/>
          <w:color w:val="auto"/>
        </w:rPr>
      </w:pPr>
    </w:p>
    <w:p>
      <w:pPr>
        <w:ind w:left="960" w:right="100" w:hanging="540"/>
        <w:spacing w:after="0" w:line="23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chairman and CEO (2000-2005) and president (1997-2001, 2002-2003) of Eastman Kodak Company, has gained first-hand experience in managing a large, multinational corporation focused on worldwide electronics markets, with ultimate management responsibility for the corporation’s financial performance and its significant investments in capital and R&amp;D.</w:t>
      </w:r>
    </w:p>
    <w:p>
      <w:pPr>
        <w:spacing w:after="0" w:line="2" w:lineRule="exact"/>
        <w:rPr>
          <w:rFonts w:ascii="Arial" w:cs="Arial" w:eastAsia="Arial" w:hAnsi="Arial"/>
          <w:sz w:val="18"/>
          <w:szCs w:val="18"/>
          <w:color w:val="auto"/>
        </w:rPr>
      </w:pPr>
    </w:p>
    <w:p>
      <w:pPr>
        <w:ind w:left="960" w:right="180" w:hanging="54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director of Delta Air Lines, Inc. (2007-present), a director of Norfolk Southern Corporation (2006-present) and a director of Liz Claiborne, Inc. (2006-2009), has helped oversee the strategy and operations of major multinational corporations in various industries, including some that are capital-intensive.</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Ms. Clark</w:t>
      </w:r>
    </w:p>
    <w:p>
      <w:pPr>
        <w:spacing w:after="0" w:line="239" w:lineRule="exact"/>
        <w:rPr>
          <w:sz w:val="20"/>
          <w:szCs w:val="20"/>
          <w:color w:val="auto"/>
        </w:rPr>
      </w:pPr>
    </w:p>
    <w:p>
      <w:pPr>
        <w:ind w:left="960" w:right="300" w:hanging="540"/>
        <w:spacing w:after="0" w:line="23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executive vice president (2007-2013) and chief financial officer (2004-2013) of Marathon Oil Corporation, has developed a keen appreciation for audit- and financial control-related matters.</w:t>
      </w:r>
    </w:p>
    <w:p>
      <w:pPr>
        <w:spacing w:after="0" w:line="1" w:lineRule="exact"/>
        <w:rPr>
          <w:rFonts w:ascii="Arial" w:cs="Arial" w:eastAsia="Arial" w:hAnsi="Arial"/>
          <w:sz w:val="18"/>
          <w:szCs w:val="18"/>
          <w:color w:val="auto"/>
        </w:rPr>
      </w:pPr>
    </w:p>
    <w:p>
      <w:pPr>
        <w:ind w:left="960" w:hanging="540"/>
        <w:spacing w:after="0" w:line="239"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director of Goldman Sachs Private Middle Market Credit LLC (2016-present), Goldman Sachs BDC, Inc. (2015-present) and EOG Resources, Inc. (2014-present) and as a former director of Exterran Holdings, Inc. (and its predecessor company, Universal Compression Holdings, Inc.) (2003-2011) and Dell Inc. (2011-2013), has helped oversee the strategy and operations of other large, multinational corporations, including one with a focus on technology.</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Ms. Cox</w:t>
      </w:r>
    </w:p>
    <w:p>
      <w:pPr>
        <w:spacing w:after="0" w:line="239" w:lineRule="exact"/>
        <w:rPr>
          <w:sz w:val="20"/>
          <w:szCs w:val="20"/>
          <w:color w:val="auto"/>
        </w:rPr>
      </w:pPr>
    </w:p>
    <w:p>
      <w:pPr>
        <w:ind w:left="960" w:right="100" w:hanging="540"/>
        <w:spacing w:after="0" w:line="23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chairman (2013-present), CEO and a director (2010-present) of Humacyte, Inc., executive vice president and president of Global Pharmaceuticals at Schering-Plough Corporation (2003-2009) and executive vice president and president of Global Prescription Business at Pharmacia Corporation (1997-2003), has gained first-hand experience in managing large, multinational organizations focused on medical-related markets, with responsibility for those organizations’ financial performance and significant capital and R&amp;D investments. Is also a director of Cardinal Health, Inc. (2009-present) and Celgene Corporation (2009-present).</w:t>
      </w:r>
    </w:p>
    <w:p>
      <w:pPr>
        <w:spacing w:after="0" w:line="133"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Mr. Crutcher</w:t>
      </w:r>
    </w:p>
    <w:p>
      <w:pPr>
        <w:spacing w:after="0" w:line="239" w:lineRule="exact"/>
        <w:rPr>
          <w:sz w:val="20"/>
          <w:szCs w:val="20"/>
          <w:color w:val="auto"/>
        </w:rPr>
      </w:pPr>
    </w:p>
    <w:p>
      <w:pPr>
        <w:ind w:left="960" w:right="40" w:hanging="540"/>
        <w:spacing w:after="0" w:line="239"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TI employee for over 20 years, serving the last seven years at a senior level at the company, including senior vice president (2010-2014), executive vice president (2014-present), chief operating officer (January 19, 2017-present) and director (July 19, 2017-present), has experience leading large, complex semiconductor operations and keen insight into the current and future state of the semiconductor industry.</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Ms. Hobby</w:t>
      </w:r>
    </w:p>
    <w:p>
      <w:pPr>
        <w:spacing w:after="0" w:line="239" w:lineRule="exact"/>
        <w:rPr>
          <w:sz w:val="20"/>
          <w:szCs w:val="20"/>
          <w:color w:val="auto"/>
        </w:rPr>
      </w:pPr>
    </w:p>
    <w:p>
      <w:pPr>
        <w:jc w:val="both"/>
        <w:ind w:left="960" w:right="480" w:hanging="540"/>
        <w:spacing w:after="0" w:line="234"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global strategy officer (2013-2015), technology, media and telecom sector leader (2008-2013) and chief financial officer (2005-2008) at PricewaterhouseCoopers LLP, has gained extensive audit knowledge and experience in audit- and financial control-related matters and technology.</w:t>
      </w:r>
    </w:p>
    <w:p>
      <w:pPr>
        <w:spacing w:after="0" w:line="2" w:lineRule="exact"/>
        <w:rPr>
          <w:rFonts w:ascii="Arial" w:cs="Arial" w:eastAsia="Arial" w:hAnsi="Arial"/>
          <w:sz w:val="18"/>
          <w:szCs w:val="18"/>
          <w:color w:val="auto"/>
        </w:rPr>
      </w:pPr>
    </w:p>
    <w:p>
      <w:pPr>
        <w:ind w:left="960" w:right="480" w:hanging="540"/>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director of Integer Holdings Corporation (and its predecessor company, Greatbatch, Inc.) (2015-present), and CA, Inc. (February 1, 2018-present), has helped oversee the strategy and operations of other multinational corporations.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Mr. Kirk</w:t>
      </w:r>
    </w:p>
    <w:p>
      <w:pPr>
        <w:spacing w:after="0" w:line="239" w:lineRule="exact"/>
        <w:rPr>
          <w:sz w:val="20"/>
          <w:szCs w:val="20"/>
          <w:color w:val="auto"/>
        </w:rPr>
      </w:pPr>
    </w:p>
    <w:p>
      <w:pPr>
        <w:ind w:left="960" w:right="100" w:hanging="540"/>
        <w:spacing w:after="0" w:line="234"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U.S. Trade Representative (2009-2013), has gained first-hand experience in managing a complex organization that operates on an international scale and developed insight into issues bearing on global economic activity, international trade policies and strategies and the workings of foreign governments.</w:t>
      </w:r>
    </w:p>
    <w:p>
      <w:pPr>
        <w:spacing w:after="0" w:line="2" w:lineRule="exact"/>
        <w:rPr>
          <w:rFonts w:ascii="Arial" w:cs="Arial" w:eastAsia="Arial" w:hAnsi="Arial"/>
          <w:sz w:val="18"/>
          <w:szCs w:val="18"/>
          <w:color w:val="auto"/>
        </w:rPr>
      </w:pPr>
    </w:p>
    <w:p>
      <w:pPr>
        <w:ind w:left="960" w:right="260" w:hanging="540"/>
        <w:spacing w:after="0" w:line="234"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Senior Of Counsel of Gibson, Dunn &amp; Crutcher LLP (2013-present), and as a partner of Vinson &amp; Elkins, LLP (2005-2009), has gained first-hand experience as an advisor to numerous multinational companies.</w:t>
      </w:r>
    </w:p>
    <w:p>
      <w:pPr>
        <w:spacing w:after="0" w:line="1" w:lineRule="exact"/>
        <w:rPr>
          <w:rFonts w:ascii="Arial" w:cs="Arial" w:eastAsia="Arial" w:hAnsi="Arial"/>
          <w:sz w:val="18"/>
          <w:szCs w:val="18"/>
          <w:color w:val="auto"/>
        </w:rPr>
      </w:pPr>
    </w:p>
    <w:p>
      <w:pPr>
        <w:ind w:left="960" w:right="640" w:hanging="540"/>
        <w:spacing w:after="0" w:line="246"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 director of Brinker International, Inc. (1997-2009), Dean Foods Company (1997-2009), and Macquarie Infrastructure Corporation (2016-present), has helped oversee the strategy and operations of other large corporations.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Ms. Patsley</w:t>
      </w:r>
    </w:p>
    <w:p>
      <w:pPr>
        <w:spacing w:after="0" w:line="239" w:lineRule="exact"/>
        <w:rPr>
          <w:sz w:val="20"/>
          <w:szCs w:val="20"/>
          <w:color w:val="auto"/>
        </w:rPr>
      </w:pPr>
    </w:p>
    <w:p>
      <w:pPr>
        <w:ind w:left="960" w:right="200" w:hanging="540"/>
        <w:spacing w:after="0" w:line="248"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executive chairman (2016-February 2, 2018) and chairman and CEO (2009-2015) of MoneyGram International, Inc., senior executive vice president of First Data Corporation (2000-2007) and president and CEO of Paymentech, Inc. (1991-2000), has gained first-hand experience in managing large, multinational organizations, including the application of technology in the financial services sector, with ultimate management responsibility for financial performance and significant capital investments.</w:t>
      </w:r>
    </w:p>
    <w:p>
      <w:pPr>
        <w:spacing w:after="0" w:line="2" w:lineRule="exact"/>
        <w:rPr>
          <w:rFonts w:ascii="Arial" w:cs="Arial" w:eastAsia="Arial" w:hAnsi="Arial"/>
          <w:sz w:val="17"/>
          <w:szCs w:val="17"/>
          <w:color w:val="auto"/>
        </w:rPr>
      </w:pPr>
    </w:p>
    <w:p>
      <w:pPr>
        <w:jc w:val="both"/>
        <w:ind w:left="960" w:right="340" w:hanging="540"/>
        <w:spacing w:after="0" w:line="234"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Audit Committee chair at the company (2006-2013), a member of the audit committee at Dr Pepper Snapple Group, Inc., chief financial officer of First USA, Inc. (1987-1994) and an auditor at KPMG Peat Marwick for almost six years before joining First USA, has developed a keen appreciation for audit- and financial control-related matters.</w:t>
      </w:r>
    </w:p>
    <w:p>
      <w:pPr>
        <w:spacing w:after="0" w:line="2" w:lineRule="exact"/>
        <w:rPr>
          <w:rFonts w:ascii="Arial" w:cs="Arial" w:eastAsia="Arial" w:hAnsi="Arial"/>
          <w:sz w:val="18"/>
          <w:szCs w:val="18"/>
          <w:color w:val="auto"/>
        </w:rPr>
      </w:pPr>
    </w:p>
    <w:p>
      <w:pPr>
        <w:ind w:left="960" w:right="540" w:hanging="54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director of Dr Pepper Snapple Group, Inc. (2008-present), Hilton Grand Vacations, Inc. (January 2017-present) and a director of Molson Coors Brewing Company (2005-2009), has helped oversee the strategy and operations of other major multinational corporations.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Mr. Sanchez</w:t>
      </w:r>
    </w:p>
    <w:p>
      <w:pPr>
        <w:spacing w:after="0" w:line="239" w:lineRule="exact"/>
        <w:rPr>
          <w:sz w:val="20"/>
          <w:szCs w:val="20"/>
          <w:color w:val="auto"/>
        </w:rPr>
      </w:pPr>
    </w:p>
    <w:p>
      <w:pPr>
        <w:ind w:left="960" w:right="320" w:hanging="540"/>
        <w:spacing w:after="0" w:line="234"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chairman and CEO (2013-present), president (2012-2014) and chief operating officer (2012) of Ryder System, Inc. and as president of its Global Fleet Management Solutions business segment (2010-2012), has gained first-hand experience in managing a large, multinational, transportation-related organization, with responsibility for the organization’s financial performance and significant capital investments.</w:t>
      </w:r>
    </w:p>
    <w:p>
      <w:pPr>
        <w:spacing w:after="0" w:line="3" w:lineRule="exact"/>
        <w:rPr>
          <w:rFonts w:ascii="Arial" w:cs="Arial" w:eastAsia="Arial" w:hAnsi="Arial"/>
          <w:sz w:val="18"/>
          <w:szCs w:val="18"/>
          <w:color w:val="auto"/>
        </w:rPr>
      </w:pPr>
    </w:p>
    <w:p>
      <w:pPr>
        <w:ind w:left="960" w:right="100" w:hanging="540"/>
        <w:spacing w:after="0" w:line="239"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executive vice president and chief financial officer (2007-2010) and as senior vice president and chief information officer (2003-2005) of Ryder System, Inc., has developed a keen appreciation for audit- and financial control-related issues and gained first-hand experience with all technology-related functions of a large, multinational corporation focused on transportation and logistics.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Mr. Templeton</w:t>
      </w:r>
    </w:p>
    <w:p>
      <w:pPr>
        <w:spacing w:after="0" w:line="239" w:lineRule="exact"/>
        <w:rPr>
          <w:sz w:val="20"/>
          <w:szCs w:val="20"/>
          <w:color w:val="auto"/>
        </w:rPr>
      </w:pPr>
    </w:p>
    <w:p>
      <w:pPr>
        <w:ind w:left="960" w:right="640" w:hanging="54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37-year veteran of the semiconductor industry, serving the last 22 years at a senior level at the company, including as chairman since 2008, CEO since 2004 and director since 2003, has developed a deep knowledge of all aspects of the company and of the semiconductor industry.</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12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9</w:t>
            </w:r>
          </w:p>
        </w:tc>
      </w:tr>
    </w:tbl>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Communications with the board</w:t>
      </w:r>
    </w:p>
    <w:p>
      <w:pPr>
        <w:spacing w:after="0" w:line="205"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Stockholders and others who wish to communicate with the board, a board committee or an individual director may write to them at: P.O. Box 655936, MS 8658, Dallas, TX 75265-5936. All communications sent to this address will be shared with the board, committee or individual director as applicable.</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Corporate governance</w:t>
      </w:r>
    </w:p>
    <w:p>
      <w:pPr>
        <w:spacing w:after="0" w:line="205"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board has a long-standing commitment to responsible and effective corporate governance. We annually conduct extensive governance reviews and engage in investor outreach specific to governance and executive compensation matters. The board’s corporate governance guidelines (which include the director independence standards), the charters of each of the board’s committees, TI’s code of conduct, our code of ethics for our CEO and senior financial officers and our by-laws are available on our website at www.ti.com/corporategovernance. Stockholders may request copies of these documents free of charge by writing to Texas Instruments Incorporated, P.O. Box 660199, MS 8657, Dallas, TX 75266-0199, Attn: Investor Relations.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Annual meeting attendance</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 is a policy of the board to encourage directors to attend each annual meeting of stockholders. Such attendance allows for direct interaction between stockholders and board members. In 2017, all directors then in office and standing for re-election attended TI’s annual meeting of stockholders.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Director independence</w:t>
      </w:r>
    </w:p>
    <w:p>
      <w:pPr>
        <w:spacing w:after="0" w:line="205"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board has determined that each of our directors is independent except for Mr. Templeton and Mr. Crutcher.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225"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ind w:left="1060" w:hanging="424"/>
        <w:spacing w:after="0" w:line="234"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w:t>
      </w:r>
    </w:p>
    <w:p>
      <w:pPr>
        <w:ind w:left="1060" w:right="60" w:hanging="424"/>
        <w:spacing w:after="0" w:line="234"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family member of the director is (a) a current partner of the company’s independent auditors or (b) currently employed by the company’s independent auditors and personally works on the company’s audit;</w:t>
      </w:r>
    </w:p>
    <w:p>
      <w:pPr>
        <w:spacing w:after="0" w:line="1" w:lineRule="exact"/>
        <w:rPr>
          <w:rFonts w:ascii="Arial" w:cs="Arial" w:eastAsia="Arial" w:hAnsi="Arial"/>
          <w:sz w:val="18"/>
          <w:szCs w:val="18"/>
          <w:color w:val="auto"/>
        </w:rPr>
      </w:pPr>
    </w:p>
    <w:p>
      <w:pPr>
        <w:ind w:left="1060" w:right="80" w:hanging="424"/>
        <w:spacing w:after="0" w:line="234"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5" w:lineRule="exact"/>
        <w:rPr>
          <w:rFonts w:ascii="Arial" w:cs="Arial" w:eastAsia="Arial" w:hAnsi="Arial"/>
          <w:sz w:val="18"/>
          <w:szCs w:val="18"/>
          <w:color w:val="auto"/>
        </w:rPr>
      </w:pPr>
    </w:p>
    <w:p>
      <w:pPr>
        <w:ind w:left="1060" w:right="80" w:hanging="424"/>
        <w:spacing w:after="0" w:line="234"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(a) made payments to, or received payments from, the company for property or services,</w:t>
      </w:r>
    </w:p>
    <w:p>
      <w:pPr>
        <w:spacing w:after="0" w:line="2" w:lineRule="exact"/>
        <w:rPr>
          <w:rFonts w:ascii="Arial" w:cs="Arial" w:eastAsia="Arial" w:hAnsi="Arial"/>
          <w:sz w:val="18"/>
          <w:szCs w:val="18"/>
          <w:color w:val="auto"/>
        </w:rPr>
      </w:pPr>
    </w:p>
    <w:p>
      <w:pPr>
        <w:ind w:left="1060" w:firstLine="8"/>
        <w:spacing w:after="0" w:line="239" w:lineRule="auto"/>
        <w:tabs>
          <w:tab w:leader="none" w:pos="1330" w:val="left"/>
        </w:tabs>
        <w:numPr>
          <w:ilvl w:val="2"/>
          <w:numId w:val="22"/>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224"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ind w:left="1060" w:right="340" w:hanging="424"/>
        <w:spacing w:after="0" w:line="234"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provided the interim employment did not last longer than one year);</w:t>
      </w:r>
    </w:p>
    <w:p>
      <w:pPr>
        <w:spacing w:after="0" w:line="1" w:lineRule="exact"/>
        <w:rPr>
          <w:rFonts w:ascii="Arial" w:cs="Arial" w:eastAsia="Arial" w:hAnsi="Arial"/>
          <w:sz w:val="18"/>
          <w:szCs w:val="18"/>
          <w:color w:val="auto"/>
        </w:rPr>
      </w:pPr>
    </w:p>
    <w:p>
      <w:pPr>
        <w:ind w:left="1060" w:hanging="424"/>
        <w:spacing w:after="0" w:line="234"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 or she received more than $120,000 during any twelve-month period in compensation from the company (other than</w:t>
      </w:r>
    </w:p>
    <w:p>
      <w:pPr>
        <w:ind w:left="1060" w:right="280" w:firstLine="8"/>
        <w:spacing w:after="0" w:line="234" w:lineRule="auto"/>
        <w:tabs>
          <w:tab w:leader="none" w:pos="133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compensation for board or board committee service, (b) compensation received for former service lasting no longer than one year as an interim chairman of the board, chief executive officer or other executive officer and (c) benefits under a tax-qualified retirement plan, or non-discretionary compensation);</w:t>
      </w:r>
    </w:p>
    <w:p>
      <w:pPr>
        <w:spacing w:after="0" w:line="2" w:lineRule="exact"/>
        <w:rPr>
          <w:rFonts w:ascii="Arial" w:cs="Arial" w:eastAsia="Arial" w:hAnsi="Arial"/>
          <w:sz w:val="18"/>
          <w:szCs w:val="18"/>
          <w:color w:val="auto"/>
        </w:rPr>
      </w:pPr>
    </w:p>
    <w:p>
      <w:pPr>
        <w:ind w:left="1060" w:hanging="424"/>
        <w:spacing w:after="0"/>
        <w:tabs>
          <w:tab w:leader="none" w:pos="10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family member of the director was employed as an executive officer by the company;</w:t>
      </w:r>
    </w:p>
    <w:p>
      <w:pPr>
        <w:spacing w:after="0" w:line="13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right="620" w:hanging="424"/>
        <w:spacing w:after="0" w:line="234" w:lineRule="auto"/>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family member of the director received more than $120,000 during any twelve-month period in compensation from the company (excluding compensation as a non-executive officer employee of the company);</w:t>
      </w:r>
    </w:p>
    <w:p>
      <w:pPr>
        <w:spacing w:after="0" w:line="1" w:lineRule="exact"/>
        <w:rPr>
          <w:rFonts w:ascii="Arial" w:cs="Arial" w:eastAsia="Arial" w:hAnsi="Arial"/>
          <w:sz w:val="18"/>
          <w:szCs w:val="18"/>
          <w:color w:val="auto"/>
        </w:rPr>
      </w:pPr>
    </w:p>
    <w:p>
      <w:pPr>
        <w:ind w:left="1060" w:right="220" w:hanging="424"/>
        <w:spacing w:after="0" w:line="234" w:lineRule="auto"/>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1060" w:right="580" w:hanging="424"/>
        <w:spacing w:after="0" w:line="234" w:lineRule="auto"/>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family member of the director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1060" w:right="80" w:hanging="424"/>
        <w:spacing w:after="0" w:line="234" w:lineRule="auto"/>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He or she was an executive officer of another entity at which any of the company’s current executive officers at any time during the past three years served on that entity’s compensation committee; or</w:t>
      </w:r>
    </w:p>
    <w:p>
      <w:pPr>
        <w:spacing w:after="0" w:line="1" w:lineRule="exact"/>
        <w:rPr>
          <w:rFonts w:ascii="Arial" w:cs="Arial" w:eastAsia="Arial" w:hAnsi="Arial"/>
          <w:sz w:val="18"/>
          <w:szCs w:val="18"/>
          <w:color w:val="auto"/>
        </w:rPr>
      </w:pPr>
    </w:p>
    <w:p>
      <w:pPr>
        <w:ind w:left="1060" w:right="460" w:hanging="424"/>
        <w:spacing w:after="0" w:line="246" w:lineRule="auto"/>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family member of the director was an executive officer of another entity at which any of the company’s current executive officers at any time during the past three years served on that entity’s compensation committee.</w:t>
      </w:r>
    </w:p>
    <w:p>
      <w:pPr>
        <w:spacing w:after="0" w:line="223" w:lineRule="exact"/>
        <w:rPr>
          <w:rFonts w:ascii="Arial" w:cs="Arial" w:eastAsia="Arial" w:hAnsi="Arial"/>
          <w:sz w:val="18"/>
          <w:szCs w:val="18"/>
          <w:color w:val="auto"/>
        </w:rPr>
      </w:pPr>
    </w:p>
    <w:p>
      <w:pPr>
        <w:ind w:left="640" w:right="80" w:hanging="436"/>
        <w:spacing w:after="0" w:line="238"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229" w:lineRule="exact"/>
        <w:rPr>
          <w:rFonts w:ascii="Arial" w:cs="Arial" w:eastAsia="Arial" w:hAnsi="Arial"/>
          <w:sz w:val="18"/>
          <w:szCs w:val="18"/>
          <w:color w:val="auto"/>
        </w:rPr>
      </w:pPr>
    </w:p>
    <w:p>
      <w:pPr>
        <w:ind w:left="640" w:right="140" w:hanging="436"/>
        <w:spacing w:after="0" w:line="23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2" w:lineRule="exact"/>
        <w:rPr>
          <w:rFonts w:ascii="Arial" w:cs="Arial" w:eastAsia="Arial" w:hAnsi="Arial"/>
          <w:sz w:val="18"/>
          <w:szCs w:val="18"/>
          <w:color w:val="auto"/>
        </w:rPr>
      </w:pPr>
    </w:p>
    <w:p>
      <w:pPr>
        <w:ind w:left="1060" w:right="60" w:hanging="424"/>
        <w:spacing w:after="0" w:line="234" w:lineRule="auto"/>
        <w:tabs>
          <w:tab w:leader="none" w:pos="10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source of compensation of the director, including any consulting, advisory or compensatory fee paid by the company to the director; and</w:t>
      </w:r>
    </w:p>
    <w:p>
      <w:pPr>
        <w:spacing w:after="0" w:line="1" w:lineRule="exact"/>
        <w:rPr>
          <w:rFonts w:ascii="Arial" w:cs="Arial" w:eastAsia="Arial" w:hAnsi="Arial"/>
          <w:sz w:val="18"/>
          <w:szCs w:val="18"/>
          <w:color w:val="auto"/>
        </w:rPr>
      </w:pPr>
    </w:p>
    <w:p>
      <w:pPr>
        <w:ind w:left="1060" w:hanging="424"/>
        <w:spacing w:after="0"/>
        <w:tabs>
          <w:tab w:leader="none" w:pos="10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Whether the director is affiliated with the company, a subsidiary of the company or an affiliate of a subsidiary of the company.</w:t>
      </w:r>
    </w:p>
    <w:p>
      <w:pPr>
        <w:spacing w:after="0" w:line="238" w:lineRule="exact"/>
        <w:rPr>
          <w:rFonts w:ascii="Arial" w:cs="Arial" w:eastAsia="Arial" w:hAnsi="Arial"/>
          <w:sz w:val="18"/>
          <w:szCs w:val="18"/>
          <w:color w:val="auto"/>
        </w:rPr>
      </w:pPr>
    </w:p>
    <w:p>
      <w:pPr>
        <w:ind w:left="640" w:right="6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20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For purposes of these independence determinations, “company” and “family member” will have the same meaning as under NASDAQ rules.</w:t>
      </w:r>
    </w:p>
    <w:p>
      <w:pPr>
        <w:spacing w:after="0" w:line="38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organization</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Board and committee meetings</w:t>
      </w:r>
    </w:p>
    <w:p>
      <w:pPr>
        <w:spacing w:after="0" w:line="205"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During 2017, the board held nine meetings. The board has three standing committees described below. The committees of the board collectively held 18 meetings in 2017. Each director attended at least 86 percent of the board and relevant committee meetings combined. Overall attendance at board and committee meetings was approximately 96 percent.</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Committees of the board</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Audit Committee</w:t>
      </w:r>
    </w:p>
    <w:p>
      <w:pPr>
        <w:spacing w:after="0" w:line="212" w:lineRule="exact"/>
        <w:rPr>
          <w:sz w:val="20"/>
          <w:szCs w:val="20"/>
          <w:color w:val="auto"/>
        </w:rPr>
      </w:pPr>
    </w:p>
    <w:p>
      <w:pPr>
        <w:ind w:left="200" w:right="160"/>
        <w:spacing w:after="0" w:line="248" w:lineRule="auto"/>
        <w:rPr>
          <w:sz w:val="20"/>
          <w:szCs w:val="20"/>
          <w:color w:val="auto"/>
        </w:rPr>
      </w:pPr>
      <w:r>
        <w:rPr>
          <w:rFonts w:ascii="Arial" w:cs="Arial" w:eastAsia="Arial" w:hAnsi="Arial"/>
          <w:sz w:val="17"/>
          <w:szCs w:val="17"/>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From July 20, 2016, to April 20, 2017, the committee members were Mr. Babb (chair), Mr. Blinn,</w:t>
      </w:r>
    </w:p>
    <w:p>
      <w:pPr>
        <w:spacing w:after="0" w:line="2"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Ms. Clark and Ms. Hobby, with Mr. Bluedorn joining the committee March 1, 2017. Since April 21, 2017, the committee members have been Mr. Blinn (chair), Mr. Bluedorn, Ms. Clark and Ms. Hobby. The Audit Committee is generally responsible for:</w:t>
      </w:r>
    </w:p>
    <w:p>
      <w:pPr>
        <w:spacing w:after="0" w:line="220" w:lineRule="exact"/>
        <w:rPr>
          <w:sz w:val="20"/>
          <w:szCs w:val="20"/>
          <w:color w:val="auto"/>
        </w:rPr>
      </w:pPr>
    </w:p>
    <w:p>
      <w:pPr>
        <w:ind w:left="960" w:hanging="54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TI’s independent registered public accounting firm.</w:t>
      </w:r>
    </w:p>
    <w:p>
      <w:pPr>
        <w:ind w:left="960" w:hanging="540"/>
        <w:spacing w:after="0" w:line="23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the annual report of TI’s independent registered public accounting firm related to quality control.</w:t>
      </w:r>
    </w:p>
    <w:p>
      <w:pPr>
        <w:ind w:left="960" w:right="260" w:hanging="540"/>
        <w:spacing w:after="0" w:line="23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TI’s annual and quarterly reports to the SEC, including the financial statements and the “Management’s Discussion and Analysis” portion of those reports, and recommending appropriate action to the board.</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TI’s audit plans.</w:t>
      </w:r>
    </w:p>
    <w:p>
      <w:pPr>
        <w:ind w:left="960" w:right="220" w:hanging="540"/>
        <w:spacing w:after="0" w:line="24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before issuance TI’s news releases regarding annual and interim financial results and discussing with management any related earnings guidance that may be provided to analysts and rating agencies.</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11</w:t>
            </w:r>
          </w:p>
        </w:tc>
      </w:tr>
    </w:tbl>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relationships between the independent registered public accounting firm and TI.</w:t>
      </w:r>
    </w:p>
    <w:p>
      <w:pPr>
        <w:ind w:left="960" w:right="64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discussing the adequacy of TI’s internal accounting controls and other factors affecting the integrity of TI’s financial reports with management and with the independent registered public accounting firm.</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Creating and periodically reviewing TI’s whistleblower policy.</w:t>
      </w:r>
    </w:p>
    <w:p>
      <w:pPr>
        <w:ind w:left="96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TI’s risk assessment and risk management policies.</w:t>
      </w:r>
    </w:p>
    <w:p>
      <w:pPr>
        <w:ind w:left="96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TI’s compliance and ethics program.</w:t>
      </w:r>
    </w:p>
    <w:p>
      <w:pPr>
        <w:ind w:left="960" w:right="32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 report of compliance of management and operating personnel with TI’s code of conduct, including TI’s conflict of interest policy.</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TI’s non-employee-related insurance programs.</w:t>
      </w:r>
    </w:p>
    <w:p>
      <w:pPr>
        <w:ind w:left="96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changes, if any, in major accounting policies of the company.</w:t>
      </w:r>
    </w:p>
    <w:p>
      <w:pPr>
        <w:ind w:left="960" w:hanging="540"/>
        <w:spacing w:after="0" w:line="23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trends in accounting policy changes that are relevant to the company.</w:t>
      </w:r>
    </w:p>
    <w:p>
      <w:pPr>
        <w:ind w:left="960" w:hanging="54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the company’s policy regarding investments and financial derivative products.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has determined that all members of the Audit Committee are financially sophisticated, as the board has interpreted such qualifications in its business judgment. In addition, the board has designated Mr. Blinn as the audit committee financial expert as defined in the Securities Exchange Act of 1934, as amended.</w:t>
      </w:r>
    </w:p>
    <w:p>
      <w:pPr>
        <w:spacing w:after="0" w:line="20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The Audit Committee met six times in 2017.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See page 43 for a report of the committee.</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Compensation Committee</w:t>
      </w:r>
    </w:p>
    <w:p>
      <w:pPr>
        <w:spacing w:after="0" w:line="212"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All members of the Compensation Committee are independent. From April 21, 2016, to April 20, 2017, the committee members were Mr. Sanchez (chair), Mr. Carp, Ms. Patsley and Christine Todd Whitman (who retired from the board in April 2017). Since April 21, 2017, the committee members have been Mr. Sanchez (Chair), Mr. Carp and Ms. Patsley. The committee is responsible for:</w:t>
      </w:r>
    </w:p>
    <w:p>
      <w:pPr>
        <w:spacing w:after="0" w:line="225" w:lineRule="exact"/>
        <w:rPr>
          <w:sz w:val="20"/>
          <w:szCs w:val="20"/>
          <w:color w:val="auto"/>
        </w:rPr>
      </w:pPr>
    </w:p>
    <w:p>
      <w:pPr>
        <w:ind w:left="960" w:hanging="54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the performance of the CEO and determining his compensation.</w:t>
      </w:r>
    </w:p>
    <w:p>
      <w:pPr>
        <w:ind w:left="960" w:hanging="540"/>
        <w:spacing w:after="0" w:line="234"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Setting the compensation of the company’s other executive officers.</w:t>
      </w:r>
    </w:p>
    <w:p>
      <w:pPr>
        <w:ind w:left="960" w:hanging="540"/>
        <w:spacing w:after="0" w:line="234"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Overseeing administration of employee benefit plans.</w:t>
      </w:r>
    </w:p>
    <w:p>
      <w:pPr>
        <w:ind w:left="960" w:hanging="540"/>
        <w:spacing w:after="0" w:line="234"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ind w:left="1180" w:right="160" w:hanging="328"/>
        <w:spacing w:after="0" w:line="234" w:lineRule="auto"/>
        <w:tabs>
          <w:tab w:leader="none" w:pos="1180" w:val="left"/>
        </w:tabs>
        <w:numPr>
          <w:ilvl w:val="1"/>
          <w:numId w:val="29"/>
        </w:numPr>
        <w:rPr>
          <w:rFonts w:ascii="Arial" w:cs="Arial" w:eastAsia="Arial" w:hAnsi="Arial"/>
          <w:sz w:val="15"/>
          <w:szCs w:val="15"/>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require board approval.</w:t>
      </w:r>
    </w:p>
    <w:p>
      <w:pPr>
        <w:spacing w:after="0" w:line="2" w:lineRule="exact"/>
        <w:rPr>
          <w:rFonts w:ascii="Arial" w:cs="Arial" w:eastAsia="Arial" w:hAnsi="Arial"/>
          <w:sz w:val="15"/>
          <w:szCs w:val="15"/>
          <w:color w:val="auto"/>
        </w:rPr>
      </w:pPr>
    </w:p>
    <w:p>
      <w:pPr>
        <w:ind w:left="1180" w:right="540" w:hanging="328"/>
        <w:spacing w:after="0" w:line="234" w:lineRule="auto"/>
        <w:tabs>
          <w:tab w:leader="none" w:pos="1180" w:val="left"/>
        </w:tabs>
        <w:numPr>
          <w:ilvl w:val="1"/>
          <w:numId w:val="29"/>
        </w:numPr>
        <w:rPr>
          <w:rFonts w:ascii="Arial" w:cs="Arial" w:eastAsia="Arial" w:hAnsi="Arial"/>
          <w:sz w:val="15"/>
          <w:szCs w:val="15"/>
          <w:color w:val="auto"/>
        </w:rPr>
      </w:pPr>
      <w:r>
        <w:rPr>
          <w:rFonts w:ascii="Arial" w:cs="Arial" w:eastAsia="Arial" w:hAnsi="Arial"/>
          <w:sz w:val="18"/>
          <w:szCs w:val="18"/>
          <w:color w:val="auto"/>
        </w:rPr>
        <w:t>Reservation of company stock for use as awards of grants under plans or as contributions or sales to any trustee of any employee benefit plan.</w:t>
      </w:r>
    </w:p>
    <w:p>
      <w:pPr>
        <w:spacing w:after="0" w:line="1" w:lineRule="exact"/>
        <w:rPr>
          <w:rFonts w:ascii="Arial" w:cs="Arial" w:eastAsia="Arial" w:hAnsi="Arial"/>
          <w:sz w:val="15"/>
          <w:szCs w:val="15"/>
          <w:color w:val="auto"/>
        </w:rPr>
      </w:pPr>
    </w:p>
    <w:p>
      <w:pPr>
        <w:ind w:left="960" w:right="220" w:hanging="540"/>
        <w:spacing w:after="0" w:line="234"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w:t>
      </w:r>
    </w:p>
    <w:p>
      <w:pPr>
        <w:spacing w:after="0" w:line="1" w:lineRule="exact"/>
        <w:rPr>
          <w:rFonts w:ascii="Arial" w:cs="Arial" w:eastAsia="Arial" w:hAnsi="Arial"/>
          <w:sz w:val="18"/>
          <w:szCs w:val="18"/>
          <w:color w:val="auto"/>
        </w:rPr>
      </w:pPr>
    </w:p>
    <w:p>
      <w:pPr>
        <w:ind w:left="960" w:right="80" w:hanging="540"/>
        <w:spacing w:after="0" w:line="246"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Appointing, setting the compensation of, overseeing and considering the independence of any compensation consultant or other advisor.</w:t>
      </w:r>
    </w:p>
    <w:p>
      <w:pPr>
        <w:spacing w:after="0" w:line="197" w:lineRule="exact"/>
        <w:rPr>
          <w:sz w:val="20"/>
          <w:szCs w:val="20"/>
          <w:color w:val="auto"/>
        </w:rPr>
      </w:pPr>
    </w:p>
    <w:p>
      <w:pPr>
        <w:ind w:left="200" w:right="540"/>
        <w:spacing w:after="0"/>
        <w:rPr>
          <w:sz w:val="20"/>
          <w:szCs w:val="20"/>
          <w:color w:val="auto"/>
        </w:rPr>
      </w:pPr>
      <w:r>
        <w:rPr>
          <w:rFonts w:ascii="Arial" w:cs="Arial" w:eastAsia="Arial" w:hAnsi="Arial"/>
          <w:sz w:val="18"/>
          <w:szCs w:val="18"/>
          <w:color w:val="auto"/>
        </w:rPr>
        <w:t>The Compensation Committee met six times in 2017. The Compensation Committee holds regularly scheduled meetings, reports its activities to the board, and consults with the board before setting annual executive compensation. See page 30 for a report of the committee.</w:t>
      </w:r>
    </w:p>
    <w:p>
      <w:pPr>
        <w:spacing w:after="0" w:line="20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2017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131"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920"/>
        <w:spacing w:after="0" w:line="239" w:lineRule="auto"/>
        <w:rPr>
          <w:sz w:val="20"/>
          <w:szCs w:val="20"/>
          <w:color w:val="auto"/>
        </w:rPr>
      </w:pPr>
      <w:r>
        <w:rPr>
          <w:rFonts w:ascii="Arial" w:cs="Arial" w:eastAsia="Arial" w:hAnsi="Arial"/>
          <w:sz w:val="18"/>
          <w:szCs w:val="18"/>
          <w:color w:val="auto"/>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2017, the committee determined that its compensation consultant was independent of the company and had no conflict of interest.</w:t>
      </w:r>
    </w:p>
    <w:p>
      <w:pPr>
        <w:spacing w:after="0" w:line="202"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202"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208" w:lineRule="exact"/>
        <w:rPr>
          <w:sz w:val="20"/>
          <w:szCs w:val="20"/>
          <w:color w:val="auto"/>
        </w:rPr>
      </w:pPr>
    </w:p>
    <w:p>
      <w:pPr>
        <w:ind w:left="200" w:right="440"/>
        <w:spacing w:after="0" w:line="239" w:lineRule="auto"/>
        <w:rPr>
          <w:sz w:val="20"/>
          <w:szCs w:val="20"/>
          <w:color w:val="auto"/>
        </w:rPr>
      </w:pPr>
      <w:r>
        <w:rPr>
          <w:rFonts w:ascii="Arial" w:cs="Arial" w:eastAsia="Arial" w:hAnsi="Arial"/>
          <w:sz w:val="18"/>
          <w:szCs w:val="18"/>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202" w:lineRule="exact"/>
        <w:rPr>
          <w:sz w:val="20"/>
          <w:szCs w:val="20"/>
          <w:color w:val="auto"/>
        </w:rPr>
      </w:pPr>
    </w:p>
    <w:p>
      <w:pPr>
        <w:ind w:left="200" w:right="180"/>
        <w:spacing w:after="0" w:line="257" w:lineRule="auto"/>
        <w:rPr>
          <w:sz w:val="20"/>
          <w:szCs w:val="20"/>
          <w:color w:val="auto"/>
        </w:rPr>
      </w:pPr>
      <w:r>
        <w:rPr>
          <w:rFonts w:ascii="Arial" w:cs="Arial" w:eastAsia="Arial" w:hAnsi="Arial"/>
          <w:sz w:val="17"/>
          <w:szCs w:val="17"/>
          <w:color w:val="auto"/>
        </w:rPr>
        <w:t>Pursuant to that authority, the Compensation Committee has delegated to a special committee established by the board the authority to, among other things, grant a limited number of stock options and restricted stock units (RSUs) under the company’s long-term incentive plans. The sole member of the special committee is Mr. Templeton. The special committee has no authority to grant, amend or terminate any form of compensation for TI’s executive officers. The Compensation Committee reviews all activity of the special committee.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Governance and Stockholder Relations Committee</w:t>
      </w:r>
    </w:p>
    <w:p>
      <w:pPr>
        <w:spacing w:after="0" w:line="212"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All members of the GSR Committee are independent. From April 21, 2016, to April 20, 2017, the committee members were Mr. Sanders (chair), Ms. Cox and Mr. Kirk. Since April 21, 2017, the committee members have been Mr. Sanders (Chair), Mr. Babb, Ms. Cox and Mr. Kirk. The GSR Committee is generally responsible for:</w:t>
      </w:r>
    </w:p>
    <w:p>
      <w:pPr>
        <w:spacing w:after="0" w:line="225" w:lineRule="exact"/>
        <w:rPr>
          <w:sz w:val="20"/>
          <w:szCs w:val="20"/>
          <w:color w:val="auto"/>
        </w:rPr>
      </w:pPr>
    </w:p>
    <w:p>
      <w:pPr>
        <w:ind w:left="960" w:hanging="54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The development and revision of our corporate governance principles.</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The size, composition and functioning of the board and board committees.</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Candidates to fill board positions.</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Nominees to be designated for election as directors.</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Compensation of board members.</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Organization and responsibilities of board committees.</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Succession planning by the company.</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Issues of potential conflicts of interest involving a board member raised under TI’s conflict of interest policy.</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Election of executive officers of the company.</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Topics affecting the relationship between the company and stockholders.</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Public issues likely to affect the company.</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Responses to proposals submitted by stockholders.</w:t>
      </w:r>
    </w:p>
    <w:p>
      <w:pPr>
        <w:ind w:left="960" w:hanging="540"/>
        <w:spacing w:after="0" w:line="234"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Contribution policies of the company and the TI Foundation.</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Scope of activities of the company’s political action committee.</w:t>
      </w:r>
    </w:p>
    <w:p>
      <w:pPr>
        <w:ind w:left="1280" w:hanging="312"/>
        <w:spacing w:after="0" w:line="234" w:lineRule="auto"/>
        <w:tabs>
          <w:tab w:leader="none" w:pos="1280" w:val="left"/>
        </w:tabs>
        <w:numPr>
          <w:ilvl w:val="1"/>
          <w:numId w:val="30"/>
        </w:numPr>
        <w:rPr>
          <w:rFonts w:ascii="Arial" w:cs="Arial" w:eastAsia="Arial" w:hAnsi="Arial"/>
          <w:sz w:val="15"/>
          <w:szCs w:val="15"/>
          <w:color w:val="auto"/>
        </w:rPr>
      </w:pPr>
      <w:r>
        <w:rPr>
          <w:rFonts w:ascii="Arial" w:cs="Arial" w:eastAsia="Arial" w:hAnsi="Arial"/>
          <w:sz w:val="18"/>
          <w:szCs w:val="18"/>
          <w:color w:val="auto"/>
        </w:rPr>
        <w:t>Revisions to TI’s code of conduct.</w:t>
      </w:r>
    </w:p>
    <w:p>
      <w:pPr>
        <w:ind w:left="960" w:hanging="540"/>
        <w:spacing w:after="0" w:line="234"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Electing officers of the company other than the executive officers.</w:t>
      </w:r>
    </w:p>
    <w:p>
      <w:pPr>
        <w:ind w:left="960" w:hanging="54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13</w:t>
            </w:r>
          </w:p>
        </w:tc>
      </w:tr>
    </w:tbl>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800"/>
        <w:spacing w:after="0"/>
        <w:rPr>
          <w:sz w:val="20"/>
          <w:szCs w:val="20"/>
          <w:color w:val="auto"/>
        </w:rPr>
      </w:pPr>
      <w:r>
        <w:rPr>
          <w:rFonts w:ascii="Arial" w:cs="Arial" w:eastAsia="Arial" w:hAnsi="Arial"/>
          <w:sz w:val="18"/>
          <w:szCs w:val="18"/>
          <w:color w:val="auto"/>
        </w:rPr>
        <w:t>The GSR Committee met six times in 2017. The GSR Committee holds regularly scheduled meetings and reports its activities to the board. See “Director candidate recommendations” and “Stockholder nomination of directors” for a discussion of stockholder nominations and recommendations and “Communications with the board” for details on how to contact the board.</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Board leadership structure</w:t>
      </w:r>
    </w:p>
    <w:p>
      <w:pPr>
        <w:spacing w:after="0" w:line="205" w:lineRule="exact"/>
        <w:rPr>
          <w:sz w:val="20"/>
          <w:szCs w:val="20"/>
          <w:color w:val="auto"/>
        </w:rPr>
      </w:pPr>
    </w:p>
    <w:p>
      <w:pPr>
        <w:ind w:left="200" w:right="40"/>
        <w:spacing w:after="0" w:line="248" w:lineRule="auto"/>
        <w:rPr>
          <w:sz w:val="20"/>
          <w:szCs w:val="20"/>
          <w:color w:val="auto"/>
        </w:rPr>
      </w:pPr>
      <w:r>
        <w:rPr>
          <w:rFonts w:ascii="Arial" w:cs="Arial" w:eastAsia="Arial" w:hAnsi="Arial"/>
          <w:sz w:val="17"/>
          <w:szCs w:val="17"/>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w:t>
      </w:r>
    </w:p>
    <w:p>
      <w:pPr>
        <w:spacing w:after="0" w:line="1" w:lineRule="exact"/>
        <w:rPr>
          <w:sz w:val="20"/>
          <w:szCs w:val="20"/>
          <w:color w:val="auto"/>
        </w:rPr>
      </w:pPr>
    </w:p>
    <w:p>
      <w:pPr>
        <w:ind w:left="200" w:firstLine="4"/>
        <w:spacing w:after="0"/>
        <w:tabs>
          <w:tab w:leader="none" w:pos="4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including on each board agenda an opportunity for the independent directors to comment on and influence the proposed strategic agenda for future meetings and (b) holding an executive session of the independent directors at each board meeting), allows it to maintain the active engagement of independent directors and appropriate oversight of management.</w:t>
      </w:r>
    </w:p>
    <w:p>
      <w:pPr>
        <w:spacing w:after="0" w:line="203" w:lineRule="exact"/>
        <w:rPr>
          <w:sz w:val="20"/>
          <w:szCs w:val="20"/>
          <w:color w:val="auto"/>
        </w:rPr>
      </w:pPr>
    </w:p>
    <w:p>
      <w:pPr>
        <w:jc w:val="both"/>
        <w:ind w:left="200" w:right="120"/>
        <w:spacing w:after="0"/>
        <w:rPr>
          <w:sz w:val="20"/>
          <w:szCs w:val="20"/>
          <w:color w:val="auto"/>
        </w:rPr>
      </w:pPr>
      <w:r>
        <w:rPr>
          <w:rFonts w:ascii="Arial" w:cs="Arial" w:eastAsia="Arial" w:hAnsi="Arial"/>
          <w:sz w:val="18"/>
          <w:szCs w:val="18"/>
          <w:color w:val="auto"/>
        </w:rPr>
        <w:t>The lead director is elected by the independent directors annually. The independent directors have elected Mr. Sanders to serve as lead director until April 26, 2018, on which date Mr. Blinn will become lead director subject to his re-election by stockholders. The duties of the lead director are to:</w:t>
      </w:r>
    </w:p>
    <w:p>
      <w:pPr>
        <w:spacing w:after="0" w:line="230" w:lineRule="exact"/>
        <w:rPr>
          <w:sz w:val="20"/>
          <w:szCs w:val="20"/>
          <w:color w:val="auto"/>
        </w:rPr>
      </w:pPr>
    </w:p>
    <w:p>
      <w:pPr>
        <w:ind w:left="960" w:right="540" w:hanging="540"/>
        <w:spacing w:after="0" w:line="23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ind w:left="960" w:hanging="540"/>
        <w:spacing w:after="0" w:line="23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Approve information sent to the board;</w:t>
      </w:r>
    </w:p>
    <w:p>
      <w:pPr>
        <w:ind w:left="960" w:hanging="540"/>
        <w:spacing w:after="0" w:line="23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ind w:left="960" w:hanging="540"/>
        <w:spacing w:after="0" w:line="23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and</w:t>
      </w:r>
    </w:p>
    <w:p>
      <w:pPr>
        <w:ind w:left="960" w:hanging="54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the lead director has authority to call meetings of the independent directors.</w:t>
      </w:r>
    </w:p>
    <w:p>
      <w:pPr>
        <w:spacing w:after="0" w:line="212"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board, led by its GSR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corporation and its stockholders.</w:t>
      </w:r>
    </w:p>
    <w:p>
      <w:pPr>
        <w:spacing w:after="0" w:line="205"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now utilizing a lead director.</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Risk oversight by the board</w:t>
      </w:r>
    </w:p>
    <w:p>
      <w:pPr>
        <w:spacing w:after="0" w:line="205" w:lineRule="exact"/>
        <w:rPr>
          <w:sz w:val="20"/>
          <w:szCs w:val="20"/>
          <w:color w:val="auto"/>
        </w:rPr>
      </w:pPr>
    </w:p>
    <w:p>
      <w:pPr>
        <w:jc w:val="both"/>
        <w:ind w:left="200" w:right="60"/>
        <w:spacing w:after="0"/>
        <w:rPr>
          <w:sz w:val="20"/>
          <w:szCs w:val="20"/>
          <w:color w:val="auto"/>
        </w:rPr>
      </w:pPr>
      <w:r>
        <w:rPr>
          <w:rFonts w:ascii="Arial" w:cs="Arial" w:eastAsia="Arial" w:hAnsi="Arial"/>
          <w:sz w:val="18"/>
          <w:szCs w:val="18"/>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20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and R&amp;D). Throughout the year the CEO discusses these risks with the board during strategy reviews that focus on a particular business or function. In addition, at the end of the year, the CEO provides a formal report on the top strategic and operational risks.</w:t>
      </w:r>
    </w:p>
    <w:p>
      <w:pPr>
        <w:spacing w:after="0" w:line="20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GSR Committee oversees compliance with governance-related laws and policies, including the company’s corporate governance guidelines.</w:t>
      </w:r>
    </w:p>
    <w:p>
      <w:pPr>
        <w:spacing w:after="0" w:line="205"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The Audit Committee oversees the company’s approach to risk management as a whole. It reviews the company’s risk management process at least annually by means of a presentation by the CFO.</w:t>
      </w:r>
    </w:p>
    <w:p>
      <w:pPr>
        <w:spacing w:after="0" w:line="124"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38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compensation</w:t>
      </w:r>
    </w:p>
    <w:p>
      <w:pPr>
        <w:spacing w:after="0" w:line="238"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The GSR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arrangements in 2017 for the non-employee directors were:</w:t>
      </w:r>
    </w:p>
    <w:p>
      <w:pPr>
        <w:spacing w:after="0" w:line="234" w:lineRule="exact"/>
        <w:rPr>
          <w:sz w:val="20"/>
          <w:szCs w:val="20"/>
          <w:color w:val="auto"/>
        </w:rPr>
      </w:pPr>
    </w:p>
    <w:p>
      <w:pPr>
        <w:ind w:left="960" w:hanging="54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retainer of $85,000 for board and committee service.</w:t>
      </w:r>
    </w:p>
    <w:p>
      <w:pPr>
        <w:ind w:left="960" w:hanging="540"/>
        <w:spacing w:after="0" w:line="23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annual retainer of $25,000 for service as the lead director.</w:t>
      </w:r>
    </w:p>
    <w:p>
      <w:pPr>
        <w:ind w:left="960" w:right="1060" w:hanging="540"/>
        <w:spacing w:after="0" w:line="23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annual retainer of $30,000 for service as chair of the Audit Committee; $20,000 for service as chair of the Compensation Committee; and $15,000 for service as chair of the GSR Committee.</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grant of a 10-year option to purchase TI common stock pursuant to the terms of the Texas Instruments 2009 Director Compensation Plan (Director Plan), which was approved by stockholders in April 2009. The grant date value is $100,000,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7" w:lineRule="exact"/>
        <w:rPr>
          <w:rFonts w:ascii="Arial" w:cs="Arial" w:eastAsia="Arial" w:hAnsi="Arial"/>
          <w:sz w:val="18"/>
          <w:szCs w:val="18"/>
          <w:color w:val="auto"/>
        </w:rPr>
      </w:pPr>
    </w:p>
    <w:p>
      <w:pPr>
        <w:ind w:left="960" w:right="20" w:hanging="540"/>
        <w:spacing w:after="0" w:line="23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6"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$1,000 per day compensation for other activities designated by the chairman.</w:t>
      </w:r>
    </w:p>
    <w:p>
      <w:pPr>
        <w:ind w:left="960" w:hanging="54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one-time grant of 2,000 restricted stock units upon a director’s initial election to the board.</w:t>
      </w:r>
    </w:p>
    <w:p>
      <w:pPr>
        <w:spacing w:after="0" w:line="212"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The board has determined that annual grants of equity compensation to non-employee directors will be timed to occur when grants are made to our U.S. employees in connection with the annual compensation review process. Accordingly, such equity grants to non-employee directors are made in January. See “Process for equity grants” for a discussion regarding the timing of equity compensation grants.</w:t>
      </w:r>
    </w:p>
    <w:p>
      <w:pPr>
        <w:spacing w:after="0" w:line="202" w:lineRule="exact"/>
        <w:rPr>
          <w:sz w:val="20"/>
          <w:szCs w:val="20"/>
          <w:color w:val="auto"/>
        </w:rPr>
      </w:pPr>
    </w:p>
    <w:p>
      <w:pPr>
        <w:ind w:left="200" w:right="340"/>
        <w:spacing w:after="0"/>
        <w:rPr>
          <w:sz w:val="20"/>
          <w:szCs w:val="20"/>
          <w:color w:val="auto"/>
        </w:rPr>
      </w:pPr>
      <w:r>
        <w:rPr>
          <w:rFonts w:ascii="Arial" w:cs="Arial" w:eastAsia="Arial" w:hAnsi="Arial"/>
          <w:sz w:val="18"/>
          <w:szCs w:val="18"/>
          <w:color w:val="auto"/>
        </w:rPr>
        <w:t>Directors are not paid a fee for meeting attendance, but we reimburse non-employee directors for their travel, lodging and related expenses incurred in connection with attending board, committee and stockholders meetings and other designated events. In addition, non-employee directors may travel on company aircraft to and from these meetings and other designated events.</w:t>
      </w:r>
    </w:p>
    <w:p>
      <w:pPr>
        <w:spacing w:after="0" w:line="20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Under the Director Plan, some directors have chosen to defer all or part of their cash compensation until they leave the board (or certain other specified times). These deferred amounts were credited to either a cash account or stock unit account. Cash accounts earn interest from TI at a rate currently based on Moody’s Seasoned Aaa Corporate Bonds. For 2017, that rate was 3.44 percent.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15</w:t>
            </w:r>
          </w:p>
        </w:tc>
      </w:tr>
    </w:tbl>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rPr>
          <w:sz w:val="20"/>
          <w:szCs w:val="20"/>
          <w:color w:val="auto"/>
        </w:rPr>
      </w:pPr>
      <w:r>
        <w:rPr>
          <w:rFonts w:ascii="Arial" w:cs="Arial" w:eastAsia="Arial" w:hAnsi="Arial"/>
          <w:sz w:val="18"/>
          <w:szCs w:val="18"/>
          <w:color w:val="auto"/>
        </w:rPr>
        <w:t>We have arrangements with certain customers whereby our employees may purchase consumer products containing TI components at discounted pricing. In addition, the TI Foundation has an educational and cultural matching gift program. In both cases, directors are entitled to participate on the same terms and conditions available to employees.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2017 director compensation</w:t>
      </w:r>
    </w:p>
    <w:p>
      <w:pPr>
        <w:spacing w:after="0" w:line="205"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The following table shows the compensation of all persons who were non-employee members of the board during 2017 for services in all capacities to TI in 2017.</w:t>
      </w:r>
    </w:p>
    <w:p>
      <w:pPr>
        <w:spacing w:after="0" w:line="9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Change in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center"/>
              <w:ind w:right="214"/>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w w:val="99"/>
              </w:rPr>
              <w:t>Value and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40" w:type="dxa"/>
            <w:vAlign w:val="bottom"/>
            <w:gridSpan w:val="2"/>
          </w:tcPr>
          <w:p>
            <w:pPr>
              <w:ind w:left="700"/>
              <w:spacing w:after="0"/>
              <w:rPr>
                <w:sz w:val="20"/>
                <w:szCs w:val="20"/>
                <w:color w:val="auto"/>
              </w:rPr>
            </w:pPr>
            <w:r>
              <w:rPr>
                <w:rFonts w:ascii="Arial" w:cs="Arial" w:eastAsia="Arial" w:hAnsi="Arial"/>
                <w:sz w:val="14"/>
                <w:szCs w:val="14"/>
                <w:b w:val="1"/>
                <w:bCs w:val="1"/>
                <w:color w:val="auto"/>
              </w:rPr>
              <w:t>Fees Earned</w:t>
            </w:r>
          </w:p>
        </w:tc>
        <w:tc>
          <w:tcPr>
            <w:tcW w:w="300" w:type="dxa"/>
            <w:vAlign w:val="bottom"/>
          </w:tcPr>
          <w:p>
            <w:pPr>
              <w:spacing w:after="0"/>
              <w:rPr>
                <w:sz w:val="14"/>
                <w:szCs w:val="14"/>
                <w:color w:val="auto"/>
              </w:rPr>
            </w:pPr>
          </w:p>
        </w:tc>
        <w:tc>
          <w:tcPr>
            <w:tcW w:w="860" w:type="dxa"/>
            <w:vAlign w:val="bottom"/>
          </w:tcPr>
          <w:p>
            <w:pPr>
              <w:jc w:val="center"/>
              <w:ind w:right="214"/>
              <w:spacing w:after="0"/>
              <w:rPr>
                <w:sz w:val="20"/>
                <w:szCs w:val="20"/>
                <w:color w:val="auto"/>
              </w:rPr>
            </w:pPr>
            <w:r>
              <w:rPr>
                <w:rFonts w:ascii="Arial" w:cs="Arial" w:eastAsia="Arial" w:hAnsi="Arial"/>
                <w:sz w:val="14"/>
                <w:szCs w:val="14"/>
                <w:b w:val="1"/>
                <w:bCs w:val="1"/>
                <w:color w:val="auto"/>
              </w:rPr>
              <w:t>Stock</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32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Deferred</w:t>
            </w:r>
          </w:p>
        </w:tc>
        <w:tc>
          <w:tcPr>
            <w:tcW w:w="34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All Other</w:t>
            </w:r>
          </w:p>
        </w:tc>
        <w:tc>
          <w:tcPr>
            <w:tcW w:w="1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or Paid in</w:t>
            </w:r>
          </w:p>
        </w:tc>
        <w:tc>
          <w:tcPr>
            <w:tcW w:w="300" w:type="dxa"/>
            <w:vAlign w:val="bottom"/>
          </w:tcPr>
          <w:p>
            <w:pPr>
              <w:spacing w:after="0"/>
              <w:rPr>
                <w:sz w:val="14"/>
                <w:szCs w:val="14"/>
                <w:color w:val="auto"/>
              </w:rPr>
            </w:pPr>
          </w:p>
        </w:tc>
        <w:tc>
          <w:tcPr>
            <w:tcW w:w="860" w:type="dxa"/>
            <w:vAlign w:val="bottom"/>
          </w:tcPr>
          <w:p>
            <w:pPr>
              <w:jc w:val="center"/>
              <w:ind w:right="214"/>
              <w:spacing w:after="0"/>
              <w:rPr>
                <w:sz w:val="20"/>
                <w:szCs w:val="20"/>
                <w:color w:val="auto"/>
              </w:rPr>
            </w:pPr>
            <w:r>
              <w:rPr>
                <w:rFonts w:ascii="Arial" w:cs="Arial" w:eastAsia="Arial" w:hAnsi="Arial"/>
                <w:sz w:val="14"/>
                <w:szCs w:val="14"/>
                <w:b w:val="1"/>
                <w:bCs w:val="1"/>
                <w:color w:val="auto"/>
              </w:rPr>
              <w:t>Awards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360" w:type="dxa"/>
            <w:vAlign w:val="bottom"/>
          </w:tcPr>
          <w:p>
            <w:pPr>
              <w:jc w:val="right"/>
              <w:ind w:right="94"/>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tcPr>
          <w:p>
            <w:pPr>
              <w:spacing w:after="0"/>
              <w:rPr>
                <w:sz w:val="14"/>
                <w:szCs w:val="14"/>
                <w:color w:val="auto"/>
              </w:rPr>
            </w:pPr>
          </w:p>
        </w:tc>
      </w:tr>
      <w:tr>
        <w:trPr>
          <w:trHeight w:val="189"/>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Name (1)</w:t>
            </w:r>
          </w:p>
        </w:tc>
        <w:tc>
          <w:tcPr>
            <w:tcW w:w="1740" w:type="dxa"/>
            <w:vAlign w:val="bottom"/>
            <w:gridSpan w:val="2"/>
          </w:tcPr>
          <w:p>
            <w:pPr>
              <w:ind w:left="740"/>
              <w:spacing w:after="0"/>
              <w:rPr>
                <w:sz w:val="20"/>
                <w:szCs w:val="20"/>
                <w:color w:val="auto"/>
              </w:rPr>
            </w:pPr>
            <w:r>
              <w:rPr>
                <w:rFonts w:ascii="Arial" w:cs="Arial" w:eastAsia="Arial" w:hAnsi="Arial"/>
                <w:sz w:val="14"/>
                <w:szCs w:val="14"/>
                <w:b w:val="1"/>
                <w:bCs w:val="1"/>
                <w:color w:val="auto"/>
              </w:rPr>
              <w:t>Cash ($) (2)</w:t>
            </w:r>
          </w:p>
        </w:tc>
        <w:tc>
          <w:tcPr>
            <w:tcW w:w="300" w:type="dxa"/>
            <w:vAlign w:val="bottom"/>
          </w:tcPr>
          <w:p>
            <w:pPr>
              <w:spacing w:after="0"/>
              <w:rPr>
                <w:sz w:val="16"/>
                <w:szCs w:val="16"/>
                <w:color w:val="auto"/>
              </w:rPr>
            </w:pPr>
          </w:p>
        </w:tc>
        <w:tc>
          <w:tcPr>
            <w:tcW w:w="860" w:type="dxa"/>
            <w:vAlign w:val="bottom"/>
          </w:tcPr>
          <w:p>
            <w:pPr>
              <w:jc w:val="center"/>
              <w:ind w:right="214"/>
              <w:spacing w:after="0"/>
              <w:rPr>
                <w:sz w:val="20"/>
                <w:szCs w:val="20"/>
                <w:color w:val="auto"/>
              </w:rPr>
            </w:pPr>
            <w:r>
              <w:rPr>
                <w:rFonts w:ascii="Arial" w:cs="Arial" w:eastAsia="Arial" w:hAnsi="Arial"/>
                <w:sz w:val="14"/>
                <w:szCs w:val="14"/>
                <w:b w:val="1"/>
                <w:bCs w:val="1"/>
                <w:color w:val="auto"/>
              </w:rPr>
              <w:t>($) (3)</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 (4)</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Earnings (5)</w:t>
            </w:r>
          </w:p>
        </w:tc>
        <w:tc>
          <w:tcPr>
            <w:tcW w:w="340" w:type="dxa"/>
            <w:vAlign w:val="bottom"/>
          </w:tcPr>
          <w:p>
            <w:pPr>
              <w:spacing w:after="0"/>
              <w:rPr>
                <w:sz w:val="16"/>
                <w:szCs w:val="16"/>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rPr>
              <w:t>($) (6)</w:t>
            </w:r>
          </w:p>
        </w:tc>
        <w:tc>
          <w:tcPr>
            <w:tcW w:w="1100" w:type="dxa"/>
            <w:vAlign w:val="bottom"/>
          </w:tcPr>
          <w:p>
            <w:pPr>
              <w:jc w:val="center"/>
              <w:ind w:left="31"/>
              <w:spacing w:after="0"/>
              <w:rPr>
                <w:sz w:val="20"/>
                <w:szCs w:val="20"/>
                <w:color w:val="auto"/>
              </w:rPr>
            </w:pPr>
            <w:r>
              <w:rPr>
                <w:rFonts w:ascii="Arial" w:cs="Arial" w:eastAsia="Arial" w:hAnsi="Arial"/>
                <w:sz w:val="14"/>
                <w:szCs w:val="14"/>
                <w:b w:val="1"/>
                <w:bCs w:val="1"/>
                <w:color w:val="auto"/>
                <w:w w:val="99"/>
              </w:rPr>
              <w:t>Total ($)</w:t>
            </w:r>
          </w:p>
        </w:tc>
      </w:tr>
      <w:tr>
        <w:trPr>
          <w:trHeight w:val="196"/>
        </w:trPr>
        <w:tc>
          <w:tcPr>
            <w:tcW w:w="20" w:type="dxa"/>
            <w:vAlign w:val="bottom"/>
          </w:tcPr>
          <w:p>
            <w:pPr>
              <w:spacing w:after="0"/>
              <w:rPr>
                <w:sz w:val="17"/>
                <w:szCs w:val="17"/>
                <w:color w:val="auto"/>
              </w:rPr>
            </w:pPr>
          </w:p>
        </w:tc>
        <w:tc>
          <w:tcPr>
            <w:tcW w:w="1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800" w:type="dxa"/>
            <w:vAlign w:val="bottom"/>
            <w:tcBorders>
              <w:top w:val="single" w:sz="8" w:color="auto"/>
            </w:tcBorders>
            <w:shd w:val="clear" w:color="auto" w:fill="CCEEFF"/>
          </w:tcPr>
          <w:p>
            <w:pPr>
              <w:ind w:left="70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95,000</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99,947</w:t>
            </w:r>
          </w:p>
        </w:tc>
        <w:tc>
          <w:tcPr>
            <w:tcW w:w="1020" w:type="dxa"/>
            <w:vAlign w:val="bottom"/>
            <w:tcBorders>
              <w:top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$99,988</w:t>
            </w:r>
          </w:p>
        </w:tc>
        <w:tc>
          <w:tcPr>
            <w:tcW w:w="1360" w:type="dxa"/>
            <w:vAlign w:val="bottom"/>
            <w:tcBorders>
              <w:top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40</w:t>
            </w:r>
          </w:p>
        </w:tc>
        <w:tc>
          <w:tcPr>
            <w:tcW w:w="11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$ 294,975</w:t>
            </w:r>
          </w:p>
        </w:tc>
      </w:tr>
      <w:tr>
        <w:trPr>
          <w:trHeight w:val="203"/>
        </w:trPr>
        <w:tc>
          <w:tcPr>
            <w:tcW w:w="20" w:type="dxa"/>
            <w:vAlign w:val="bottom"/>
          </w:tcPr>
          <w:p>
            <w:pPr>
              <w:spacing w:after="0"/>
              <w:rPr>
                <w:sz w:val="17"/>
                <w:szCs w:val="17"/>
                <w:color w:val="auto"/>
              </w:rPr>
            </w:pPr>
          </w:p>
        </w:tc>
        <w:tc>
          <w:tcPr>
            <w:tcW w:w="188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800" w:type="dxa"/>
            <w:vAlign w:val="bottom"/>
          </w:tcPr>
          <w:p>
            <w:pPr>
              <w:ind w:left="7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105,000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99,947</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$99,988</w:t>
            </w:r>
          </w:p>
        </w:tc>
        <w:tc>
          <w:tcPr>
            <w:tcW w:w="13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rPr>
              <w:t>$ 304,975</w:t>
            </w:r>
          </w:p>
        </w:tc>
      </w:tr>
      <w:tr>
        <w:trPr>
          <w:trHeight w:val="203"/>
        </w:trPr>
        <w:tc>
          <w:tcPr>
            <w:tcW w:w="20" w:type="dxa"/>
            <w:vAlign w:val="bottom"/>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 M. Bluedorn</w:t>
            </w:r>
          </w:p>
        </w:tc>
        <w:tc>
          <w:tcPr>
            <w:tcW w:w="8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70,833</w:t>
            </w:r>
          </w:p>
        </w:tc>
        <w:tc>
          <w:tcPr>
            <w:tcW w:w="1160" w:type="dxa"/>
            <w:vAlign w:val="bottom"/>
            <w:gridSpan w:val="2"/>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$ 156,300</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40</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$ 227,173</w:t>
            </w:r>
          </w:p>
        </w:tc>
      </w:tr>
      <w:tr>
        <w:trPr>
          <w:trHeight w:val="203"/>
        </w:trPr>
        <w:tc>
          <w:tcPr>
            <w:tcW w:w="20" w:type="dxa"/>
            <w:vAlign w:val="bottom"/>
          </w:tcPr>
          <w:p>
            <w:pPr>
              <w:spacing w:after="0"/>
              <w:rPr>
                <w:sz w:val="17"/>
                <w:szCs w:val="17"/>
                <w:color w:val="auto"/>
              </w:rPr>
            </w:pPr>
          </w:p>
        </w:tc>
        <w:tc>
          <w:tcPr>
            <w:tcW w:w="1880" w:type="dxa"/>
            <w:vAlign w:val="bottom"/>
          </w:tcPr>
          <w:p>
            <w:pPr>
              <w:spacing w:after="0" w:line="202" w:lineRule="exact"/>
              <w:rPr>
                <w:sz w:val="20"/>
                <w:szCs w:val="20"/>
                <w:color w:val="auto"/>
              </w:rPr>
            </w:pPr>
            <w:r>
              <w:rPr>
                <w:rFonts w:ascii="Arial" w:cs="Arial" w:eastAsia="Arial" w:hAnsi="Arial"/>
                <w:sz w:val="18"/>
                <w:szCs w:val="18"/>
                <w:color w:val="auto"/>
              </w:rPr>
              <w:t>D. A. Carp</w:t>
            </w:r>
          </w:p>
        </w:tc>
        <w:tc>
          <w:tcPr>
            <w:tcW w:w="800" w:type="dxa"/>
            <w:vAlign w:val="bottom"/>
          </w:tcPr>
          <w:p>
            <w:pPr>
              <w:ind w:left="7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85,000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99,947</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$99,988</w:t>
            </w:r>
          </w:p>
        </w:tc>
        <w:tc>
          <w:tcPr>
            <w:tcW w:w="13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893</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rPr>
              <w:t>$ 285,828</w:t>
            </w:r>
          </w:p>
        </w:tc>
      </w:tr>
      <w:tr>
        <w:trPr>
          <w:trHeight w:val="203"/>
        </w:trPr>
        <w:tc>
          <w:tcPr>
            <w:tcW w:w="20" w:type="dxa"/>
            <w:vAlign w:val="bottom"/>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 F. Clark</w:t>
            </w:r>
          </w:p>
        </w:tc>
        <w:tc>
          <w:tcPr>
            <w:tcW w:w="8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85,000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99,947</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$99,988</w:t>
            </w:r>
          </w:p>
        </w:tc>
        <w:tc>
          <w:tcPr>
            <w:tcW w:w="13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20,040</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$ 304,975</w:t>
            </w:r>
          </w:p>
        </w:tc>
      </w:tr>
      <w:tr>
        <w:trPr>
          <w:trHeight w:val="203"/>
        </w:trPr>
        <w:tc>
          <w:tcPr>
            <w:tcW w:w="20" w:type="dxa"/>
            <w:vAlign w:val="bottom"/>
          </w:tcPr>
          <w:p>
            <w:pPr>
              <w:spacing w:after="0"/>
              <w:rPr>
                <w:sz w:val="17"/>
                <w:szCs w:val="17"/>
                <w:color w:val="auto"/>
              </w:rPr>
            </w:pPr>
          </w:p>
        </w:tc>
        <w:tc>
          <w:tcPr>
            <w:tcW w:w="188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800" w:type="dxa"/>
            <w:vAlign w:val="bottom"/>
          </w:tcPr>
          <w:p>
            <w:pPr>
              <w:ind w:left="7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85,000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99,947</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$99,988</w:t>
            </w:r>
          </w:p>
        </w:tc>
        <w:tc>
          <w:tcPr>
            <w:tcW w:w="13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5,520</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rPr>
              <w:t>$ 290,495</w:t>
            </w:r>
          </w:p>
        </w:tc>
      </w:tr>
      <w:tr>
        <w:trPr>
          <w:trHeight w:val="203"/>
        </w:trPr>
        <w:tc>
          <w:tcPr>
            <w:tcW w:w="20" w:type="dxa"/>
            <w:vAlign w:val="bottom"/>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 M. Hobby</w:t>
            </w:r>
          </w:p>
        </w:tc>
        <w:tc>
          <w:tcPr>
            <w:tcW w:w="8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85,000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99,947</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$99,988</w:t>
            </w:r>
          </w:p>
        </w:tc>
        <w:tc>
          <w:tcPr>
            <w:tcW w:w="13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40</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$ 284,975</w:t>
            </w:r>
          </w:p>
        </w:tc>
      </w:tr>
      <w:tr>
        <w:trPr>
          <w:trHeight w:val="203"/>
        </w:trPr>
        <w:tc>
          <w:tcPr>
            <w:tcW w:w="20" w:type="dxa"/>
            <w:vAlign w:val="bottom"/>
          </w:tcPr>
          <w:p>
            <w:pPr>
              <w:spacing w:after="0"/>
              <w:rPr>
                <w:sz w:val="17"/>
                <w:szCs w:val="17"/>
                <w:color w:val="auto"/>
              </w:rPr>
            </w:pPr>
          </w:p>
        </w:tc>
        <w:tc>
          <w:tcPr>
            <w:tcW w:w="1880" w:type="dxa"/>
            <w:vAlign w:val="bottom"/>
          </w:tcPr>
          <w:p>
            <w:pPr>
              <w:spacing w:after="0" w:line="202" w:lineRule="exact"/>
              <w:rPr>
                <w:sz w:val="20"/>
                <w:szCs w:val="20"/>
                <w:color w:val="auto"/>
              </w:rPr>
            </w:pPr>
            <w:r>
              <w:rPr>
                <w:rFonts w:ascii="Arial" w:cs="Arial" w:eastAsia="Arial" w:hAnsi="Arial"/>
                <w:sz w:val="18"/>
                <w:szCs w:val="18"/>
                <w:color w:val="auto"/>
              </w:rPr>
              <w:t>R. Kirk</w:t>
            </w:r>
          </w:p>
        </w:tc>
        <w:tc>
          <w:tcPr>
            <w:tcW w:w="800" w:type="dxa"/>
            <w:vAlign w:val="bottom"/>
          </w:tcPr>
          <w:p>
            <w:pPr>
              <w:ind w:left="7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85,000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99,947</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$99,988</w:t>
            </w:r>
          </w:p>
        </w:tc>
        <w:tc>
          <w:tcPr>
            <w:tcW w:w="13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rPr>
              <w:t>$ 284,975</w:t>
            </w:r>
          </w:p>
        </w:tc>
      </w:tr>
      <w:tr>
        <w:trPr>
          <w:trHeight w:val="203"/>
        </w:trPr>
        <w:tc>
          <w:tcPr>
            <w:tcW w:w="20" w:type="dxa"/>
            <w:vAlign w:val="bottom"/>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 H. Patsley</w:t>
            </w:r>
          </w:p>
        </w:tc>
        <w:tc>
          <w:tcPr>
            <w:tcW w:w="8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85,000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99,947</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$99,988</w:t>
            </w:r>
          </w:p>
        </w:tc>
        <w:tc>
          <w:tcPr>
            <w:tcW w:w="13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40</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$ 284,975</w:t>
            </w:r>
          </w:p>
        </w:tc>
      </w:tr>
      <w:tr>
        <w:trPr>
          <w:trHeight w:val="203"/>
        </w:trPr>
        <w:tc>
          <w:tcPr>
            <w:tcW w:w="20" w:type="dxa"/>
            <w:vAlign w:val="bottom"/>
          </w:tcPr>
          <w:p>
            <w:pPr>
              <w:spacing w:after="0"/>
              <w:rPr>
                <w:sz w:val="17"/>
                <w:szCs w:val="17"/>
                <w:color w:val="auto"/>
              </w:rPr>
            </w:pPr>
          </w:p>
        </w:tc>
        <w:tc>
          <w:tcPr>
            <w:tcW w:w="1880" w:type="dxa"/>
            <w:vAlign w:val="bottom"/>
          </w:tcPr>
          <w:p>
            <w:pPr>
              <w:spacing w:after="0" w:line="202" w:lineRule="exact"/>
              <w:rPr>
                <w:sz w:val="20"/>
                <w:szCs w:val="20"/>
                <w:color w:val="auto"/>
              </w:rPr>
            </w:pPr>
            <w:r>
              <w:rPr>
                <w:rFonts w:ascii="Arial" w:cs="Arial" w:eastAsia="Arial" w:hAnsi="Arial"/>
                <w:sz w:val="18"/>
                <w:szCs w:val="18"/>
                <w:color w:val="auto"/>
              </w:rPr>
              <w:t>R. E. Sanchez</w:t>
            </w:r>
          </w:p>
        </w:tc>
        <w:tc>
          <w:tcPr>
            <w:tcW w:w="800" w:type="dxa"/>
            <w:vAlign w:val="bottom"/>
          </w:tcPr>
          <w:p>
            <w:pPr>
              <w:ind w:left="7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113,333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99,947</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$99,988</w:t>
            </w:r>
          </w:p>
        </w:tc>
        <w:tc>
          <w:tcPr>
            <w:tcW w:w="13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10,040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rPr>
              <w:t>$ 323,308</w:t>
            </w:r>
          </w:p>
        </w:tc>
      </w:tr>
      <w:tr>
        <w:trPr>
          <w:trHeight w:val="203"/>
        </w:trPr>
        <w:tc>
          <w:tcPr>
            <w:tcW w:w="20" w:type="dxa"/>
            <w:vAlign w:val="bottom"/>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 R. Sanders</w:t>
            </w:r>
          </w:p>
        </w:tc>
        <w:tc>
          <w:tcPr>
            <w:tcW w:w="8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116,667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99,947</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$99,988</w:t>
            </w:r>
          </w:p>
        </w:tc>
        <w:tc>
          <w:tcPr>
            <w:tcW w:w="13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893</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$ 317,495</w:t>
            </w:r>
          </w:p>
        </w:tc>
      </w:tr>
      <w:tr>
        <w:trPr>
          <w:trHeight w:val="217"/>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C. T. Whitman</w:t>
            </w:r>
          </w:p>
        </w:tc>
        <w:tc>
          <w:tcPr>
            <w:tcW w:w="800" w:type="dxa"/>
            <w:vAlign w:val="bottom"/>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28,335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99,947</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$99,988</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40</w:t>
            </w:r>
          </w:p>
        </w:tc>
        <w:tc>
          <w:tcPr>
            <w:tcW w:w="1100" w:type="dxa"/>
            <w:vAlign w:val="bottom"/>
          </w:tcPr>
          <w:p>
            <w:pPr>
              <w:jc w:val="center"/>
              <w:spacing w:after="0"/>
              <w:rPr>
                <w:sz w:val="20"/>
                <w:szCs w:val="20"/>
                <w:color w:val="auto"/>
              </w:rPr>
            </w:pPr>
            <w:r>
              <w:rPr>
                <w:rFonts w:ascii="Arial" w:cs="Arial" w:eastAsia="Arial" w:hAnsi="Arial"/>
                <w:sz w:val="18"/>
                <w:szCs w:val="18"/>
                <w:color w:val="auto"/>
              </w:rPr>
              <w:t>$ 228,310</w:t>
            </w:r>
          </w:p>
        </w:tc>
      </w:tr>
    </w:tbl>
    <w:p>
      <w:pPr>
        <w:spacing w:after="0" w:line="106" w:lineRule="exact"/>
        <w:rPr>
          <w:sz w:val="20"/>
          <w:szCs w:val="20"/>
          <w:color w:val="auto"/>
        </w:rPr>
      </w:pPr>
    </w:p>
    <w:p>
      <w:pPr>
        <w:ind w:left="640" w:right="140" w:hanging="436"/>
        <w:spacing w:after="0" w:line="275"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Bluedorn was elected to the board effective March 1, 2017. Ms. Whitman, an independent director, reached the age of 70 by the date of the 2017 annual meeting and therefore was ineligible under the company’s by-laws to stand for re-election at the meeting.</w:t>
      </w:r>
    </w:p>
    <w:p>
      <w:pPr>
        <w:spacing w:after="0" w:line="78" w:lineRule="exact"/>
        <w:rPr>
          <w:rFonts w:ascii="Arial" w:cs="Arial" w:eastAsia="Arial" w:hAnsi="Arial"/>
          <w:sz w:val="17"/>
          <w:szCs w:val="17"/>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amounts deferred at the director’s election.</w:t>
      </w:r>
    </w:p>
    <w:p>
      <w:pPr>
        <w:spacing w:after="0" w:line="117" w:lineRule="exact"/>
        <w:rPr>
          <w:rFonts w:ascii="Arial" w:cs="Arial" w:eastAsia="Arial" w:hAnsi="Arial"/>
          <w:sz w:val="18"/>
          <w:szCs w:val="18"/>
          <w:color w:val="auto"/>
        </w:rPr>
      </w:pPr>
    </w:p>
    <w:p>
      <w:pPr>
        <w:ind w:left="640" w:right="20" w:hanging="436"/>
        <w:spacing w:after="0" w:line="23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units granted in 2017 calculated in accordance with Financial Accounting Standards Board Accounting Standards Codification™ Topic 718, Compensation-Stock Compensation (ASC 718). The discussion of the assumptions used for purposes of calculating the grant date fair value appears in Note 4 to the financial statements contained in Item 8 (“Note 4 to the financial statements”) in TI’s annual report on Form 10-K for the year ended December 31, 2017. 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see the discussion on pages 34-35. The table below shows the aggregate number of shares underlying outstanding restricted stock units held by the named individuals as of December 31, 2017. The value shown for</w:t>
      </w:r>
    </w:p>
    <w:p>
      <w:pPr>
        <w:spacing w:after="0" w:line="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Mr. Bluedorn represents the one-time restricted stock unit grant he received upon his initial election to the board.</w:t>
      </w:r>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140" w:type="dxa"/>
            <w:vAlign w:val="bottom"/>
          </w:tcPr>
          <w:p>
            <w:pPr>
              <w:jc w:val="center"/>
              <w:ind w:left="6175"/>
              <w:spacing w:after="0"/>
              <w:rPr>
                <w:sz w:val="20"/>
                <w:szCs w:val="20"/>
                <w:color w:val="auto"/>
              </w:rPr>
            </w:pPr>
            <w:r>
              <w:rPr>
                <w:rFonts w:ascii="Arial" w:cs="Arial" w:eastAsia="Arial" w:hAnsi="Arial"/>
                <w:sz w:val="14"/>
                <w:szCs w:val="14"/>
                <w:b w:val="1"/>
                <w:bCs w:val="1"/>
                <w:color w:val="auto"/>
              </w:rPr>
              <w:t>Restricted</w:t>
            </w:r>
          </w:p>
        </w:tc>
      </w:tr>
      <w:tr>
        <w:trPr>
          <w:trHeight w:val="162"/>
        </w:trPr>
        <w:tc>
          <w:tcPr>
            <w:tcW w:w="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140" w:type="dxa"/>
            <w:vAlign w:val="bottom"/>
          </w:tcPr>
          <w:p>
            <w:pPr>
              <w:jc w:val="center"/>
              <w:ind w:left="6175"/>
              <w:spacing w:after="0"/>
              <w:rPr>
                <w:sz w:val="20"/>
                <w:szCs w:val="20"/>
                <w:color w:val="auto"/>
              </w:rPr>
            </w:pPr>
            <w:r>
              <w:rPr>
                <w:rFonts w:ascii="Arial" w:cs="Arial" w:eastAsia="Arial" w:hAnsi="Arial"/>
                <w:sz w:val="14"/>
                <w:szCs w:val="14"/>
                <w:b w:val="1"/>
                <w:bCs w:val="1"/>
                <w:color w:val="auto"/>
              </w:rPr>
              <w:t>Stock Units</w:t>
            </w:r>
          </w:p>
        </w:tc>
      </w:tr>
      <w:tr>
        <w:trPr>
          <w:trHeight w:val="189"/>
        </w:trPr>
        <w:tc>
          <w:tcPr>
            <w:tcW w:w="2980" w:type="dxa"/>
            <w:vAlign w:val="bottom"/>
            <w:gridSpan w:val="2"/>
          </w:tcPr>
          <w:p>
            <w:pPr>
              <w:ind w:left="860"/>
              <w:spacing w:after="0"/>
              <w:rPr>
                <w:sz w:val="20"/>
                <w:szCs w:val="20"/>
                <w:color w:val="auto"/>
              </w:rPr>
            </w:pPr>
            <w:r>
              <w:rPr>
                <w:rFonts w:ascii="Arial" w:cs="Arial" w:eastAsia="Arial" w:hAnsi="Arial"/>
                <w:sz w:val="14"/>
                <w:szCs w:val="14"/>
                <w:b w:val="1"/>
                <w:bCs w:val="1"/>
                <w:color w:val="auto"/>
              </w:rPr>
              <w:t>Name</w:t>
            </w:r>
          </w:p>
        </w:tc>
        <w:tc>
          <w:tcPr>
            <w:tcW w:w="7140" w:type="dxa"/>
            <w:vAlign w:val="bottom"/>
          </w:tcPr>
          <w:p>
            <w:pPr>
              <w:jc w:val="center"/>
              <w:ind w:left="6175"/>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860" w:type="dxa"/>
            <w:vAlign w:val="bottom"/>
          </w:tcPr>
          <w:p>
            <w:pPr>
              <w:spacing w:after="0"/>
              <w:rPr>
                <w:sz w:val="17"/>
                <w:szCs w:val="17"/>
                <w:color w:val="auto"/>
              </w:rPr>
            </w:pPr>
          </w:p>
        </w:tc>
        <w:tc>
          <w:tcPr>
            <w:tcW w:w="2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7140" w:type="dxa"/>
            <w:vAlign w:val="bottom"/>
            <w:tcBorders>
              <w:top w:val="single" w:sz="8" w:color="auto"/>
            </w:tcBorders>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rPr>
              <w:t>18,296</w:t>
            </w:r>
          </w:p>
        </w:tc>
      </w:tr>
      <w:tr>
        <w:trPr>
          <w:trHeight w:val="203"/>
        </w:trPr>
        <w:tc>
          <w:tcPr>
            <w:tcW w:w="86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71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9,271</w:t>
            </w:r>
          </w:p>
        </w:tc>
      </w:tr>
      <w:tr>
        <w:trPr>
          <w:trHeight w:val="203"/>
        </w:trPr>
        <w:tc>
          <w:tcPr>
            <w:tcW w:w="860" w:type="dxa"/>
            <w:vAlign w:val="bottom"/>
          </w:tcPr>
          <w:p>
            <w:pPr>
              <w:spacing w:after="0"/>
              <w:rPr>
                <w:sz w:val="17"/>
                <w:szCs w:val="17"/>
                <w:color w:val="auto"/>
              </w:rPr>
            </w:pPr>
          </w:p>
        </w:tc>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 M. Bluedorn</w:t>
            </w:r>
          </w:p>
        </w:tc>
        <w:tc>
          <w:tcPr>
            <w:tcW w:w="714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2,000</w:t>
            </w:r>
          </w:p>
        </w:tc>
      </w:tr>
      <w:tr>
        <w:trPr>
          <w:trHeight w:val="203"/>
        </w:trPr>
        <w:tc>
          <w:tcPr>
            <w:tcW w:w="86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D. A. Carp</w:t>
            </w:r>
          </w:p>
        </w:tc>
        <w:tc>
          <w:tcPr>
            <w:tcW w:w="71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34,960</w:t>
            </w:r>
          </w:p>
        </w:tc>
      </w:tr>
      <w:tr>
        <w:trPr>
          <w:trHeight w:val="203"/>
        </w:trPr>
        <w:tc>
          <w:tcPr>
            <w:tcW w:w="860" w:type="dxa"/>
            <w:vAlign w:val="bottom"/>
          </w:tcPr>
          <w:p>
            <w:pPr>
              <w:spacing w:after="0"/>
              <w:rPr>
                <w:sz w:val="17"/>
                <w:szCs w:val="17"/>
                <w:color w:val="auto"/>
              </w:rPr>
            </w:pPr>
          </w:p>
        </w:tc>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 F. Clark</w:t>
            </w:r>
          </w:p>
        </w:tc>
        <w:tc>
          <w:tcPr>
            <w:tcW w:w="714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5,150</w:t>
            </w:r>
          </w:p>
        </w:tc>
      </w:tr>
      <w:tr>
        <w:trPr>
          <w:trHeight w:val="203"/>
        </w:trPr>
        <w:tc>
          <w:tcPr>
            <w:tcW w:w="86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71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28,296</w:t>
            </w:r>
          </w:p>
        </w:tc>
      </w:tr>
      <w:tr>
        <w:trPr>
          <w:trHeight w:val="203"/>
        </w:trPr>
        <w:tc>
          <w:tcPr>
            <w:tcW w:w="860" w:type="dxa"/>
            <w:vAlign w:val="bottom"/>
          </w:tcPr>
          <w:p>
            <w:pPr>
              <w:spacing w:after="0"/>
              <w:rPr>
                <w:sz w:val="17"/>
                <w:szCs w:val="17"/>
                <w:color w:val="auto"/>
              </w:rPr>
            </w:pPr>
          </w:p>
        </w:tc>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 M. Hobby</w:t>
            </w:r>
          </w:p>
        </w:tc>
        <w:tc>
          <w:tcPr>
            <w:tcW w:w="714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3,261</w:t>
            </w:r>
          </w:p>
        </w:tc>
      </w:tr>
      <w:tr>
        <w:trPr>
          <w:trHeight w:val="203"/>
        </w:trPr>
        <w:tc>
          <w:tcPr>
            <w:tcW w:w="86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R. Kirk</w:t>
            </w:r>
          </w:p>
        </w:tc>
        <w:tc>
          <w:tcPr>
            <w:tcW w:w="71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7,271</w:t>
            </w:r>
          </w:p>
        </w:tc>
      </w:tr>
      <w:tr>
        <w:trPr>
          <w:trHeight w:val="203"/>
        </w:trPr>
        <w:tc>
          <w:tcPr>
            <w:tcW w:w="860" w:type="dxa"/>
            <w:vAlign w:val="bottom"/>
          </w:tcPr>
          <w:p>
            <w:pPr>
              <w:spacing w:after="0"/>
              <w:rPr>
                <w:sz w:val="17"/>
                <w:szCs w:val="17"/>
                <w:color w:val="auto"/>
              </w:rPr>
            </w:pPr>
          </w:p>
        </w:tc>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 H. Patsley</w:t>
            </w:r>
          </w:p>
        </w:tc>
        <w:tc>
          <w:tcPr>
            <w:tcW w:w="714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9,271</w:t>
            </w:r>
          </w:p>
        </w:tc>
      </w:tr>
      <w:tr>
        <w:trPr>
          <w:trHeight w:val="203"/>
        </w:trPr>
        <w:tc>
          <w:tcPr>
            <w:tcW w:w="86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R. E. Sanchez</w:t>
            </w:r>
          </w:p>
        </w:tc>
        <w:tc>
          <w:tcPr>
            <w:tcW w:w="71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7,271</w:t>
            </w:r>
          </w:p>
        </w:tc>
      </w:tr>
      <w:tr>
        <w:trPr>
          <w:trHeight w:val="203"/>
        </w:trPr>
        <w:tc>
          <w:tcPr>
            <w:tcW w:w="860" w:type="dxa"/>
            <w:vAlign w:val="bottom"/>
          </w:tcPr>
          <w:p>
            <w:pPr>
              <w:spacing w:after="0"/>
              <w:rPr>
                <w:sz w:val="17"/>
                <w:szCs w:val="17"/>
                <w:color w:val="auto"/>
              </w:rPr>
            </w:pPr>
          </w:p>
        </w:tc>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 R. Sanders</w:t>
            </w:r>
          </w:p>
        </w:tc>
        <w:tc>
          <w:tcPr>
            <w:tcW w:w="714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16,871</w:t>
            </w:r>
          </w:p>
        </w:tc>
      </w:tr>
      <w:tr>
        <w:trPr>
          <w:trHeight w:val="217"/>
        </w:trPr>
        <w:tc>
          <w:tcPr>
            <w:tcW w:w="86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C. T. Whitman</w:t>
            </w:r>
          </w:p>
        </w:tc>
        <w:tc>
          <w:tcPr>
            <w:tcW w:w="7140" w:type="dxa"/>
            <w:vAlign w:val="bottom"/>
          </w:tcPr>
          <w:p>
            <w:pPr>
              <w:jc w:val="right"/>
              <w:ind w:right="55"/>
              <w:spacing w:after="0"/>
              <w:rPr>
                <w:sz w:val="20"/>
                <w:szCs w:val="20"/>
                <w:color w:val="auto"/>
              </w:rPr>
            </w:pPr>
            <w:r>
              <w:rPr>
                <w:rFonts w:ascii="Arial" w:cs="Arial" w:eastAsia="Arial" w:hAnsi="Arial"/>
                <w:sz w:val="18"/>
                <w:szCs w:val="18"/>
                <w:color w:val="auto"/>
              </w:rPr>
              <w:t>20,100</w:t>
            </w:r>
          </w:p>
        </w:tc>
      </w:tr>
      <w:tr>
        <w:trPr>
          <w:trHeight w:val="280"/>
        </w:trPr>
        <w:tc>
          <w:tcPr>
            <w:tcW w:w="860" w:type="dxa"/>
            <w:vAlign w:val="bottom"/>
          </w:tcPr>
          <w:p>
            <w:pPr>
              <w:jc w:val="right"/>
              <w:ind w:right="653"/>
              <w:spacing w:after="0"/>
              <w:rPr>
                <w:sz w:val="20"/>
                <w:szCs w:val="20"/>
                <w:color w:val="auto"/>
              </w:rPr>
            </w:pPr>
            <w:r>
              <w:rPr>
                <w:rFonts w:ascii="Arial" w:cs="Arial" w:eastAsia="Arial" w:hAnsi="Arial"/>
                <w:sz w:val="13"/>
                <w:szCs w:val="13"/>
                <w:color w:val="666666"/>
                <w:w w:val="82"/>
              </w:rPr>
              <w:t>16</w:t>
            </w:r>
          </w:p>
        </w:tc>
        <w:tc>
          <w:tcPr>
            <w:tcW w:w="2120" w:type="dxa"/>
            <w:vAlign w:val="bottom"/>
          </w:tcPr>
          <w:p>
            <w:pPr>
              <w:spacing w:after="0"/>
              <w:rPr>
                <w:sz w:val="24"/>
                <w:szCs w:val="24"/>
                <w:color w:val="auto"/>
              </w:rPr>
            </w:pPr>
          </w:p>
        </w:tc>
        <w:tc>
          <w:tcPr>
            <w:tcW w:w="7140" w:type="dxa"/>
            <w:vAlign w:val="bottom"/>
          </w:tcPr>
          <w:p>
            <w:pPr>
              <w:jc w:val="right"/>
              <w:ind w:right="2935"/>
              <w:spacing w:after="0"/>
              <w:rPr>
                <w:sz w:val="20"/>
                <w:szCs w:val="20"/>
                <w:color w:val="auto"/>
              </w:rPr>
            </w:pPr>
            <w:r>
              <w:rPr>
                <w:rFonts w:ascii="Arial" w:cs="Arial" w:eastAsia="Arial" w:hAnsi="Arial"/>
                <w:sz w:val="13"/>
                <w:szCs w:val="13"/>
                <w:color w:val="666666"/>
              </w:rPr>
              <w:t>TEXAS INSTRUMENTS  •  2018 PROXY STATEMENT</w:t>
            </w:r>
          </w:p>
        </w:tc>
      </w:tr>
    </w:tbl>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right="20" w:hanging="436"/>
        <w:spacing w:after="0" w:line="238"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granted in 2017 calculated in accordance with ASC 718. The discussion of the assumptions used for purposes of calculating the grant date fair value appears in Note 4 to the financial statements in TI’s annual report on Form 10-K for the year ended December 31, 2017. The terms of these options are as set forth on page 34 except that for options granted before 2010, the grant becomes fully exercisable upon a change in control of TI. The table below shows the aggregate number of shares underlying outstanding stock options held by the named individuals as of December 31, 2017.</w:t>
      </w:r>
    </w:p>
    <w:p>
      <w:pPr>
        <w:spacing w:after="0" w:line="217"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4420" w:type="dxa"/>
            <w:vAlign w:val="bottom"/>
          </w:tcPr>
          <w:p>
            <w:pPr>
              <w:jc w:val="right"/>
              <w:ind w:right="73"/>
              <w:spacing w:after="0"/>
              <w:rPr>
                <w:sz w:val="20"/>
                <w:szCs w:val="20"/>
                <w:color w:val="auto"/>
              </w:rPr>
            </w:pPr>
            <w:r>
              <w:rPr>
                <w:rFonts w:ascii="Arial" w:cs="Arial" w:eastAsia="Arial" w:hAnsi="Arial"/>
                <w:sz w:val="14"/>
                <w:szCs w:val="14"/>
                <w:b w:val="1"/>
                <w:bCs w:val="1"/>
                <w:color w:val="auto"/>
              </w:rPr>
              <w:t>Options</w:t>
            </w:r>
          </w:p>
        </w:tc>
      </w:tr>
      <w:tr>
        <w:trPr>
          <w:trHeight w:val="189"/>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442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53,642</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44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21,903</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 M. Bluedorn</w:t>
            </w:r>
          </w:p>
        </w:tc>
        <w:tc>
          <w:tcPr>
            <w:tcW w:w="44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D. A. Carp</w:t>
            </w:r>
          </w:p>
        </w:tc>
        <w:tc>
          <w:tcPr>
            <w:tcW w:w="44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53,642</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 F. Clark</w:t>
            </w:r>
          </w:p>
        </w:tc>
        <w:tc>
          <w:tcPr>
            <w:tcW w:w="442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16,055</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44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82,800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 M. Hobby</w:t>
            </w:r>
          </w:p>
        </w:tc>
        <w:tc>
          <w:tcPr>
            <w:tcW w:w="442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6,065</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R. Kirk</w:t>
            </w:r>
          </w:p>
        </w:tc>
        <w:tc>
          <w:tcPr>
            <w:tcW w:w="44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38,893</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 H. Patsley</w:t>
            </w:r>
          </w:p>
        </w:tc>
        <w:tc>
          <w:tcPr>
            <w:tcW w:w="442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89,800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R. E. Sanchez</w:t>
            </w:r>
          </w:p>
        </w:tc>
        <w:tc>
          <w:tcPr>
            <w:tcW w:w="44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38,893</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 R. Sanders</w:t>
            </w:r>
          </w:p>
        </w:tc>
        <w:tc>
          <w:tcPr>
            <w:tcW w:w="442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38,893</w:t>
            </w:r>
          </w:p>
        </w:tc>
      </w:tr>
      <w:tr>
        <w:trPr>
          <w:trHeight w:val="217"/>
        </w:trPr>
        <w:tc>
          <w:tcPr>
            <w:tcW w:w="4840" w:type="dxa"/>
            <w:vAlign w:val="bottom"/>
          </w:tcPr>
          <w:p>
            <w:pPr>
              <w:spacing w:after="0"/>
              <w:rPr>
                <w:sz w:val="20"/>
                <w:szCs w:val="20"/>
                <w:color w:val="auto"/>
              </w:rPr>
            </w:pPr>
            <w:r>
              <w:rPr>
                <w:rFonts w:ascii="Arial" w:cs="Arial" w:eastAsia="Arial" w:hAnsi="Arial"/>
                <w:sz w:val="18"/>
                <w:szCs w:val="18"/>
                <w:color w:val="auto"/>
              </w:rPr>
              <w:t>C. T. Whitman</w:t>
            </w:r>
          </w:p>
        </w:tc>
        <w:tc>
          <w:tcPr>
            <w:tcW w:w="4420" w:type="dxa"/>
            <w:vAlign w:val="bottom"/>
          </w:tcPr>
          <w:p>
            <w:pPr>
              <w:jc w:val="right"/>
              <w:ind w:right="73"/>
              <w:spacing w:after="0"/>
              <w:rPr>
                <w:sz w:val="20"/>
                <w:szCs w:val="20"/>
                <w:color w:val="auto"/>
              </w:rPr>
            </w:pPr>
            <w:r>
              <w:rPr>
                <w:rFonts w:ascii="Arial" w:cs="Arial" w:eastAsia="Arial" w:hAnsi="Arial"/>
                <w:sz w:val="18"/>
                <w:szCs w:val="18"/>
                <w:color w:val="auto"/>
              </w:rPr>
              <w:t>89,800</w:t>
            </w:r>
          </w:p>
        </w:tc>
      </w:tr>
    </w:tbl>
    <w:p>
      <w:pPr>
        <w:spacing w:after="0" w:line="106" w:lineRule="exact"/>
        <w:rPr>
          <w:sz w:val="20"/>
          <w:szCs w:val="20"/>
          <w:color w:val="auto"/>
        </w:rPr>
      </w:pPr>
    </w:p>
    <w:p>
      <w:pPr>
        <w:ind w:left="640" w:right="160" w:hanging="436"/>
        <w:spacing w:after="0" w:line="238"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rules require the disclosure of earnings on deferred compensation to the extent that the interest rate exceeds a specified rate (Federal Rate), which is 120 percent of the applicable federal long-term interest rate with compounding. Under the terms of the Director Plan, deferred compensation cash amounts earn interest at a rate based on Moody’s Seasoned Aaa Corporate Bonds. For 2017, this interest rate exceeded the Federal Rate by 1.18 percentage points. Shown is the amount of interest earned on the directors’ deferred compensation accounts that was in excess of the Federal Rate.</w:t>
      </w:r>
    </w:p>
    <w:p>
      <w:pPr>
        <w:spacing w:after="0" w:line="108" w:lineRule="exact"/>
        <w:rPr>
          <w:rFonts w:ascii="Arial" w:cs="Arial" w:eastAsia="Arial" w:hAnsi="Arial"/>
          <w:sz w:val="18"/>
          <w:szCs w:val="18"/>
          <w:color w:val="auto"/>
        </w:rPr>
      </w:pPr>
    </w:p>
    <w:p>
      <w:pPr>
        <w:ind w:left="640" w:right="20" w:hanging="436"/>
        <w:spacing w:after="0" w:line="23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(a) the annual cost ($40 per director) of premiums for travel and accident insurance policies, (b) contributions under the TI Foundation matching gift program of $20,000 for Ms. Clark and $10,000 for Mr. Sanchez and (c) for Messrs. Carp and Sanders, third-party administration fees for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directors who participate. The cost attributable to each of Messrs. Carp and Sanders for their participation in this program was $853.</w:t>
      </w:r>
    </w:p>
    <w:p>
      <w:pPr>
        <w:spacing w:after="0" w:line="3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compensation</w:t>
      </w:r>
    </w:p>
    <w:p>
      <w:pPr>
        <w:spacing w:after="0" w:line="238"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We are providing shareholders the opportunity to cast advisory votes on named executive officer compensation as required by Section 14A of the Securities Exchange Act.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Proposal regarding advisory approval of the company’s executive compensation</w:t>
      </w:r>
    </w:p>
    <w:p>
      <w:pPr>
        <w:spacing w:after="0" w:line="205"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The “named executive officers” are the chief executive officer, each person who served as the chief financial officer during 2017 and the three other most highly compensated executive officers, as named in the compensation tables on pages 30-42.</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ask shareholders to approve the following resolution: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18-42 of this proxy statement, is hereby approved.</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encourage shareholders to review the Compensation Discussion and Analysis section of the proxy statement, which follows.</w:t>
      </w:r>
    </w:p>
    <w:p>
      <w:pPr>
        <w:jc w:val="both"/>
        <w:ind w:left="200" w:right="20"/>
        <w:spacing w:after="0"/>
        <w:rPr>
          <w:sz w:val="20"/>
          <w:szCs w:val="20"/>
          <w:color w:val="auto"/>
        </w:rPr>
      </w:pPr>
      <w:r>
        <w:rPr>
          <w:rFonts w:ascii="Arial" w:cs="Arial" w:eastAsia="Arial" w:hAnsi="Arial"/>
          <w:sz w:val="18"/>
          <w:szCs w:val="18"/>
          <w:color w:val="auto"/>
        </w:rPr>
        <w:t>It discusses our executive compensation policies and programs and explains the compensation decisions relating to the named executive officers for 2017. We believe that the policies and programs serve the interests of our shareholders and that the compensation received by the named executive officers is commensurate with the performance and strategic position of the company.</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17</w:t>
            </w:r>
          </w:p>
        </w:tc>
      </w:tr>
    </w:tbl>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00"/>
        <w:spacing w:after="0" w:line="246" w:lineRule="auto"/>
        <w:rPr>
          <w:sz w:val="20"/>
          <w:szCs w:val="20"/>
          <w:color w:val="auto"/>
        </w:rPr>
      </w:pPr>
      <w:r>
        <w:rPr>
          <w:rFonts w:ascii="Arial" w:cs="Arial" w:eastAsia="Arial" w:hAnsi="Arial"/>
          <w:sz w:val="18"/>
          <w:szCs w:val="18"/>
          <w:color w:val="auto"/>
        </w:rPr>
        <w:t>Although the outcome of this annual vote is not binding on the company or the board, the Compensation Committee of the board will consider it when setting future compensation for the executive officers.</w:t>
      </w:r>
    </w:p>
    <w:p>
      <w:pPr>
        <w:spacing w:after="0" w:line="175"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color w:val="auto"/>
        </w:rPr>
        <w:t>The board of directors recommends a vote FOR the annual resolution approving the named executive officer compensation for 2017, as disclosed in this proxy statement.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Compensation Discussion and Analysis</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section describes TI’s compensation program for executive officers. It will provide insight into the following:</w:t>
      </w:r>
    </w:p>
    <w:p>
      <w:pPr>
        <w:spacing w:after="0" w:line="234" w:lineRule="exact"/>
        <w:rPr>
          <w:sz w:val="20"/>
          <w:szCs w:val="20"/>
          <w:color w:val="auto"/>
        </w:rPr>
      </w:pPr>
    </w:p>
    <w:p>
      <w:pPr>
        <w:ind w:left="960" w:hanging="54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elements of the 2017 compensation program, why we selected them and how they relate to one another; and</w:t>
      </w:r>
    </w:p>
    <w:p>
      <w:pPr>
        <w:ind w:left="960" w:hanging="54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How we determined the amount of compensation for 2017.</w:t>
      </w:r>
    </w:p>
    <w:p>
      <w:pPr>
        <w:spacing w:after="0" w:line="212"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The executive officers of TI have the broadest job responsibilities and policy-making authority in the company. We hold them accountable for the company’s performance and for maintaining a culture of strong ethics. Details of compensation for our CEO, both individuals who served as CFO during 2017 and the three other highest paid individuals who were executive officers in 2017 (collectively called the “named executive officers”) can be found in the tables following the Compensation Committee report.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Executive summary</w:t>
      </w:r>
    </w:p>
    <w:p>
      <w:pPr>
        <w:spacing w:after="0" w:line="217" w:lineRule="exact"/>
        <w:rPr>
          <w:sz w:val="20"/>
          <w:szCs w:val="20"/>
          <w:color w:val="auto"/>
        </w:rPr>
      </w:pPr>
    </w:p>
    <w:p>
      <w:pPr>
        <w:ind w:left="960" w:hanging="540"/>
        <w:spacing w:after="0" w:line="239" w:lineRule="auto"/>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ind w:left="960" w:hanging="540"/>
        <w:spacing w:after="0" w:line="234" w:lineRule="auto"/>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2017 compensation decisions for the CEO:</w:t>
      </w:r>
    </w:p>
    <w:p>
      <w:pPr>
        <w:ind w:left="1180" w:hanging="328"/>
        <w:spacing w:after="0" w:line="234" w:lineRule="auto"/>
        <w:tabs>
          <w:tab w:leader="none" w:pos="1180" w:val="left"/>
        </w:tabs>
        <w:numPr>
          <w:ilvl w:val="1"/>
          <w:numId w:val="38"/>
        </w:numPr>
        <w:rPr>
          <w:rFonts w:ascii="Arial" w:cs="Arial" w:eastAsia="Arial" w:hAnsi="Arial"/>
          <w:sz w:val="15"/>
          <w:szCs w:val="15"/>
          <w:color w:val="auto"/>
        </w:rPr>
      </w:pPr>
      <w:r>
        <w:rPr>
          <w:rFonts w:ascii="Arial" w:cs="Arial" w:eastAsia="Arial" w:hAnsi="Arial"/>
          <w:sz w:val="18"/>
          <w:szCs w:val="18"/>
          <w:color w:val="auto"/>
        </w:rPr>
        <w:t>Base salary was increased by 2.1 percent over 2016.</w:t>
      </w:r>
    </w:p>
    <w:p>
      <w:pPr>
        <w:ind w:left="1180" w:right="240" w:hanging="328"/>
        <w:spacing w:after="0" w:line="234" w:lineRule="auto"/>
        <w:tabs>
          <w:tab w:leader="none" w:pos="1180" w:val="left"/>
        </w:tabs>
        <w:numPr>
          <w:ilvl w:val="1"/>
          <w:numId w:val="38"/>
        </w:numPr>
        <w:rPr>
          <w:rFonts w:ascii="Arial" w:cs="Arial" w:eastAsia="Arial" w:hAnsi="Arial"/>
          <w:sz w:val="15"/>
          <w:szCs w:val="15"/>
          <w:color w:val="auto"/>
        </w:rPr>
      </w:pPr>
      <w:r>
        <w:rPr>
          <w:rFonts w:ascii="Arial" w:cs="Arial" w:eastAsia="Arial" w:hAnsi="Arial"/>
          <w:sz w:val="18"/>
          <w:szCs w:val="18"/>
          <w:color w:val="auto"/>
        </w:rPr>
        <w:t>The grant date fair value of equity compensation awarded in 2017 increased by 12 percent from 2016, reflecting an effort to align with the projected market range for similarly situated CEOs in our comparator group.</w:t>
      </w:r>
    </w:p>
    <w:p>
      <w:pPr>
        <w:spacing w:after="0" w:line="1" w:lineRule="exact"/>
        <w:rPr>
          <w:rFonts w:ascii="Arial" w:cs="Arial" w:eastAsia="Arial" w:hAnsi="Arial"/>
          <w:sz w:val="15"/>
          <w:szCs w:val="15"/>
          <w:color w:val="auto"/>
        </w:rPr>
      </w:pPr>
    </w:p>
    <w:p>
      <w:pPr>
        <w:ind w:left="1180" w:hanging="328"/>
        <w:spacing w:after="0"/>
        <w:tabs>
          <w:tab w:leader="none" w:pos="1180" w:val="left"/>
        </w:tabs>
        <w:numPr>
          <w:ilvl w:val="1"/>
          <w:numId w:val="38"/>
        </w:numPr>
        <w:rPr>
          <w:rFonts w:ascii="Arial" w:cs="Arial" w:eastAsia="Arial" w:hAnsi="Arial"/>
          <w:sz w:val="15"/>
          <w:szCs w:val="15"/>
          <w:color w:val="auto"/>
        </w:rPr>
      </w:pPr>
      <w:r>
        <w:rPr>
          <w:rFonts w:ascii="Arial" w:cs="Arial" w:eastAsia="Arial" w:hAnsi="Arial"/>
          <w:sz w:val="18"/>
          <w:szCs w:val="18"/>
          <w:color w:val="auto"/>
        </w:rPr>
        <w:t>The bonus decision was based primarily on the following performance results in 2017:</w:t>
      </w:r>
    </w:p>
    <w:p>
      <w:pPr>
        <w:spacing w:after="0" w:line="220" w:lineRule="exact"/>
        <w:rPr>
          <w:sz w:val="20"/>
          <w:szCs w:val="20"/>
          <w:color w:val="auto"/>
        </w:rPr>
      </w:pPr>
    </w:p>
    <w:tbl>
      <w:tblPr>
        <w:tblLayout w:type="fixed"/>
        <w:tblInd w:w="490" w:type="dxa"/>
        <w:tblCellMar>
          <w:top w:w="0" w:type="dxa"/>
          <w:left w:w="0" w:type="dxa"/>
          <w:bottom w:w="0" w:type="dxa"/>
          <w:right w:w="0" w:type="dxa"/>
        </w:tblCellMar>
      </w:tblPr>
      <w:tr>
        <w:trPr>
          <w:trHeight w:val="213"/>
        </w:trPr>
        <w:tc>
          <w:tcPr>
            <w:tcW w:w="1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840" w:type="dxa"/>
            <w:vAlign w:val="bottom"/>
            <w:tcBorders>
              <w:top w:val="single" w:sz="8" w:color="auto"/>
              <w:right w:val="single" w:sz="8" w:color="auto"/>
            </w:tcBorders>
            <w:shd w:val="clear" w:color="auto" w:fill="E5E5E5"/>
          </w:tcPr>
          <w:p>
            <w:pPr>
              <w:spacing w:after="0"/>
              <w:rPr>
                <w:sz w:val="18"/>
                <w:szCs w:val="18"/>
                <w:color w:val="auto"/>
              </w:rPr>
            </w:pPr>
          </w:p>
        </w:tc>
        <w:tc>
          <w:tcPr>
            <w:tcW w:w="600" w:type="dxa"/>
            <w:vAlign w:val="bottom"/>
            <w:tcBorders>
              <w:top w:val="single" w:sz="8" w:color="auto"/>
              <w:right w:val="single" w:sz="8" w:color="E5E5E5"/>
            </w:tcBorders>
            <w:shd w:val="clear" w:color="auto" w:fill="E5E5E5"/>
          </w:tcPr>
          <w:p>
            <w:pPr>
              <w:spacing w:after="0"/>
              <w:rPr>
                <w:sz w:val="18"/>
                <w:szCs w:val="18"/>
                <w:color w:val="auto"/>
              </w:rPr>
            </w:pPr>
          </w:p>
        </w:tc>
        <w:tc>
          <w:tcPr>
            <w:tcW w:w="1480" w:type="dxa"/>
            <w:vAlign w:val="bottom"/>
            <w:tcBorders>
              <w:top w:val="single" w:sz="8" w:color="auto"/>
              <w:right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rPr>
              <w:t>2017 Relative</w:t>
            </w:r>
          </w:p>
        </w:tc>
        <w:tc>
          <w:tcPr>
            <w:tcW w:w="0" w:type="dxa"/>
            <w:vAlign w:val="bottom"/>
          </w:tcPr>
          <w:p>
            <w:pPr>
              <w:spacing w:after="0"/>
              <w:rPr>
                <w:sz w:val="1"/>
                <w:szCs w:val="1"/>
                <w:color w:val="auto"/>
              </w:rPr>
            </w:pPr>
          </w:p>
        </w:tc>
      </w:tr>
      <w:tr>
        <w:trPr>
          <w:trHeight w:val="206"/>
        </w:trPr>
        <w:tc>
          <w:tcPr>
            <w:tcW w:w="15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9"/>
              </w:rPr>
              <w:t>2017 Absolute Performance</w:t>
            </w:r>
          </w:p>
        </w:tc>
        <w:tc>
          <w:tcPr>
            <w:tcW w:w="2080" w:type="dxa"/>
            <w:vAlign w:val="bottom"/>
            <w:tcBorders>
              <w:bottom w:val="single" w:sz="8" w:color="auto"/>
              <w:right w:val="single" w:sz="8" w:color="auto"/>
            </w:tcBorders>
            <w:gridSpan w:val="2"/>
            <w:shd w:val="clear" w:color="auto" w:fill="E5E5E5"/>
          </w:tcPr>
          <w:p>
            <w:pPr>
              <w:ind w:left="380"/>
              <w:spacing w:after="0"/>
              <w:rPr>
                <w:sz w:val="20"/>
                <w:szCs w:val="20"/>
                <w:color w:val="auto"/>
              </w:rPr>
            </w:pPr>
            <w:r>
              <w:rPr>
                <w:rFonts w:ascii="Arial" w:cs="Arial" w:eastAsia="Arial" w:hAnsi="Arial"/>
                <w:sz w:val="18"/>
                <w:szCs w:val="18"/>
                <w:color w:val="auto"/>
              </w:rPr>
              <w:t>Performance</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5560" w:type="dxa"/>
            <w:vAlign w:val="bottom"/>
            <w:tcBorders>
              <w:left w:val="single" w:sz="8" w:color="auto"/>
              <w:bottom w:val="single" w:sz="8" w:color="auto"/>
              <w:right w:val="single" w:sz="8" w:color="auto"/>
            </w:tcBorders>
            <w:gridSpan w:val="3"/>
            <w:shd w:val="clear" w:color="auto" w:fill="E5E5E5"/>
          </w:tcPr>
          <w:p>
            <w:pPr>
              <w:ind w:left="340"/>
              <w:spacing w:after="0"/>
              <w:rPr>
                <w:sz w:val="20"/>
                <w:szCs w:val="20"/>
                <w:color w:val="auto"/>
              </w:rPr>
            </w:pPr>
            <w:r>
              <w:rPr>
                <w:rFonts w:ascii="Arial" w:cs="Arial" w:eastAsia="Arial" w:hAnsi="Arial"/>
                <w:sz w:val="18"/>
                <w:szCs w:val="18"/>
                <w:color w:val="auto"/>
              </w:rPr>
              <w:t>Revenue Growth: Total TI</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11.9%</w:t>
            </w:r>
          </w:p>
        </w:tc>
        <w:tc>
          <w:tcPr>
            <w:tcW w:w="60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center"/>
              <w:ind w:right="450"/>
              <w:spacing w:after="0"/>
              <w:rPr>
                <w:sz w:val="20"/>
                <w:szCs w:val="20"/>
                <w:color w:val="auto"/>
              </w:rPr>
            </w:pPr>
            <w:r>
              <w:rPr>
                <w:rFonts w:ascii="Arial" w:cs="Arial" w:eastAsia="Arial" w:hAnsi="Arial"/>
                <w:sz w:val="18"/>
                <w:szCs w:val="18"/>
                <w:color w:val="auto"/>
                <w:w w:val="98"/>
              </w:rPr>
              <w:t>Median</w:t>
            </w:r>
          </w:p>
        </w:tc>
        <w:tc>
          <w:tcPr>
            <w:tcW w:w="0" w:type="dxa"/>
            <w:vAlign w:val="bottom"/>
          </w:tcPr>
          <w:p>
            <w:pPr>
              <w:spacing w:after="0"/>
              <w:rPr>
                <w:sz w:val="1"/>
                <w:szCs w:val="1"/>
                <w:color w:val="auto"/>
              </w:rPr>
            </w:pPr>
          </w:p>
        </w:tc>
      </w:tr>
      <w:tr>
        <w:trPr>
          <w:trHeight w:val="250"/>
        </w:trPr>
        <w:tc>
          <w:tcPr>
            <w:tcW w:w="5560" w:type="dxa"/>
            <w:vAlign w:val="bottom"/>
            <w:tcBorders>
              <w:left w:val="single" w:sz="8" w:color="auto"/>
              <w:bottom w:val="single" w:sz="8" w:color="auto"/>
              <w:right w:val="single" w:sz="8" w:color="auto"/>
            </w:tcBorders>
            <w:gridSpan w:val="3"/>
            <w:shd w:val="clear" w:color="auto" w:fill="E5E5E5"/>
          </w:tcPr>
          <w:p>
            <w:pPr>
              <w:ind w:left="340"/>
              <w:spacing w:after="0"/>
              <w:rPr>
                <w:sz w:val="20"/>
                <w:szCs w:val="20"/>
                <w:color w:val="auto"/>
              </w:rPr>
            </w:pPr>
            <w:r>
              <w:rPr>
                <w:rFonts w:ascii="Arial" w:cs="Arial" w:eastAsia="Arial" w:hAnsi="Arial"/>
                <w:sz w:val="18"/>
                <w:szCs w:val="18"/>
                <w:color w:val="auto"/>
              </w:rPr>
              <w:t>Profit from Operations as a % of Revenue (PFO %)</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40.7%</w:t>
            </w:r>
          </w:p>
        </w:tc>
        <w:tc>
          <w:tcPr>
            <w:tcW w:w="2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Above median</w:t>
            </w:r>
          </w:p>
        </w:tc>
        <w:tc>
          <w:tcPr>
            <w:tcW w:w="0" w:type="dxa"/>
            <w:vAlign w:val="bottom"/>
          </w:tcPr>
          <w:p>
            <w:pPr>
              <w:spacing w:after="0"/>
              <w:rPr>
                <w:sz w:val="1"/>
                <w:szCs w:val="1"/>
                <w:color w:val="auto"/>
              </w:rPr>
            </w:pPr>
          </w:p>
        </w:tc>
      </w:tr>
      <w:tr>
        <w:trPr>
          <w:trHeight w:val="250"/>
        </w:trPr>
        <w:tc>
          <w:tcPr>
            <w:tcW w:w="5560" w:type="dxa"/>
            <w:vAlign w:val="bottom"/>
            <w:tcBorders>
              <w:left w:val="single" w:sz="8" w:color="auto"/>
              <w:bottom w:val="single" w:sz="8" w:color="auto"/>
              <w:right w:val="single" w:sz="8" w:color="auto"/>
            </w:tcBorders>
            <w:gridSpan w:val="3"/>
            <w:shd w:val="clear" w:color="auto" w:fill="E5E5E5"/>
          </w:tcPr>
          <w:p>
            <w:pPr>
              <w:ind w:left="340"/>
              <w:spacing w:after="0"/>
              <w:rPr>
                <w:sz w:val="20"/>
                <w:szCs w:val="20"/>
                <w:color w:val="auto"/>
              </w:rPr>
            </w:pPr>
            <w:r>
              <w:rPr>
                <w:rFonts w:ascii="Arial" w:cs="Arial" w:eastAsia="Arial" w:hAnsi="Arial"/>
                <w:sz w:val="18"/>
                <w:szCs w:val="18"/>
                <w:color w:val="auto"/>
              </w:rPr>
              <w:t>Total Shareholder Return (TSR)</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46.8%</w:t>
            </w:r>
          </w:p>
        </w:tc>
        <w:tc>
          <w:tcPr>
            <w:tcW w:w="2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Above median</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52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Year-on-Year Change in CEO Bonus</w:t>
            </w:r>
          </w:p>
        </w:tc>
        <w:tc>
          <w:tcPr>
            <w:tcW w:w="520" w:type="dxa"/>
            <w:vAlign w:val="bottom"/>
          </w:tcPr>
          <w:p>
            <w:pPr>
              <w:spacing w:after="0"/>
              <w:rPr>
                <w:sz w:val="24"/>
                <w:szCs w:val="24"/>
                <w:color w:val="auto"/>
              </w:rPr>
            </w:pPr>
          </w:p>
        </w:tc>
        <w:tc>
          <w:tcPr>
            <w:tcW w:w="2840" w:type="dxa"/>
            <w:vAlign w:val="bottom"/>
            <w:vMerge w:val="restart"/>
          </w:tcPr>
          <w:p>
            <w:pPr>
              <w:ind w:left="1240"/>
              <w:spacing w:after="0"/>
              <w:rPr>
                <w:sz w:val="20"/>
                <w:szCs w:val="20"/>
                <w:color w:val="auto"/>
              </w:rPr>
            </w:pPr>
            <w:r>
              <w:rPr>
                <w:rFonts w:ascii="Arial" w:cs="Arial" w:eastAsia="Arial" w:hAnsi="Arial"/>
                <w:sz w:val="18"/>
                <w:szCs w:val="18"/>
                <w:color w:val="auto"/>
              </w:rPr>
              <w:t>5% change</w:t>
            </w:r>
          </w:p>
        </w:tc>
        <w:tc>
          <w:tcPr>
            <w:tcW w:w="600" w:type="dxa"/>
            <w:vAlign w:val="bottom"/>
            <w:tcBorders>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52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vMerge w:val="restart"/>
            <w:shd w:val="clear" w:color="auto" w:fill="E5E5E5"/>
          </w:tcPr>
          <w:p>
            <w:pPr>
              <w:ind w:left="140"/>
              <w:spacing w:after="0"/>
              <w:rPr>
                <w:sz w:val="20"/>
                <w:szCs w:val="20"/>
                <w:color w:val="auto"/>
              </w:rPr>
            </w:pPr>
            <w:r>
              <w:rPr>
                <w:rFonts w:ascii="Arial" w:cs="Arial" w:eastAsia="Arial" w:hAnsi="Arial"/>
                <w:sz w:val="18"/>
                <w:szCs w:val="18"/>
                <w:color w:val="auto"/>
              </w:rPr>
              <w:t>(2017 bonus compared with 2016)</w:t>
            </w:r>
          </w:p>
        </w:tc>
        <w:tc>
          <w:tcPr>
            <w:tcW w:w="52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shd w:val="clear" w:color="auto" w:fill="E5E5E5"/>
          </w:tcPr>
          <w:p>
            <w:pPr>
              <w:spacing w:after="0"/>
              <w:rPr>
                <w:sz w:val="8"/>
                <w:szCs w:val="8"/>
                <w:color w:val="auto"/>
              </w:rPr>
            </w:pPr>
          </w:p>
        </w:tc>
        <w:tc>
          <w:tcPr>
            <w:tcW w:w="5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20" w:type="dxa"/>
            <w:vAlign w:val="bottom"/>
            <w:tcBorders>
              <w:right w:val="single" w:sz="8" w:color="auto"/>
            </w:tcBorders>
          </w:tcPr>
          <w:p>
            <w:pPr>
              <w:spacing w:after="0"/>
              <w:rPr>
                <w:sz w:val="9"/>
                <w:szCs w:val="9"/>
                <w:color w:val="auto"/>
              </w:rPr>
            </w:pPr>
          </w:p>
        </w:tc>
        <w:tc>
          <w:tcPr>
            <w:tcW w:w="3520" w:type="dxa"/>
            <w:vAlign w:val="bottom"/>
            <w:tcBorders>
              <w:bottom w:val="single" w:sz="8" w:color="auto"/>
              <w:right w:val="single" w:sz="8" w:color="auto"/>
            </w:tcBorders>
            <w:shd w:val="clear" w:color="auto" w:fill="E5E5E5"/>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80" w:right="60" w:hanging="328"/>
        <w:spacing w:after="0" w:line="239" w:lineRule="auto"/>
        <w:tabs>
          <w:tab w:leader="none" w:pos="11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Relative to semiconductor competitors as outlined under “Comparator group;” includes estimates and projections of certain competitors’ financial results. See “Analysis of compensation determinations – Bonus – Assessment of 2017 performance” for details of the Compensation Committee’s assessment of TI’s performance. (It is important to note that the median growth rate of competitor companies includes the effect of acquisitions, whereas TI’s growth rate is entirely organic.)</w:t>
      </w:r>
    </w:p>
    <w:p>
      <w:pPr>
        <w:spacing w:after="0" w:line="107" w:lineRule="exact"/>
        <w:rPr>
          <w:rFonts w:ascii="Arial" w:cs="Arial" w:eastAsia="Arial" w:hAnsi="Arial"/>
          <w:sz w:val="18"/>
          <w:szCs w:val="18"/>
          <w:color w:val="auto"/>
        </w:rPr>
      </w:pPr>
    </w:p>
    <w:p>
      <w:pPr>
        <w:ind w:left="960" w:right="60" w:hanging="540"/>
        <w:spacing w:after="0" w:line="248" w:lineRule="auto"/>
        <w:tabs>
          <w:tab w:leader="none" w:pos="9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executive compensation program is designed to encourage executive officers to pursue strategies that serve the interests of the company and shareholders, and not to promote excessive risk-taking by our executives. It is built on a foundation of sound</w:t>
      </w:r>
    </w:p>
    <w:p>
      <w:pPr>
        <w:ind w:left="960"/>
        <w:spacing w:after="0" w:line="236" w:lineRule="auto"/>
        <w:rPr>
          <w:sz w:val="20"/>
          <w:szCs w:val="20"/>
          <w:color w:val="auto"/>
        </w:rPr>
      </w:pPr>
      <w:r>
        <w:rPr>
          <w:rFonts w:ascii="Arial" w:cs="Arial" w:eastAsia="Arial" w:hAnsi="Arial"/>
          <w:sz w:val="18"/>
          <w:szCs w:val="18"/>
          <w:color w:val="auto"/>
        </w:rPr>
        <w:t>corporate governance and includes:</w:t>
      </w:r>
    </w:p>
    <w:p>
      <w:pPr>
        <w:ind w:left="1180" w:right="200" w:hanging="328"/>
        <w:spacing w:after="0" w:line="234" w:lineRule="auto"/>
        <w:tabs>
          <w:tab w:leader="none" w:pos="1180" w:val="left"/>
        </w:tabs>
        <w:numPr>
          <w:ilvl w:val="0"/>
          <w:numId w:val="40"/>
        </w:numPr>
        <w:rPr>
          <w:rFonts w:ascii="Arial" w:cs="Arial" w:eastAsia="Arial" w:hAnsi="Arial"/>
          <w:sz w:val="15"/>
          <w:szCs w:val="15"/>
          <w:color w:val="auto"/>
        </w:rPr>
      </w:pPr>
      <w:r>
        <w:rPr>
          <w:rFonts w:ascii="Arial" w:cs="Arial" w:eastAsia="Arial" w:hAnsi="Arial"/>
          <w:sz w:val="18"/>
          <w:szCs w:val="18"/>
          <w:color w:val="auto"/>
        </w:rPr>
        <w:t>Executive officers do not have employment contracts and are not guaranteed salary increases, bonus amounts or awards of equity compensation.</w:t>
      </w:r>
    </w:p>
    <w:p>
      <w:pPr>
        <w:spacing w:after="0" w:line="1" w:lineRule="exact"/>
        <w:rPr>
          <w:rFonts w:ascii="Arial" w:cs="Arial" w:eastAsia="Arial" w:hAnsi="Arial"/>
          <w:sz w:val="15"/>
          <w:szCs w:val="15"/>
          <w:color w:val="auto"/>
        </w:rPr>
      </w:pPr>
    </w:p>
    <w:p>
      <w:pPr>
        <w:ind w:left="1180" w:right="200" w:hanging="328"/>
        <w:spacing w:after="0"/>
        <w:tabs>
          <w:tab w:leader="none" w:pos="1180" w:val="left"/>
        </w:tabs>
        <w:numPr>
          <w:ilvl w:val="0"/>
          <w:numId w:val="40"/>
        </w:numPr>
        <w:rPr>
          <w:rFonts w:ascii="Arial" w:cs="Arial" w:eastAsia="Arial" w:hAnsi="Arial"/>
          <w:sz w:val="15"/>
          <w:szCs w:val="15"/>
          <w:color w:val="auto"/>
        </w:rPr>
      </w:pPr>
      <w:r>
        <w:rPr>
          <w:rFonts w:ascii="Arial" w:cs="Arial" w:eastAsia="Arial" w:hAnsi="Arial"/>
          <w:sz w:val="18"/>
          <w:szCs w:val="18"/>
          <w:color w:val="auto"/>
        </w:rPr>
        <w:t>We have never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w:t>
      </w:r>
    </w:p>
    <w:p>
      <w:pPr>
        <w:spacing w:after="0" w:line="130"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18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180" w:hanging="328"/>
        <w:spacing w:after="0"/>
        <w:tabs>
          <w:tab w:leader="none" w:pos="1180" w:val="left"/>
        </w:tabs>
        <w:numPr>
          <w:ilvl w:val="0"/>
          <w:numId w:val="41"/>
        </w:numPr>
        <w:rPr>
          <w:rFonts w:ascii="Arial" w:cs="Arial" w:eastAsia="Arial" w:hAnsi="Arial"/>
          <w:sz w:val="15"/>
          <w:szCs w:val="15"/>
          <w:color w:val="auto"/>
        </w:rPr>
      </w:pPr>
      <w:r>
        <w:rPr>
          <w:rFonts w:ascii="Arial" w:cs="Arial" w:eastAsia="Arial" w:hAnsi="Arial"/>
          <w:sz w:val="18"/>
          <w:szCs w:val="18"/>
          <w:color w:val="auto"/>
        </w:rPr>
        <w:t>Bonus and equity compensation awards are subject to clawback as described under “Recoupment policy” below.</w:t>
      </w:r>
    </w:p>
    <w:p>
      <w:pPr>
        <w:ind w:left="1180" w:hanging="328"/>
        <w:spacing w:after="0" w:line="234" w:lineRule="auto"/>
        <w:tabs>
          <w:tab w:leader="none" w:pos="1180" w:val="left"/>
        </w:tabs>
        <w:numPr>
          <w:ilvl w:val="0"/>
          <w:numId w:val="41"/>
        </w:numPr>
        <w:rPr>
          <w:rFonts w:ascii="Arial" w:cs="Arial" w:eastAsia="Arial" w:hAnsi="Arial"/>
          <w:sz w:val="15"/>
          <w:szCs w:val="15"/>
          <w:color w:val="auto"/>
        </w:rPr>
      </w:pPr>
      <w:r>
        <w:rPr>
          <w:rFonts w:ascii="Arial" w:cs="Arial" w:eastAsia="Arial" w:hAnsi="Arial"/>
          <w:sz w:val="18"/>
          <w:szCs w:val="18"/>
          <w:color w:val="auto"/>
        </w:rPr>
        <w:t>We do not provide excessive perquisites. We provide no tax gross-ups for perquisites.</w:t>
      </w:r>
    </w:p>
    <w:p>
      <w:pPr>
        <w:ind w:left="1180" w:hanging="328"/>
        <w:spacing w:after="0" w:line="234" w:lineRule="auto"/>
        <w:tabs>
          <w:tab w:leader="none" w:pos="1180" w:val="left"/>
        </w:tabs>
        <w:numPr>
          <w:ilvl w:val="0"/>
          <w:numId w:val="41"/>
        </w:numPr>
        <w:rPr>
          <w:rFonts w:ascii="Arial" w:cs="Arial" w:eastAsia="Arial" w:hAnsi="Arial"/>
          <w:sz w:val="15"/>
          <w:szCs w:val="15"/>
          <w:color w:val="auto"/>
        </w:rPr>
      </w:pPr>
      <w:r>
        <w:rPr>
          <w:rFonts w:ascii="Arial" w:cs="Arial" w:eastAsia="Arial" w:hAnsi="Arial"/>
          <w:sz w:val="18"/>
          <w:szCs w:val="18"/>
          <w:color w:val="auto"/>
        </w:rPr>
        <w:t>We do not guarantee a return or provide above-market returns on compensation that has been deferred.</w:t>
      </w:r>
    </w:p>
    <w:p>
      <w:pPr>
        <w:ind w:left="1180" w:right="300" w:hanging="328"/>
        <w:spacing w:after="0" w:line="246" w:lineRule="auto"/>
        <w:tabs>
          <w:tab w:leader="none" w:pos="1180" w:val="left"/>
        </w:tabs>
        <w:numPr>
          <w:ilvl w:val="0"/>
          <w:numId w:val="41"/>
        </w:numPr>
        <w:rPr>
          <w:rFonts w:ascii="Arial" w:cs="Arial" w:eastAsia="Arial" w:hAnsi="Arial"/>
          <w:sz w:val="15"/>
          <w:szCs w:val="15"/>
          <w:color w:val="auto"/>
        </w:rPr>
      </w:pPr>
      <w:r>
        <w:rPr>
          <w:rFonts w:ascii="Arial" w:cs="Arial" w:eastAsia="Arial" w:hAnsi="Arial"/>
          <w:sz w:val="18"/>
          <w:szCs w:val="18"/>
          <w:color w:val="auto"/>
        </w:rPr>
        <w:t>Pension benefits are calculated on salary and bonus only; the proceeds earned on equity or other performance awards are not part of the pension calculation.</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Detailed discussion</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philosophy and elements</w:t>
      </w:r>
    </w:p>
    <w:p>
      <w:pPr>
        <w:spacing w:after="0" w:line="122"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primary elements of our executive compensation program are as follows: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Near-term compensation, paid in cash</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Base Salary</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Purpose</w:t>
            </w:r>
          </w:p>
        </w:tc>
        <w:tc>
          <w:tcPr>
            <w:tcW w:w="98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Basic, least variable form of compensation, designed to provide a stable source of income</w:t>
            </w:r>
          </w:p>
        </w:tc>
      </w:tr>
      <w:tr>
        <w:trPr>
          <w:trHeight w:val="397"/>
        </w:trPr>
        <w:tc>
          <w:tcPr>
            <w:tcW w:w="1200" w:type="dxa"/>
            <w:vAlign w:val="bottom"/>
          </w:tcPr>
          <w:p>
            <w:pPr>
              <w:spacing w:after="0"/>
              <w:rPr>
                <w:sz w:val="20"/>
                <w:szCs w:val="20"/>
                <w:color w:val="auto"/>
              </w:rPr>
            </w:pPr>
            <w:r>
              <w:rPr>
                <w:rFonts w:ascii="Arial" w:cs="Arial" w:eastAsia="Arial" w:hAnsi="Arial"/>
                <w:sz w:val="18"/>
                <w:szCs w:val="18"/>
                <w:color w:val="auto"/>
              </w:rPr>
              <w:t>Strategy</w:t>
            </w:r>
          </w:p>
        </w:tc>
        <w:tc>
          <w:tcPr>
            <w:tcW w:w="9840" w:type="dxa"/>
            <w:vAlign w:val="bottom"/>
          </w:tcPr>
          <w:p>
            <w:pPr>
              <w:ind w:left="240"/>
              <w:spacing w:after="0"/>
              <w:rPr>
                <w:sz w:val="20"/>
                <w:szCs w:val="20"/>
                <w:color w:val="auto"/>
              </w:rPr>
            </w:pPr>
            <w:r>
              <w:rPr>
                <w:rFonts w:ascii="Arial" w:cs="Arial" w:eastAsia="Arial" w:hAnsi="Arial"/>
                <w:sz w:val="18"/>
                <w:szCs w:val="18"/>
                <w:color w:val="auto"/>
              </w:rPr>
              <w:t>Generally, target market median, giving appropriate consideration to job scope and tenure, to attract and retain highly</w:t>
            </w:r>
          </w:p>
        </w:tc>
      </w:tr>
      <w:tr>
        <w:trPr>
          <w:trHeight w:val="217"/>
        </w:trPr>
        <w:tc>
          <w:tcPr>
            <w:tcW w:w="1200" w:type="dxa"/>
            <w:vAlign w:val="bottom"/>
          </w:tcPr>
          <w:p>
            <w:pPr>
              <w:spacing w:after="0"/>
              <w:rPr>
                <w:sz w:val="18"/>
                <w:szCs w:val="18"/>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qualified executives</w:t>
            </w:r>
          </w:p>
        </w:tc>
      </w:tr>
      <w:tr>
        <w:trPr>
          <w:trHeight w:val="419"/>
        </w:trPr>
        <w:tc>
          <w:tcPr>
            <w:tcW w:w="1200" w:type="dxa"/>
            <w:vAlign w:val="bottom"/>
          </w:tcPr>
          <w:p>
            <w:pPr>
              <w:spacing w:after="0"/>
              <w:rPr>
                <w:sz w:val="20"/>
                <w:szCs w:val="20"/>
                <w:color w:val="auto"/>
              </w:rPr>
            </w:pPr>
            <w:r>
              <w:rPr>
                <w:rFonts w:ascii="Arial" w:cs="Arial" w:eastAsia="Arial" w:hAnsi="Arial"/>
                <w:sz w:val="18"/>
                <w:szCs w:val="18"/>
                <w:color w:val="auto"/>
              </w:rPr>
              <w:t>Terms</w:t>
            </w:r>
          </w:p>
        </w:tc>
        <w:tc>
          <w:tcPr>
            <w:tcW w:w="9840" w:type="dxa"/>
            <w:vAlign w:val="bottom"/>
          </w:tcPr>
          <w:p>
            <w:pPr>
              <w:ind w:left="240"/>
              <w:spacing w:after="0"/>
              <w:rPr>
                <w:sz w:val="20"/>
                <w:szCs w:val="20"/>
                <w:color w:val="auto"/>
              </w:rPr>
            </w:pPr>
            <w:r>
              <w:rPr>
                <w:rFonts w:ascii="Arial" w:cs="Arial" w:eastAsia="Arial" w:hAnsi="Arial"/>
                <w:sz w:val="18"/>
                <w:szCs w:val="18"/>
                <w:color w:val="auto"/>
              </w:rPr>
              <w:t>Paid twice monthly</w:t>
            </w:r>
          </w:p>
        </w:tc>
      </w:tr>
      <w:tr>
        <w:trPr>
          <w:trHeight w:val="392"/>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Profit Sharing</w:t>
            </w:r>
          </w:p>
        </w:tc>
        <w:tc>
          <w:tcPr>
            <w:tcW w:w="9840" w:type="dxa"/>
            <w:vAlign w:val="bottom"/>
            <w:tcBorders>
              <w:bottom w:val="single" w:sz="8" w:color="auto"/>
            </w:tcBorders>
          </w:tcPr>
          <w:p>
            <w:pPr>
              <w:spacing w:after="0"/>
              <w:rPr>
                <w:sz w:val="24"/>
                <w:szCs w:val="24"/>
                <w:color w:val="auto"/>
              </w:rPr>
            </w:pPr>
          </w:p>
        </w:tc>
      </w:tr>
      <w:tr>
        <w:trPr>
          <w:trHeight w:val="195"/>
        </w:trPr>
        <w:tc>
          <w:tcPr>
            <w:tcW w:w="1200" w:type="dxa"/>
            <w:vAlign w:val="bottom"/>
          </w:tcPr>
          <w:p>
            <w:pPr>
              <w:spacing w:after="0" w:line="195" w:lineRule="exact"/>
              <w:rPr>
                <w:sz w:val="20"/>
                <w:szCs w:val="20"/>
                <w:color w:val="auto"/>
              </w:rPr>
            </w:pPr>
            <w:r>
              <w:rPr>
                <w:rFonts w:ascii="Arial" w:cs="Arial" w:eastAsia="Arial" w:hAnsi="Arial"/>
                <w:sz w:val="18"/>
                <w:szCs w:val="18"/>
                <w:color w:val="auto"/>
              </w:rPr>
              <w:t>Purpose</w:t>
            </w:r>
          </w:p>
        </w:tc>
        <w:tc>
          <w:tcPr>
            <w:tcW w:w="9840" w:type="dxa"/>
            <w:vAlign w:val="bottom"/>
          </w:tcPr>
          <w:p>
            <w:pPr>
              <w:ind w:left="240"/>
              <w:spacing w:after="0" w:line="195" w:lineRule="exact"/>
              <w:rPr>
                <w:sz w:val="20"/>
                <w:szCs w:val="20"/>
                <w:color w:val="auto"/>
              </w:rPr>
            </w:pPr>
            <w:r>
              <w:rPr>
                <w:rFonts w:ascii="Arial" w:cs="Arial" w:eastAsia="Arial" w:hAnsi="Arial"/>
                <w:sz w:val="18"/>
                <w:szCs w:val="18"/>
                <w:color w:val="auto"/>
              </w:rPr>
              <w:t>Broad-based program designed to emphasize that each employee contributes to the company’s profitability and can</w:t>
            </w:r>
          </w:p>
        </w:tc>
      </w:tr>
      <w:tr>
        <w:trPr>
          <w:trHeight w:val="217"/>
        </w:trPr>
        <w:tc>
          <w:tcPr>
            <w:tcW w:w="1200" w:type="dxa"/>
            <w:vAlign w:val="bottom"/>
          </w:tcPr>
          <w:p>
            <w:pPr>
              <w:spacing w:after="0"/>
              <w:rPr>
                <w:sz w:val="18"/>
                <w:szCs w:val="18"/>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share in it</w:t>
            </w:r>
          </w:p>
        </w:tc>
      </w:tr>
      <w:tr>
        <w:trPr>
          <w:trHeight w:val="404"/>
        </w:trPr>
        <w:tc>
          <w:tcPr>
            <w:tcW w:w="1200" w:type="dxa"/>
            <w:vAlign w:val="bottom"/>
          </w:tcPr>
          <w:p>
            <w:pPr>
              <w:spacing w:after="0"/>
              <w:rPr>
                <w:sz w:val="20"/>
                <w:szCs w:val="20"/>
                <w:color w:val="auto"/>
              </w:rPr>
            </w:pPr>
            <w:r>
              <w:rPr>
                <w:rFonts w:ascii="Arial" w:cs="Arial" w:eastAsia="Arial" w:hAnsi="Arial"/>
                <w:sz w:val="18"/>
                <w:szCs w:val="18"/>
                <w:color w:val="auto"/>
              </w:rPr>
              <w:t>Strategy</w:t>
            </w:r>
          </w:p>
        </w:tc>
        <w:tc>
          <w:tcPr>
            <w:tcW w:w="9840" w:type="dxa"/>
            <w:vAlign w:val="bottom"/>
          </w:tcPr>
          <w:p>
            <w:pPr>
              <w:ind w:left="240"/>
              <w:spacing w:after="0"/>
              <w:rPr>
                <w:sz w:val="20"/>
                <w:szCs w:val="20"/>
                <w:color w:val="auto"/>
              </w:rPr>
            </w:pPr>
            <w:r>
              <w:rPr>
                <w:rFonts w:ascii="Arial" w:cs="Arial" w:eastAsia="Arial" w:hAnsi="Arial"/>
                <w:sz w:val="18"/>
                <w:szCs w:val="18"/>
                <w:color w:val="auto"/>
              </w:rPr>
              <w:t>Pay according to a formula that focuses employees on a company goal, and at a level that will affect behavior. Profit</w:t>
            </w:r>
          </w:p>
        </w:tc>
      </w:tr>
      <w:tr>
        <w:trPr>
          <w:trHeight w:val="217"/>
        </w:trPr>
        <w:tc>
          <w:tcPr>
            <w:tcW w:w="1200" w:type="dxa"/>
            <w:vAlign w:val="bottom"/>
          </w:tcPr>
          <w:p>
            <w:pPr>
              <w:spacing w:after="0"/>
              <w:rPr>
                <w:sz w:val="18"/>
                <w:szCs w:val="18"/>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sharing is paid in addition to any performance bonus awarded for the year.</w:t>
            </w:r>
          </w:p>
        </w:tc>
      </w:tr>
      <w:tr>
        <w:trPr>
          <w:trHeight w:val="431"/>
        </w:trPr>
        <w:tc>
          <w:tcPr>
            <w:tcW w:w="1200" w:type="dxa"/>
            <w:vAlign w:val="bottom"/>
          </w:tcPr>
          <w:p>
            <w:pPr>
              <w:spacing w:after="0"/>
              <w:rPr>
                <w:sz w:val="24"/>
                <w:szCs w:val="24"/>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For the last 13 years, the formula has been based on company-level annual operating profit margin. The formula was</w:t>
            </w:r>
          </w:p>
        </w:tc>
      </w:tr>
      <w:tr>
        <w:trPr>
          <w:trHeight w:val="217"/>
        </w:trPr>
        <w:tc>
          <w:tcPr>
            <w:tcW w:w="1200" w:type="dxa"/>
            <w:vAlign w:val="bottom"/>
          </w:tcPr>
          <w:p>
            <w:pPr>
              <w:spacing w:after="0"/>
              <w:rPr>
                <w:sz w:val="18"/>
                <w:szCs w:val="18"/>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set by the TI board. The committee’s practice has been not to adjust amounts earned under the formula.</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Terms</w:t>
            </w:r>
          </w:p>
        </w:tc>
        <w:tc>
          <w:tcPr>
            <w:tcW w:w="9840" w:type="dxa"/>
            <w:vAlign w:val="bottom"/>
          </w:tcPr>
          <w:p>
            <w:pPr>
              <w:ind w:left="240"/>
              <w:spacing w:after="0"/>
              <w:rPr>
                <w:sz w:val="20"/>
                <w:szCs w:val="20"/>
                <w:color w:val="auto"/>
              </w:rPr>
            </w:pPr>
            <w:r>
              <w:rPr>
                <w:rFonts w:ascii="Arial" w:cs="Arial" w:eastAsia="Arial" w:hAnsi="Arial"/>
                <w:sz w:val="18"/>
                <w:szCs w:val="18"/>
                <w:color w:val="auto"/>
              </w:rPr>
              <w:t>Payable in a single cash payment shortly after the end of the performance year</w:t>
            </w:r>
          </w:p>
        </w:tc>
      </w:tr>
      <w:tr>
        <w:trPr>
          <w:trHeight w:val="446"/>
        </w:trPr>
        <w:tc>
          <w:tcPr>
            <w:tcW w:w="1200" w:type="dxa"/>
            <w:vAlign w:val="bottom"/>
          </w:tcPr>
          <w:p>
            <w:pPr>
              <w:spacing w:after="0"/>
              <w:rPr>
                <w:sz w:val="24"/>
                <w:szCs w:val="24"/>
                <w:color w:val="auto"/>
              </w:rPr>
            </w:pPr>
          </w:p>
        </w:tc>
        <w:tc>
          <w:tcPr>
            <w:tcW w:w="9840" w:type="dxa"/>
            <w:vAlign w:val="bottom"/>
          </w:tcPr>
          <w:p>
            <w:pPr>
              <w:ind w:left="240"/>
              <w:spacing w:after="0"/>
              <w:rPr>
                <w:sz w:val="20"/>
                <w:szCs w:val="20"/>
                <w:color w:val="auto"/>
              </w:rPr>
            </w:pPr>
            <w:r>
              <w:rPr>
                <w:rFonts w:ascii="Arial" w:cs="Arial" w:eastAsia="Arial" w:hAnsi="Arial"/>
                <w:sz w:val="18"/>
                <w:szCs w:val="18"/>
                <w:color w:val="auto"/>
              </w:rPr>
              <w:t>As in recent years, the formula for 2017 was:</w:t>
            </w:r>
          </w:p>
        </w:tc>
      </w:tr>
    </w:tbl>
    <w:p>
      <w:pPr>
        <w:spacing w:after="0" w:line="224" w:lineRule="exact"/>
        <w:rPr>
          <w:sz w:val="20"/>
          <w:szCs w:val="20"/>
          <w:color w:val="auto"/>
        </w:rPr>
      </w:pPr>
    </w:p>
    <w:p>
      <w:pPr>
        <w:ind w:left="2100" w:hanging="208"/>
        <w:spacing w:after="0"/>
        <w:tabs>
          <w:tab w:leader="none" w:pos="2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Below 10% company-level annual operating profit as a percentage of revenue (“Margin”): no profit sharing</w:t>
      </w:r>
    </w:p>
    <w:p>
      <w:pPr>
        <w:ind w:left="2080" w:hanging="188"/>
        <w:spacing w:after="0" w:line="234" w:lineRule="auto"/>
        <w:tabs>
          <w:tab w:leader="none" w:pos="2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10% Margin: profit sharing = 2% of base salary</w:t>
      </w:r>
    </w:p>
    <w:p>
      <w:pPr>
        <w:ind w:left="2140" w:right="280" w:hanging="248"/>
        <w:spacing w:after="0"/>
        <w:tabs>
          <w:tab w:leader="none" w:pos="20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230" w:lineRule="exact"/>
        <w:rPr>
          <w:sz w:val="20"/>
          <w:szCs w:val="20"/>
          <w:color w:val="auto"/>
        </w:rPr>
      </w:pPr>
    </w:p>
    <w:p>
      <w:pPr>
        <w:ind w:left="1640" w:right="340"/>
        <w:spacing w:after="0" w:line="246" w:lineRule="auto"/>
        <w:rPr>
          <w:sz w:val="20"/>
          <w:szCs w:val="20"/>
          <w:color w:val="auto"/>
        </w:rPr>
      </w:pPr>
      <w:r>
        <w:rPr>
          <w:rFonts w:ascii="Arial" w:cs="Arial" w:eastAsia="Arial" w:hAnsi="Arial"/>
          <w:sz w:val="18"/>
          <w:szCs w:val="18"/>
          <w:color w:val="auto"/>
        </w:rPr>
        <w:t>In 2017, TI delivered Margin of 40.7%. As a result, all eligible employees, including executive officers, received profit sharing of 20% of base salary.</w:t>
      </w:r>
    </w:p>
    <w:p>
      <w:pPr>
        <w:spacing w:after="0" w:line="138"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19</w:t>
            </w:r>
          </w:p>
        </w:tc>
      </w:tr>
    </w:tbl>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Performance Bonus</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1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Purpose</w:t>
            </w:r>
          </w:p>
        </w:tc>
        <w:tc>
          <w:tcPr>
            <w:tcW w:w="9980" w:type="dxa"/>
            <w:vAlign w:val="bottom"/>
            <w:tcBorders>
              <w:top w:val="single" w:sz="8" w:color="auto"/>
            </w:tcBorders>
            <w:gridSpan w:val="2"/>
          </w:tcPr>
          <w:p>
            <w:pPr>
              <w:ind w:left="380"/>
              <w:spacing w:after="0" w:line="195" w:lineRule="exact"/>
              <w:rPr>
                <w:sz w:val="20"/>
                <w:szCs w:val="20"/>
                <w:color w:val="auto"/>
              </w:rPr>
            </w:pPr>
            <w:r>
              <w:rPr>
                <w:rFonts w:ascii="Arial" w:cs="Arial" w:eastAsia="Arial" w:hAnsi="Arial"/>
                <w:sz w:val="18"/>
                <w:szCs w:val="18"/>
                <w:color w:val="auto"/>
              </w:rPr>
              <w:t>To motivate executives and reward them according to the company’s relative and absolute performance and the</w:t>
            </w:r>
          </w:p>
        </w:tc>
      </w:tr>
      <w:tr>
        <w:trPr>
          <w:trHeight w:val="217"/>
        </w:trPr>
        <w:tc>
          <w:tcPr>
            <w:tcW w:w="1060" w:type="dxa"/>
            <w:vAlign w:val="bottom"/>
          </w:tcPr>
          <w:p>
            <w:pPr>
              <w:spacing w:after="0"/>
              <w:rPr>
                <w:sz w:val="18"/>
                <w:szCs w:val="18"/>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executive’s individual performance</w:t>
            </w:r>
          </w:p>
        </w:tc>
      </w:tr>
      <w:tr>
        <w:trPr>
          <w:trHeight w:val="402"/>
        </w:trPr>
        <w:tc>
          <w:tcPr>
            <w:tcW w:w="1060" w:type="dxa"/>
            <w:vAlign w:val="bottom"/>
          </w:tcPr>
          <w:p>
            <w:pPr>
              <w:spacing w:after="0"/>
              <w:rPr>
                <w:sz w:val="20"/>
                <w:szCs w:val="20"/>
                <w:color w:val="auto"/>
              </w:rPr>
            </w:pPr>
            <w:r>
              <w:rPr>
                <w:rFonts w:ascii="Arial" w:cs="Arial" w:eastAsia="Arial" w:hAnsi="Arial"/>
                <w:sz w:val="18"/>
                <w:szCs w:val="18"/>
                <w:color w:val="auto"/>
              </w:rPr>
              <w:t>Strategy</w:t>
            </w: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Determined primarily on the basis of one-year and three-year company performance on certain measures (revenue</w:t>
            </w:r>
          </w:p>
        </w:tc>
      </w:tr>
      <w:tr>
        <w:trPr>
          <w:trHeight w:val="205"/>
        </w:trPr>
        <w:tc>
          <w:tcPr>
            <w:tcW w:w="1060" w:type="dxa"/>
            <w:vAlign w:val="bottom"/>
          </w:tcPr>
          <w:p>
            <w:pPr>
              <w:spacing w:after="0"/>
              <w:rPr>
                <w:sz w:val="17"/>
                <w:szCs w:val="17"/>
                <w:color w:val="auto"/>
              </w:rPr>
            </w:pPr>
          </w:p>
        </w:tc>
        <w:tc>
          <w:tcPr>
            <w:tcW w:w="9980" w:type="dxa"/>
            <w:vAlign w:val="bottom"/>
            <w:gridSpan w:val="2"/>
          </w:tcPr>
          <w:p>
            <w:pPr>
              <w:ind w:left="380"/>
              <w:spacing w:after="0" w:line="205" w:lineRule="exact"/>
              <w:rPr>
                <w:sz w:val="20"/>
                <w:szCs w:val="20"/>
                <w:color w:val="auto"/>
              </w:rPr>
            </w:pPr>
            <w:r>
              <w:rPr>
                <w:rFonts w:ascii="Arial" w:cs="Arial" w:eastAsia="Arial" w:hAnsi="Arial"/>
                <w:sz w:val="18"/>
                <w:szCs w:val="18"/>
                <w:color w:val="auto"/>
              </w:rPr>
              <w:t>growth percent, operating margin and total shareholder return</w:t>
            </w:r>
            <w:r>
              <w:rPr>
                <w:rFonts w:ascii="Arial" w:cs="Arial" w:eastAsia="Arial" w:hAnsi="Arial"/>
                <w:sz w:val="15"/>
                <w:szCs w:val="15"/>
                <w:color w:val="auto"/>
              </w:rPr>
              <w:t>1</w:t>
            </w:r>
            <w:r>
              <w:rPr>
                <w:rFonts w:ascii="Arial" w:cs="Arial" w:eastAsia="Arial" w:hAnsi="Arial"/>
                <w:sz w:val="18"/>
                <w:szCs w:val="18"/>
                <w:color w:val="auto"/>
              </w:rPr>
              <w:t>) as compared with competitors and on our strategic</w:t>
            </w:r>
          </w:p>
        </w:tc>
      </w:tr>
      <w:tr>
        <w:trPr>
          <w:trHeight w:val="203"/>
        </w:trPr>
        <w:tc>
          <w:tcPr>
            <w:tcW w:w="1060" w:type="dxa"/>
            <w:vAlign w:val="bottom"/>
          </w:tcPr>
          <w:p>
            <w:pPr>
              <w:spacing w:after="0"/>
              <w:rPr>
                <w:sz w:val="17"/>
                <w:szCs w:val="17"/>
                <w:color w:val="auto"/>
              </w:rPr>
            </w:pPr>
          </w:p>
        </w:tc>
        <w:tc>
          <w:tcPr>
            <w:tcW w:w="99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progress in key markets and with customers. These factors have been chosen to reflect our near-term financial</w:t>
            </w:r>
          </w:p>
        </w:tc>
      </w:tr>
      <w:tr>
        <w:trPr>
          <w:trHeight w:val="217"/>
        </w:trPr>
        <w:tc>
          <w:tcPr>
            <w:tcW w:w="1060" w:type="dxa"/>
            <w:vAlign w:val="bottom"/>
          </w:tcPr>
          <w:p>
            <w:pPr>
              <w:spacing w:after="0"/>
              <w:rPr>
                <w:sz w:val="18"/>
                <w:szCs w:val="18"/>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performance as well as our progress in building long-term shareholder value.</w:t>
            </w:r>
          </w:p>
        </w:tc>
      </w:tr>
      <w:tr>
        <w:trPr>
          <w:trHeight w:val="431"/>
        </w:trPr>
        <w:tc>
          <w:tcPr>
            <w:tcW w:w="1060" w:type="dxa"/>
            <w:vAlign w:val="bottom"/>
          </w:tcPr>
          <w:p>
            <w:pPr>
              <w:spacing w:after="0"/>
              <w:rPr>
                <w:sz w:val="24"/>
                <w:szCs w:val="24"/>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The committee aims to pay total cash compensation (base salary, profit sharing and bonus) appropriately above median</w:t>
            </w:r>
          </w:p>
        </w:tc>
      </w:tr>
      <w:tr>
        <w:trPr>
          <w:trHeight w:val="203"/>
        </w:trPr>
        <w:tc>
          <w:tcPr>
            <w:tcW w:w="1060" w:type="dxa"/>
            <w:vAlign w:val="bottom"/>
          </w:tcPr>
          <w:p>
            <w:pPr>
              <w:spacing w:after="0"/>
              <w:rPr>
                <w:sz w:val="17"/>
                <w:szCs w:val="17"/>
                <w:color w:val="auto"/>
              </w:rPr>
            </w:pPr>
          </w:p>
        </w:tc>
        <w:tc>
          <w:tcPr>
            <w:tcW w:w="99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if company performance is above that of competitors, and pay total cash compensation appropriately below the median</w:t>
            </w:r>
          </w:p>
        </w:tc>
      </w:tr>
      <w:tr>
        <w:trPr>
          <w:trHeight w:val="217"/>
        </w:trPr>
        <w:tc>
          <w:tcPr>
            <w:tcW w:w="1060" w:type="dxa"/>
            <w:vAlign w:val="bottom"/>
          </w:tcPr>
          <w:p>
            <w:pPr>
              <w:spacing w:after="0"/>
              <w:rPr>
                <w:sz w:val="18"/>
                <w:szCs w:val="18"/>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if company performance is below competitors.</w:t>
            </w:r>
          </w:p>
        </w:tc>
      </w:tr>
      <w:tr>
        <w:trPr>
          <w:trHeight w:val="431"/>
        </w:trPr>
        <w:tc>
          <w:tcPr>
            <w:tcW w:w="1060" w:type="dxa"/>
            <w:vAlign w:val="bottom"/>
          </w:tcPr>
          <w:p>
            <w:pPr>
              <w:spacing w:after="0"/>
              <w:rPr>
                <w:sz w:val="24"/>
                <w:szCs w:val="24"/>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The committee does not rely on formulas or performance targets or thresholds. Instead, it uses its judgment based on its</w:t>
            </w:r>
          </w:p>
        </w:tc>
      </w:tr>
      <w:tr>
        <w:trPr>
          <w:trHeight w:val="217"/>
        </w:trPr>
        <w:tc>
          <w:tcPr>
            <w:tcW w:w="1060" w:type="dxa"/>
            <w:vAlign w:val="bottom"/>
          </w:tcPr>
          <w:p>
            <w:pPr>
              <w:spacing w:after="0"/>
              <w:rPr>
                <w:sz w:val="18"/>
                <w:szCs w:val="18"/>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assessment of the factors described above.</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Terms</w:t>
            </w: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Determined by the committee and paid in a single payment after the performance year</w:t>
            </w:r>
          </w:p>
        </w:tc>
      </w:tr>
      <w:tr>
        <w:trPr>
          <w:trHeight w:val="378"/>
        </w:trPr>
        <w:tc>
          <w:tcPr>
            <w:tcW w:w="11040" w:type="dxa"/>
            <w:vAlign w:val="bottom"/>
            <w:gridSpan w:val="3"/>
          </w:tcPr>
          <w:p>
            <w:pPr>
              <w:spacing w:after="0"/>
              <w:rPr>
                <w:sz w:val="20"/>
                <w:szCs w:val="20"/>
                <w:color w:val="auto"/>
              </w:rPr>
            </w:pPr>
            <w:r>
              <w:rPr>
                <w:rFonts w:ascii="Arial" w:cs="Arial" w:eastAsia="Arial" w:hAnsi="Arial"/>
                <w:sz w:val="18"/>
                <w:szCs w:val="18"/>
                <w:i w:val="1"/>
                <w:iCs w:val="1"/>
                <w:color w:val="auto"/>
              </w:rPr>
              <w:t>Long-term compensation, awarded in equity</w:t>
            </w:r>
          </w:p>
        </w:tc>
      </w:tr>
      <w:tr>
        <w:trPr>
          <w:trHeight w:val="412"/>
        </w:trPr>
        <w:tc>
          <w:tcPr>
            <w:tcW w:w="3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Stock Options and Restricted Stock Units</w:t>
            </w:r>
          </w:p>
        </w:tc>
        <w:tc>
          <w:tcPr>
            <w:tcW w:w="7540" w:type="dxa"/>
            <w:vAlign w:val="bottom"/>
            <w:tcBorders>
              <w:bottom w:val="single" w:sz="8" w:color="auto"/>
            </w:tcBorders>
          </w:tcPr>
          <w:p>
            <w:pPr>
              <w:spacing w:after="0"/>
              <w:rPr>
                <w:sz w:val="24"/>
                <w:szCs w:val="24"/>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Purpose</w:t>
            </w: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Alignment with shareholders; long-term focus; retention, particularly with respect to restricted stock units</w:t>
            </w:r>
          </w:p>
        </w:tc>
      </w:tr>
      <w:tr>
        <w:trPr>
          <w:trHeight w:val="403"/>
        </w:trPr>
        <w:tc>
          <w:tcPr>
            <w:tcW w:w="1060" w:type="dxa"/>
            <w:vAlign w:val="bottom"/>
          </w:tcPr>
          <w:p>
            <w:pPr>
              <w:spacing w:after="0"/>
              <w:rPr>
                <w:sz w:val="20"/>
                <w:szCs w:val="20"/>
                <w:color w:val="auto"/>
              </w:rPr>
            </w:pPr>
            <w:r>
              <w:rPr>
                <w:rFonts w:ascii="Arial" w:cs="Arial" w:eastAsia="Arial" w:hAnsi="Arial"/>
                <w:sz w:val="18"/>
                <w:szCs w:val="18"/>
                <w:color w:val="auto"/>
              </w:rPr>
              <w:t>Strategy</w:t>
            </w: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We grant a combination of non-qualified stock options and restricted stock units, generally targeted at the median level</w:t>
            </w:r>
          </w:p>
        </w:tc>
      </w:tr>
      <w:tr>
        <w:trPr>
          <w:trHeight w:val="217"/>
        </w:trPr>
        <w:tc>
          <w:tcPr>
            <w:tcW w:w="1060" w:type="dxa"/>
            <w:vAlign w:val="bottom"/>
          </w:tcPr>
          <w:p>
            <w:pPr>
              <w:spacing w:after="0"/>
              <w:rPr>
                <w:sz w:val="18"/>
                <w:szCs w:val="18"/>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of equity compensation awarded to executives in similar positions within the Comparator Group.</w:t>
            </w:r>
          </w:p>
        </w:tc>
      </w:tr>
      <w:tr>
        <w:trPr>
          <w:trHeight w:val="404"/>
        </w:trPr>
        <w:tc>
          <w:tcPr>
            <w:tcW w:w="1060" w:type="dxa"/>
            <w:vAlign w:val="bottom"/>
          </w:tcPr>
          <w:p>
            <w:pPr>
              <w:spacing w:after="0"/>
              <w:rPr>
                <w:sz w:val="20"/>
                <w:szCs w:val="20"/>
                <w:color w:val="auto"/>
              </w:rPr>
            </w:pPr>
            <w:r>
              <w:rPr>
                <w:rFonts w:ascii="Arial" w:cs="Arial" w:eastAsia="Arial" w:hAnsi="Arial"/>
                <w:sz w:val="18"/>
                <w:szCs w:val="18"/>
                <w:color w:val="auto"/>
              </w:rPr>
              <w:t>Terms</w:t>
            </w: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The terms and conditions of stock options and restricted stock units are summarized under “Outstanding equity awards</w:t>
            </w:r>
          </w:p>
        </w:tc>
      </w:tr>
      <w:tr>
        <w:trPr>
          <w:trHeight w:val="217"/>
        </w:trPr>
        <w:tc>
          <w:tcPr>
            <w:tcW w:w="1060" w:type="dxa"/>
            <w:vAlign w:val="bottom"/>
          </w:tcPr>
          <w:p>
            <w:pPr>
              <w:spacing w:after="0"/>
              <w:rPr>
                <w:sz w:val="18"/>
                <w:szCs w:val="18"/>
                <w:color w:val="auto"/>
              </w:rPr>
            </w:pPr>
          </w:p>
        </w:tc>
        <w:tc>
          <w:tcPr>
            <w:tcW w:w="9980" w:type="dxa"/>
            <w:vAlign w:val="bottom"/>
            <w:gridSpan w:val="2"/>
          </w:tcPr>
          <w:p>
            <w:pPr>
              <w:ind w:left="380"/>
              <w:spacing w:after="0"/>
              <w:rPr>
                <w:sz w:val="20"/>
                <w:szCs w:val="20"/>
                <w:color w:val="auto"/>
              </w:rPr>
            </w:pPr>
            <w:r>
              <w:rPr>
                <w:rFonts w:ascii="Arial" w:cs="Arial" w:eastAsia="Arial" w:hAnsi="Arial"/>
                <w:sz w:val="18"/>
                <w:szCs w:val="18"/>
                <w:color w:val="auto"/>
              </w:rPr>
              <w:t>at fiscal year-end 2017.” The committee’s grant procedures are described under “Process for equity grants.”</w:t>
            </w: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Comparator group</w:t>
      </w:r>
    </w:p>
    <w:p>
      <w:pPr>
        <w:spacing w:after="0" w:line="122"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Compensation Committee considers the market level of compensation when setting the salary, bonuses and equity compensation of the executive officers.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committee sets the Comparator Group and reviews it annually. In general, the Comparator Group companies (1) are U.S.-based,</w:t>
      </w:r>
    </w:p>
    <w:p>
      <w:pPr>
        <w:ind w:left="200" w:right="80" w:firstLine="4"/>
        <w:spacing w:after="0"/>
        <w:tabs>
          <w:tab w:leader="none" w:pos="4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engage in the semiconductor business, other electronics or information technology activities or use sophisticated manufacturing processes, (3) have executive positions comparable in complexity to those of TI and (4) use forms of executive compensation comparable to TI’s.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Shown in the table below is the Comparator Group used for the compensation decisions for 2017.</w:t>
      </w:r>
    </w:p>
    <w:p>
      <w:pPr>
        <w:sectPr>
          <w:pgSz w:w="11900" w:h="16838" w:orient="portrait"/>
          <w:cols w:equalWidth="0" w:num="1">
            <w:col w:w="11240"/>
          </w:cols>
          <w:pgMar w:left="240" w:top="459" w:right="419" w:bottom="1440" w:gutter="0" w:footer="0" w:header="0"/>
        </w:sect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3M Company</w:t>
      </w:r>
    </w:p>
    <w:p>
      <w:pPr>
        <w:ind w:left="560"/>
        <w:spacing w:after="0" w:line="234" w:lineRule="auto"/>
        <w:rPr>
          <w:sz w:val="20"/>
          <w:szCs w:val="20"/>
          <w:color w:val="auto"/>
        </w:rPr>
      </w:pPr>
      <w:r>
        <w:rPr>
          <w:rFonts w:ascii="Arial" w:cs="Arial" w:eastAsia="Arial" w:hAnsi="Arial"/>
          <w:sz w:val="18"/>
          <w:szCs w:val="18"/>
          <w:color w:val="auto"/>
        </w:rPr>
        <w:t>Accenture PLC</w:t>
      </w:r>
    </w:p>
    <w:p>
      <w:pPr>
        <w:ind w:left="560"/>
        <w:spacing w:after="0" w:line="235" w:lineRule="auto"/>
        <w:rPr>
          <w:sz w:val="20"/>
          <w:szCs w:val="20"/>
          <w:color w:val="auto"/>
        </w:rPr>
      </w:pPr>
      <w:r>
        <w:rPr>
          <w:rFonts w:ascii="Arial" w:cs="Arial" w:eastAsia="Arial" w:hAnsi="Arial"/>
          <w:sz w:val="18"/>
          <w:szCs w:val="18"/>
          <w:color w:val="auto"/>
        </w:rPr>
        <w:t>Analog Devices, Inc.</w:t>
      </w:r>
    </w:p>
    <w:p>
      <w:pPr>
        <w:ind w:left="560"/>
        <w:spacing w:after="0" w:line="235" w:lineRule="auto"/>
        <w:rPr>
          <w:sz w:val="20"/>
          <w:szCs w:val="20"/>
          <w:color w:val="auto"/>
        </w:rPr>
      </w:pPr>
      <w:r>
        <w:rPr>
          <w:rFonts w:ascii="Arial" w:cs="Arial" w:eastAsia="Arial" w:hAnsi="Arial"/>
          <w:sz w:val="18"/>
          <w:szCs w:val="18"/>
          <w:color w:val="auto"/>
        </w:rPr>
        <w:t>Applied Materials, Inc.</w:t>
      </w:r>
    </w:p>
    <w:p>
      <w:pPr>
        <w:ind w:left="560"/>
        <w:spacing w:after="0" w:line="235" w:lineRule="auto"/>
        <w:rPr>
          <w:sz w:val="20"/>
          <w:szCs w:val="20"/>
          <w:color w:val="auto"/>
        </w:rPr>
      </w:pPr>
      <w:r>
        <w:rPr>
          <w:rFonts w:ascii="Arial" w:cs="Arial" w:eastAsia="Arial" w:hAnsi="Arial"/>
          <w:sz w:val="18"/>
          <w:szCs w:val="18"/>
          <w:color w:val="auto"/>
        </w:rPr>
        <w:t>Broadcom Limited</w:t>
      </w:r>
    </w:p>
    <w:p>
      <w:pPr>
        <w:ind w:left="560"/>
        <w:spacing w:after="0" w:line="235" w:lineRule="auto"/>
        <w:rPr>
          <w:sz w:val="20"/>
          <w:szCs w:val="20"/>
          <w:color w:val="auto"/>
        </w:rPr>
      </w:pPr>
      <w:r>
        <w:rPr>
          <w:rFonts w:ascii="Arial" w:cs="Arial" w:eastAsia="Arial" w:hAnsi="Arial"/>
          <w:sz w:val="18"/>
          <w:szCs w:val="18"/>
          <w:color w:val="auto"/>
        </w:rPr>
        <w:t>Cisco Systems, Inc.</w:t>
      </w:r>
    </w:p>
    <w:p>
      <w:pPr>
        <w:ind w:left="560"/>
        <w:spacing w:after="0" w:line="235" w:lineRule="auto"/>
        <w:rPr>
          <w:sz w:val="20"/>
          <w:szCs w:val="20"/>
          <w:color w:val="auto"/>
        </w:rPr>
      </w:pPr>
      <w:r>
        <w:rPr>
          <w:rFonts w:ascii="Arial" w:cs="Arial" w:eastAsia="Arial" w:hAnsi="Arial"/>
          <w:sz w:val="18"/>
          <w:szCs w:val="18"/>
          <w:color w:val="auto"/>
        </w:rPr>
        <w:t>Corning Incorporated</w:t>
      </w:r>
    </w:p>
    <w:p>
      <w:pPr>
        <w:ind w:left="560"/>
        <w:spacing w:after="0"/>
        <w:rPr>
          <w:sz w:val="20"/>
          <w:szCs w:val="20"/>
          <w:color w:val="auto"/>
        </w:rPr>
      </w:pPr>
      <w:r>
        <w:rPr>
          <w:rFonts w:ascii="Arial" w:cs="Arial" w:eastAsia="Arial" w:hAnsi="Arial"/>
          <w:sz w:val="17"/>
          <w:szCs w:val="17"/>
          <w:color w:val="auto"/>
        </w:rPr>
        <w:t>DXC Technology Company *</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Emerson Electric Co.</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234" w:lineRule="auto"/>
        <w:rPr>
          <w:sz w:val="20"/>
          <w:szCs w:val="20"/>
          <w:color w:val="auto"/>
        </w:rPr>
      </w:pPr>
      <w:r>
        <w:rPr>
          <w:rFonts w:ascii="Arial" w:cs="Arial" w:eastAsia="Arial" w:hAnsi="Arial"/>
          <w:sz w:val="18"/>
          <w:szCs w:val="18"/>
          <w:color w:val="auto"/>
        </w:rPr>
        <w:t>Intel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Medtronic Public Limited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Motorola Solutions, Inc.</w:t>
      </w:r>
    </w:p>
    <w:p>
      <w:pPr>
        <w:spacing w:after="0" w:line="234" w:lineRule="auto"/>
        <w:rPr>
          <w:sz w:val="20"/>
          <w:szCs w:val="20"/>
          <w:color w:val="auto"/>
        </w:rPr>
      </w:pPr>
      <w:r>
        <w:rPr>
          <w:rFonts w:ascii="Arial" w:cs="Arial" w:eastAsia="Arial" w:hAnsi="Arial"/>
          <w:sz w:val="18"/>
          <w:szCs w:val="18"/>
          <w:color w:val="auto"/>
        </w:rPr>
        <w:t>QUALCOMM Incorporated</w:t>
      </w:r>
    </w:p>
    <w:p>
      <w:pPr>
        <w:spacing w:after="0" w:line="235" w:lineRule="auto"/>
        <w:rPr>
          <w:sz w:val="20"/>
          <w:szCs w:val="20"/>
          <w:color w:val="auto"/>
        </w:rPr>
      </w:pPr>
      <w:r>
        <w:rPr>
          <w:rFonts w:ascii="Arial" w:cs="Arial" w:eastAsia="Arial" w:hAnsi="Arial"/>
          <w:sz w:val="18"/>
          <w:szCs w:val="18"/>
          <w:color w:val="auto"/>
        </w:rPr>
        <w:t>TE Connectivity Ltd.</w:t>
      </w:r>
    </w:p>
    <w:p>
      <w:pPr>
        <w:spacing w:after="0" w:line="235" w:lineRule="auto"/>
        <w:rPr>
          <w:sz w:val="20"/>
          <w:szCs w:val="20"/>
          <w:color w:val="auto"/>
        </w:rPr>
      </w:pPr>
      <w:r>
        <w:rPr>
          <w:rFonts w:ascii="Arial" w:cs="Arial" w:eastAsia="Arial" w:hAnsi="Arial"/>
          <w:sz w:val="18"/>
          <w:szCs w:val="18"/>
          <w:color w:val="auto"/>
        </w:rPr>
        <w:t>Thermo Fisher Scientific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402" w:lineRule="exact"/>
        <w:rPr>
          <w:sz w:val="20"/>
          <w:szCs w:val="20"/>
          <w:color w:val="auto"/>
        </w:rPr>
      </w:pPr>
    </w:p>
    <w:p>
      <w:pPr>
        <w:sectPr>
          <w:pgSz w:w="11900" w:h="16838" w:orient="portrait"/>
          <w:cols w:equalWidth="0" w:num="2">
            <w:col w:w="3600" w:space="720"/>
            <w:col w:w="6920"/>
          </w:cols>
          <w:pgMar w:left="240" w:top="459" w:right="419" w:bottom="1440" w:gutter="0" w:footer="0" w:header="0"/>
          <w:type w:val="continuous"/>
        </w:sectPr>
      </w:pPr>
    </w:p>
    <w:p>
      <w:pPr>
        <w:spacing w:after="0" w:line="187" w:lineRule="exact"/>
        <w:rPr>
          <w:sz w:val="20"/>
          <w:szCs w:val="20"/>
          <w:color w:val="auto"/>
        </w:rPr>
      </w:pPr>
    </w:p>
    <w:p>
      <w:pPr>
        <w:ind w:left="860" w:hanging="224"/>
        <w:spacing w:after="0"/>
        <w:tabs>
          <w:tab w:leader="none" w:pos="8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formerly Computer Sciences Corporation</w:t>
      </w:r>
    </w:p>
    <w:p>
      <w:pPr>
        <w:spacing w:after="0" w:line="184" w:lineRule="exact"/>
        <w:rPr>
          <w:rFonts w:ascii="Arial" w:cs="Arial" w:eastAsia="Arial" w:hAnsi="Arial"/>
          <w:sz w:val="18"/>
          <w:szCs w:val="18"/>
          <w:color w:val="auto"/>
        </w:rPr>
      </w:pPr>
    </w:p>
    <w:p>
      <w:pPr>
        <w:ind w:left="420" w:right="40" w:hanging="216"/>
        <w:spacing w:after="0"/>
        <w:rPr>
          <w:rFonts w:ascii="Arial" w:cs="Arial" w:eastAsia="Arial" w:hAnsi="Arial"/>
          <w:sz w:val="18"/>
          <w:szCs w:val="18"/>
          <w:color w:val="auto"/>
        </w:rPr>
      </w:pPr>
      <w:r>
        <w:rPr>
          <w:rFonts w:ascii="Arial" w:cs="Arial" w:eastAsia="Arial" w:hAnsi="Arial"/>
          <w:sz w:val="18"/>
          <w:szCs w:val="18"/>
          <w:color w:val="auto"/>
        </w:rPr>
        <w:t>1 Total shareholder return refers to the percentage change in the value of a shareholder’s investment in a company over the relevant time period, as determined by dividends paid and the change in the company’s share price during the period. See notes to the Performance summary table under “Analysis of compensation determinations –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-427355</wp:posOffset>
            </wp:positionV>
            <wp:extent cx="694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0"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40"/>
          </w:cols>
          <w:pgMar w:left="240" w:top="459" w:right="4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The committee set the Comparator Group in July 2016 for the base salary and equity compensation decisions it made in January 2017. For a discussion of the factors considered by the committee in setting the Comparator Group in July 2016, please see “Comparator group” on pages 21-22 of the company’s 2017 proxy statement.</w:t>
      </w:r>
    </w:p>
    <w:p>
      <w:pPr>
        <w:spacing w:after="0" w:line="20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In July 2017, the committee conducted its regular review of the Comparator Group in terms of industry, revenue and market capitalization. With the advice of its compensation consultant, the committee decided to make no change to the group. Accordingly, it used the same Comparator Group for the bonus decisions in January 2018 relating to 2017 performance as it used to set salary and equity compensation in January 2017. The table below compares the Comparator Group to TI in terms of revenue and market capitalization.</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480" w:type="dxa"/>
            <w:vAlign w:val="bottom"/>
          </w:tcPr>
          <w:p>
            <w:pPr>
              <w:jc w:val="right"/>
              <w:ind w:right="332"/>
              <w:spacing w:after="0"/>
              <w:rPr>
                <w:sz w:val="20"/>
                <w:szCs w:val="20"/>
                <w:color w:val="auto"/>
              </w:rPr>
            </w:pPr>
            <w:r>
              <w:rPr>
                <w:rFonts w:ascii="Arial" w:cs="Arial" w:eastAsia="Arial" w:hAnsi="Arial"/>
                <w:sz w:val="14"/>
                <w:szCs w:val="14"/>
                <w:b w:val="1"/>
                <w:bCs w:val="1"/>
                <w:color w:val="auto"/>
              </w:rPr>
              <w:t>Revenue</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Market Cap</w:t>
            </w:r>
          </w:p>
        </w:tc>
      </w:tr>
      <w:tr>
        <w:trPr>
          <w:trHeight w:val="189"/>
        </w:trPr>
        <w:tc>
          <w:tcPr>
            <w:tcW w:w="83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1480" w:type="dxa"/>
            <w:vAlign w:val="bottom"/>
          </w:tcPr>
          <w:p>
            <w:pPr>
              <w:jc w:val="right"/>
              <w:ind w:right="252"/>
              <w:spacing w:after="0"/>
              <w:rPr>
                <w:sz w:val="20"/>
                <w:szCs w:val="20"/>
                <w:color w:val="auto"/>
              </w:rPr>
            </w:pPr>
            <w:r>
              <w:rPr>
                <w:rFonts w:ascii="Arial" w:cs="Arial" w:eastAsia="Arial" w:hAnsi="Arial"/>
                <w:sz w:val="14"/>
                <w:szCs w:val="14"/>
                <w:b w:val="1"/>
                <w:bCs w:val="1"/>
                <w:color w:val="auto"/>
              </w:rPr>
              <w:t>($ Billion) *</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 Billion) *</w:t>
            </w:r>
          </w:p>
        </w:tc>
      </w:tr>
      <w:tr>
        <w:trPr>
          <w:trHeight w:val="196"/>
        </w:trPr>
        <w:tc>
          <w:tcPr>
            <w:tcW w:w="20" w:type="dxa"/>
            <w:vAlign w:val="bottom"/>
          </w:tcPr>
          <w:p>
            <w:pPr>
              <w:spacing w:after="0"/>
              <w:rPr>
                <w:sz w:val="17"/>
                <w:szCs w:val="17"/>
                <w:color w:val="auto"/>
              </w:rPr>
            </w:pPr>
          </w:p>
        </w:tc>
        <w:tc>
          <w:tcPr>
            <w:tcW w:w="8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Intel Corporation</w:t>
            </w:r>
          </w:p>
        </w:tc>
        <w:tc>
          <w:tcPr>
            <w:tcW w:w="1480" w:type="dxa"/>
            <w:vAlign w:val="bottom"/>
            <w:tcBorders>
              <w:top w:val="single" w:sz="8" w:color="auto"/>
            </w:tcBorders>
            <w:shd w:val="clear" w:color="auto" w:fill="CCEEFF"/>
          </w:tcPr>
          <w:p>
            <w:pPr>
              <w:jc w:val="right"/>
              <w:ind w:right="352"/>
              <w:spacing w:after="0" w:line="196" w:lineRule="exact"/>
              <w:rPr>
                <w:sz w:val="20"/>
                <w:szCs w:val="20"/>
                <w:color w:val="auto"/>
              </w:rPr>
            </w:pPr>
            <w:r>
              <w:rPr>
                <w:rFonts w:ascii="Arial" w:cs="Arial" w:eastAsia="Arial" w:hAnsi="Arial"/>
                <w:sz w:val="18"/>
                <w:szCs w:val="18"/>
                <w:color w:val="auto"/>
              </w:rPr>
              <w:t>62.1</w:t>
            </w:r>
          </w:p>
        </w:tc>
        <w:tc>
          <w:tcPr>
            <w:tcW w:w="1180" w:type="dxa"/>
            <w:vAlign w:val="bottom"/>
            <w:tcBorders>
              <w:top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219.3</w:t>
            </w: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Cisco Systems, Inc.</w:t>
            </w:r>
          </w:p>
        </w:tc>
        <w:tc>
          <w:tcPr>
            <w:tcW w:w="14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47.8</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192.1</w:t>
            </w: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Honeywell International Inc.</w:t>
            </w:r>
          </w:p>
        </w:tc>
        <w:tc>
          <w:tcPr>
            <w:tcW w:w="148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39.7</w:t>
            </w:r>
          </w:p>
        </w:tc>
        <w:tc>
          <w:tcPr>
            <w:tcW w:w="11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116.3</w:t>
            </w: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Accenture PLC</w:t>
            </w:r>
          </w:p>
        </w:tc>
        <w:tc>
          <w:tcPr>
            <w:tcW w:w="14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35.9</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94.6</w:t>
            </w: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3M Company</w:t>
            </w:r>
          </w:p>
        </w:tc>
        <w:tc>
          <w:tcPr>
            <w:tcW w:w="148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31.0</w:t>
            </w:r>
          </w:p>
        </w:tc>
        <w:tc>
          <w:tcPr>
            <w:tcW w:w="11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140.3</w:t>
            </w: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Medtronic Public Limited Company</w:t>
            </w:r>
          </w:p>
        </w:tc>
        <w:tc>
          <w:tcPr>
            <w:tcW w:w="14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29.6</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111.3</w:t>
            </w: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QUALCOMM Corporation</w:t>
            </w:r>
          </w:p>
        </w:tc>
        <w:tc>
          <w:tcPr>
            <w:tcW w:w="148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22.3</w:t>
            </w:r>
          </w:p>
        </w:tc>
        <w:tc>
          <w:tcPr>
            <w:tcW w:w="11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96.1</w:t>
            </w: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Thermo Fisher Scientific Inc.</w:t>
            </w:r>
          </w:p>
        </w:tc>
        <w:tc>
          <w:tcPr>
            <w:tcW w:w="14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19.8</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77.0</w:t>
            </w: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Western Digital Corporation</w:t>
            </w:r>
          </w:p>
        </w:tc>
        <w:tc>
          <w:tcPr>
            <w:tcW w:w="148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19.6</w:t>
            </w:r>
          </w:p>
        </w:tc>
        <w:tc>
          <w:tcPr>
            <w:tcW w:w="11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24.0</w:t>
            </w: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Broadcom Limited</w:t>
            </w:r>
          </w:p>
        </w:tc>
        <w:tc>
          <w:tcPr>
            <w:tcW w:w="14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17.6</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108.9</w:t>
            </w: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DXC Technology Company</w:t>
            </w:r>
          </w:p>
        </w:tc>
        <w:tc>
          <w:tcPr>
            <w:tcW w:w="148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15.9</w:t>
            </w:r>
          </w:p>
        </w:tc>
        <w:tc>
          <w:tcPr>
            <w:tcW w:w="11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27.1</w:t>
            </w: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Emerson Electric Co.</w:t>
            </w:r>
          </w:p>
        </w:tc>
        <w:tc>
          <w:tcPr>
            <w:tcW w:w="14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15.3</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45.4</w:t>
            </w: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Applied Materials, Inc.</w:t>
            </w:r>
          </w:p>
        </w:tc>
        <w:tc>
          <w:tcPr>
            <w:tcW w:w="148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14.5</w:t>
            </w:r>
          </w:p>
        </w:tc>
        <w:tc>
          <w:tcPr>
            <w:tcW w:w="11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56.0</w:t>
            </w: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TE Connectivity Ltd.</w:t>
            </w:r>
          </w:p>
        </w:tc>
        <w:tc>
          <w:tcPr>
            <w:tcW w:w="14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13.1</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33.5</w:t>
            </w: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Corning Incorporated</w:t>
            </w:r>
          </w:p>
        </w:tc>
        <w:tc>
          <w:tcPr>
            <w:tcW w:w="148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10.0</w:t>
            </w:r>
          </w:p>
        </w:tc>
        <w:tc>
          <w:tcPr>
            <w:tcW w:w="11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28.3</w:t>
            </w: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Motorola Solutions, Inc.</w:t>
            </w:r>
          </w:p>
        </w:tc>
        <w:tc>
          <w:tcPr>
            <w:tcW w:w="14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6.3</w:t>
            </w:r>
          </w:p>
        </w:tc>
        <w:tc>
          <w:tcPr>
            <w:tcW w:w="11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14.7</w:t>
            </w: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w:t>
            </w:r>
          </w:p>
        </w:tc>
        <w:tc>
          <w:tcPr>
            <w:tcW w:w="14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5.1</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33.3</w:t>
            </w:r>
          </w:p>
        </w:tc>
      </w:tr>
      <w:tr>
        <w:trPr>
          <w:trHeight w:val="80"/>
        </w:trPr>
        <w:tc>
          <w:tcPr>
            <w:tcW w:w="20" w:type="dxa"/>
            <w:vAlign w:val="bottom"/>
          </w:tcPr>
          <w:p>
            <w:pPr>
              <w:spacing w:after="0"/>
              <w:rPr>
                <w:sz w:val="6"/>
                <w:szCs w:val="6"/>
                <w:color w:val="auto"/>
              </w:rPr>
            </w:pPr>
          </w:p>
        </w:tc>
        <w:tc>
          <w:tcPr>
            <w:tcW w:w="83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r>
      <w:tr>
        <w:trPr>
          <w:trHeight w:val="277"/>
        </w:trPr>
        <w:tc>
          <w:tcPr>
            <w:tcW w:w="8380" w:type="dxa"/>
            <w:vAlign w:val="bottom"/>
            <w:gridSpan w:val="2"/>
          </w:tcPr>
          <w:p>
            <w:pPr>
              <w:spacing w:after="0"/>
              <w:rPr>
                <w:sz w:val="20"/>
                <w:szCs w:val="20"/>
                <w:color w:val="auto"/>
              </w:rPr>
            </w:pPr>
            <w:r>
              <w:rPr>
                <w:rFonts w:ascii="Arial" w:cs="Arial" w:eastAsia="Arial" w:hAnsi="Arial"/>
                <w:sz w:val="18"/>
                <w:szCs w:val="18"/>
                <w:color w:val="auto"/>
              </w:rPr>
              <w:t>Median</w:t>
            </w: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19.7</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85.8</w:t>
            </w: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Texas Instruments Incorporated</w:t>
            </w:r>
          </w:p>
        </w:tc>
        <w:tc>
          <w:tcPr>
            <w:tcW w:w="148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14.6</w:t>
            </w:r>
          </w:p>
        </w:tc>
        <w:tc>
          <w:tcPr>
            <w:tcW w:w="11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104.0</w:t>
            </w:r>
          </w:p>
        </w:tc>
      </w:tr>
      <w:tr>
        <w:trPr>
          <w:trHeight w:val="338"/>
        </w:trPr>
        <w:tc>
          <w:tcPr>
            <w:tcW w:w="8380" w:type="dxa"/>
            <w:vAlign w:val="bottom"/>
            <w:gridSpan w:val="2"/>
          </w:tcPr>
          <w:p>
            <w:pPr>
              <w:spacing w:after="0"/>
              <w:rPr>
                <w:sz w:val="20"/>
                <w:szCs w:val="20"/>
                <w:color w:val="auto"/>
              </w:rPr>
            </w:pPr>
            <w:r>
              <w:rPr>
                <w:rFonts w:ascii="Arial" w:cs="Arial" w:eastAsia="Arial" w:hAnsi="Arial"/>
                <w:sz w:val="18"/>
                <w:szCs w:val="18"/>
                <w:color w:val="auto"/>
              </w:rPr>
              <w:t>*  Trailing four-quarter revenue and market capitalization is as reported by Thomson Reuters on January</w:t>
            </w:r>
          </w:p>
        </w:tc>
        <w:tc>
          <w:tcPr>
            <w:tcW w:w="1480" w:type="dxa"/>
            <w:vAlign w:val="bottom"/>
          </w:tcPr>
          <w:p>
            <w:pPr>
              <w:jc w:val="right"/>
              <w:ind w:right="692"/>
              <w:spacing w:after="0"/>
              <w:rPr>
                <w:sz w:val="20"/>
                <w:szCs w:val="20"/>
                <w:color w:val="auto"/>
              </w:rPr>
            </w:pPr>
            <w:r>
              <w:rPr>
                <w:rFonts w:ascii="Arial" w:cs="Arial" w:eastAsia="Arial" w:hAnsi="Arial"/>
                <w:sz w:val="18"/>
                <w:szCs w:val="18"/>
                <w:color w:val="auto"/>
              </w:rPr>
              <w:t>3, 2018.</w:t>
            </w:r>
          </w:p>
        </w:tc>
        <w:tc>
          <w:tcPr>
            <w:tcW w:w="1180" w:type="dxa"/>
            <w:vAlign w:val="bottom"/>
          </w:tcPr>
          <w:p>
            <w:pPr>
              <w:spacing w:after="0"/>
              <w:rPr>
                <w:sz w:val="24"/>
                <w:szCs w:val="24"/>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Analysis of compensation determinations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Total compensation</w:t>
      </w:r>
    </w:p>
    <w:p>
      <w:pPr>
        <w:spacing w:after="0" w:line="1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208" w:lineRule="exact"/>
        <w:rPr>
          <w:sz w:val="20"/>
          <w:szCs w:val="20"/>
          <w:color w:val="auto"/>
        </w:rPr>
      </w:pPr>
    </w:p>
    <w:p>
      <w:pPr>
        <w:ind w:left="200" w:right="240"/>
        <w:spacing w:after="0" w:line="234" w:lineRule="auto"/>
        <w:rPr>
          <w:sz w:val="20"/>
          <w:szCs w:val="20"/>
          <w:color w:val="auto"/>
        </w:rPr>
      </w:pPr>
      <w:r>
        <w:rPr>
          <w:rFonts w:ascii="Arial" w:cs="Arial" w:eastAsia="Arial" w:hAnsi="Arial"/>
          <w:sz w:val="18"/>
          <w:szCs w:val="18"/>
          <w:color w:val="auto"/>
        </w:rPr>
        <w:t>Mr. Rafael Lizardi, who is our current chief financial officer, became an executive officer effective February 1, 2017. Because he was not an executive officer when base salary and equity compensation determinations were made in January 2017, these components of</w:t>
      </w:r>
    </w:p>
    <w:p>
      <w:pPr>
        <w:spacing w:after="0" w:line="2"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Mr. Lizardi’s compensation were reviewed with the compensation committee but were set by management and, therefore, are not included in the following analysis of the committee’s process.</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21</w:t>
            </w:r>
          </w:p>
        </w:tc>
      </w:tr>
    </w:tbl>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Base salary</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committee set the 2017 rate of base salary for the following named executive officers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295"/>
              <w:spacing w:after="0"/>
              <w:rPr>
                <w:sz w:val="20"/>
                <w:szCs w:val="20"/>
                <w:color w:val="auto"/>
              </w:rPr>
            </w:pPr>
            <w:r>
              <w:rPr>
                <w:rFonts w:ascii="Arial" w:cs="Arial" w:eastAsia="Arial" w:hAnsi="Arial"/>
                <w:sz w:val="14"/>
                <w:szCs w:val="14"/>
                <w:b w:val="1"/>
                <w:bCs w:val="1"/>
                <w:color w:val="auto"/>
              </w:rPr>
              <w:t>Change from</w:t>
            </w:r>
          </w:p>
        </w:tc>
      </w:tr>
      <w:tr>
        <w:trPr>
          <w:trHeight w:val="189"/>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4760" w:type="dxa"/>
            <w:vAlign w:val="bottom"/>
            <w:gridSpan w:val="2"/>
          </w:tcPr>
          <w:p>
            <w:pPr>
              <w:ind w:left="3140"/>
              <w:spacing w:after="0"/>
              <w:rPr>
                <w:sz w:val="20"/>
                <w:szCs w:val="20"/>
                <w:color w:val="auto"/>
              </w:rPr>
            </w:pPr>
            <w:r>
              <w:rPr>
                <w:rFonts w:ascii="Arial" w:cs="Arial" w:eastAsia="Arial" w:hAnsi="Arial"/>
                <w:sz w:val="14"/>
                <w:szCs w:val="14"/>
                <w:b w:val="1"/>
                <w:bCs w:val="1"/>
                <w:color w:val="auto"/>
              </w:rPr>
              <w:t>2017 Annual Rate</w:t>
            </w:r>
          </w:p>
        </w:tc>
        <w:tc>
          <w:tcPr>
            <w:tcW w:w="18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2016 Annual Rate</w:t>
            </w:r>
          </w:p>
        </w:tc>
      </w:tr>
      <w:tr>
        <w:trPr>
          <w:trHeight w:val="196"/>
        </w:trPr>
        <w:tc>
          <w:tcPr>
            <w:tcW w:w="20" w:type="dxa"/>
            <w:vAlign w:val="bottom"/>
          </w:tcPr>
          <w:p>
            <w:pPr>
              <w:spacing w:after="0"/>
              <w:rPr>
                <w:sz w:val="17"/>
                <w:szCs w:val="17"/>
                <w:color w:val="auto"/>
              </w:rPr>
            </w:pPr>
          </w:p>
        </w:tc>
        <w:tc>
          <w:tcPr>
            <w:tcW w:w="4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 K. Templeton</w:t>
            </w:r>
          </w:p>
        </w:tc>
        <w:tc>
          <w:tcPr>
            <w:tcW w:w="3380" w:type="dxa"/>
            <w:vAlign w:val="bottom"/>
            <w:tcBorders>
              <w:top w:val="single" w:sz="8" w:color="auto"/>
            </w:tcBorders>
            <w:shd w:val="clear" w:color="auto" w:fill="CCEEFF"/>
          </w:tcPr>
          <w:p>
            <w:pPr>
              <w:ind w:left="312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1,190,000</w:t>
            </w:r>
          </w:p>
        </w:tc>
        <w:tc>
          <w:tcPr>
            <w:tcW w:w="1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K. P. March</w:t>
            </w:r>
          </w:p>
        </w:tc>
        <w:tc>
          <w:tcPr>
            <w:tcW w:w="3380" w:type="dxa"/>
            <w:vAlign w:val="bottom"/>
          </w:tcPr>
          <w:p>
            <w:pPr>
              <w:ind w:left="312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682,000</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w:t>
            </w:r>
          </w:p>
        </w:tc>
        <w:tc>
          <w:tcPr>
            <w:tcW w:w="3380" w:type="dxa"/>
            <w:vAlign w:val="bottom"/>
            <w:shd w:val="clear" w:color="auto" w:fill="CCEEFF"/>
          </w:tcPr>
          <w:p>
            <w:pPr>
              <w:ind w:left="31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875,000</w:t>
            </w: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K. J. Ritchie</w:t>
            </w:r>
          </w:p>
        </w:tc>
        <w:tc>
          <w:tcPr>
            <w:tcW w:w="3380" w:type="dxa"/>
            <w:vAlign w:val="bottom"/>
          </w:tcPr>
          <w:p>
            <w:pPr>
              <w:ind w:left="312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704,000</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G. Delagi</w:t>
            </w:r>
          </w:p>
        </w:tc>
        <w:tc>
          <w:tcPr>
            <w:tcW w:w="3380" w:type="dxa"/>
            <w:vAlign w:val="bottom"/>
            <w:shd w:val="clear" w:color="auto" w:fill="CCEEFF"/>
          </w:tcPr>
          <w:p>
            <w:pPr>
              <w:ind w:left="31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700,000</w:t>
            </w: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r>
    </w:tbl>
    <w:p>
      <w:pPr>
        <w:spacing w:after="0" w:line="215" w:lineRule="exact"/>
        <w:rPr>
          <w:sz w:val="20"/>
          <w:szCs w:val="20"/>
          <w:color w:val="auto"/>
        </w:rPr>
      </w:pPr>
    </w:p>
    <w:p>
      <w:pPr>
        <w:ind w:left="200" w:right="360"/>
        <w:spacing w:after="0"/>
        <w:rPr>
          <w:sz w:val="20"/>
          <w:szCs w:val="20"/>
          <w:color w:val="auto"/>
        </w:rPr>
      </w:pPr>
      <w:r>
        <w:rPr>
          <w:rFonts w:ascii="Arial" w:cs="Arial" w:eastAsia="Arial" w:hAnsi="Arial"/>
          <w:sz w:val="18"/>
          <w:szCs w:val="18"/>
          <w:color w:val="auto"/>
        </w:rPr>
        <w:t>The committee set the 2017 base-salary rate for each of the named executive officers listed above in January 2017. In keeping with its strategy, the committee targeted the annual base-salary rates to be at the estimated median level of salaries expected to be paid to similarly situated executives (considering job scope and tenure) of companies within the Comparator Group in January 2017.</w:t>
      </w:r>
    </w:p>
    <w:p>
      <w:pPr>
        <w:spacing w:after="0" w:line="203" w:lineRule="exact"/>
        <w:rPr>
          <w:sz w:val="20"/>
          <w:szCs w:val="20"/>
          <w:color w:val="auto"/>
        </w:rPr>
      </w:pPr>
    </w:p>
    <w:p>
      <w:pPr>
        <w:ind w:left="200" w:right="260"/>
        <w:spacing w:after="0" w:line="246" w:lineRule="auto"/>
        <w:rPr>
          <w:sz w:val="20"/>
          <w:szCs w:val="20"/>
          <w:color w:val="auto"/>
        </w:rPr>
      </w:pPr>
      <w:r>
        <w:rPr>
          <w:rFonts w:ascii="Arial" w:cs="Arial" w:eastAsia="Arial" w:hAnsi="Arial"/>
          <w:sz w:val="18"/>
          <w:szCs w:val="18"/>
          <w:color w:val="auto"/>
        </w:rPr>
        <w:t>The salary differences between the named executive officers were driven primarily by the market rate of pay for each officer and not the application of a formula designed to maintain a differential between the officers.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14"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In 2017, the committee awarded equity compensation to each of the named executive officers listed below. The grants are shown in the table under “Grants of plan-based awards in 2017.” The grant date fair value of the awards is reflected in that table and in the “Stock Awards” and “Option Awards” columns of the 2017 summary compensation table. The table below is provided to assist the reader in comparing the grant date fair values and number of shares for each of the years shown in the summary compensation table.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jc w:val="right"/>
              <w:ind w:right="33"/>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292"/>
              <w:spacing w:after="0"/>
              <w:rPr>
                <w:sz w:val="20"/>
                <w:szCs w:val="20"/>
                <w:color w:val="auto"/>
              </w:rPr>
            </w:pPr>
            <w:r>
              <w:rPr>
                <w:rFonts w:ascii="Arial" w:cs="Arial" w:eastAsia="Arial" w:hAnsi="Arial"/>
                <w:sz w:val="14"/>
                <w:szCs w:val="14"/>
                <w:b w:val="1"/>
                <w:bCs w:val="1"/>
                <w:color w:val="auto"/>
              </w:rPr>
              <w:t>Grant Date</w:t>
            </w:r>
          </w:p>
        </w:tc>
        <w:tc>
          <w:tcPr>
            <w:tcW w:w="1440" w:type="dxa"/>
            <w:vAlign w:val="bottom"/>
          </w:tcPr>
          <w:p>
            <w:pPr>
              <w:jc w:val="right"/>
              <w:ind w:right="152"/>
              <w:spacing w:after="0"/>
              <w:rPr>
                <w:sz w:val="20"/>
                <w:szCs w:val="20"/>
                <w:color w:val="auto"/>
              </w:rPr>
            </w:pPr>
            <w:r>
              <w:rPr>
                <w:rFonts w:ascii="Arial" w:cs="Arial" w:eastAsia="Arial" w:hAnsi="Arial"/>
                <w:sz w:val="14"/>
                <w:szCs w:val="14"/>
                <w:b w:val="1"/>
                <w:bCs w:val="1"/>
                <w:color w:val="auto"/>
              </w:rPr>
              <w:t>Stock Options</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175"/>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Year</w:t>
            </w:r>
          </w:p>
        </w:tc>
        <w:tc>
          <w:tcPr>
            <w:tcW w:w="360" w:type="dxa"/>
            <w:vAlign w:val="bottom"/>
          </w:tcPr>
          <w:p>
            <w:pPr>
              <w:spacing w:after="0"/>
              <w:rPr>
                <w:sz w:val="15"/>
                <w:szCs w:val="15"/>
                <w:color w:val="auto"/>
              </w:rPr>
            </w:pPr>
          </w:p>
        </w:tc>
        <w:tc>
          <w:tcPr>
            <w:tcW w:w="1160" w:type="dxa"/>
            <w:vAlign w:val="bottom"/>
          </w:tcPr>
          <w:p>
            <w:pPr>
              <w:jc w:val="right"/>
              <w:ind w:right="272"/>
              <w:spacing w:after="0"/>
              <w:rPr>
                <w:sz w:val="20"/>
                <w:szCs w:val="20"/>
                <w:color w:val="auto"/>
              </w:rPr>
            </w:pPr>
            <w:r>
              <w:rPr>
                <w:rFonts w:ascii="Arial" w:cs="Arial" w:eastAsia="Arial" w:hAnsi="Arial"/>
                <w:sz w:val="14"/>
                <w:szCs w:val="14"/>
                <w:b w:val="1"/>
                <w:bCs w:val="1"/>
                <w:color w:val="auto"/>
              </w:rPr>
              <w:t>Fair Value *</w:t>
            </w: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(In Shares)</w:t>
            </w:r>
          </w:p>
        </w:tc>
        <w:tc>
          <w:tcPr>
            <w:tcW w:w="1080" w:type="dxa"/>
            <w:vAlign w:val="bottom"/>
          </w:tcPr>
          <w:p>
            <w:pPr>
              <w:jc w:val="right"/>
              <w:ind w:right="13"/>
              <w:spacing w:after="0"/>
              <w:rPr>
                <w:sz w:val="20"/>
                <w:szCs w:val="20"/>
                <w:color w:val="auto"/>
              </w:rPr>
            </w:pPr>
            <w:r>
              <w:rPr>
                <w:rFonts w:ascii="Arial" w:cs="Arial" w:eastAsia="Arial" w:hAnsi="Arial"/>
                <w:sz w:val="14"/>
                <w:szCs w:val="14"/>
                <w:b w:val="1"/>
                <w:bCs w:val="1"/>
                <w:color w:val="auto"/>
              </w:rPr>
              <w:t>(In Shares)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w:t>
            </w:r>
          </w:p>
        </w:tc>
        <w:tc>
          <w:tcPr>
            <w:tcW w:w="1060" w:type="dxa"/>
            <w:vAlign w:val="bottom"/>
            <w:tcBorders>
              <w:top w:val="single" w:sz="8" w:color="auto"/>
            </w:tcBorders>
            <w:shd w:val="clear" w:color="auto" w:fill="CCEEFF"/>
          </w:tcPr>
          <w:p>
            <w:pPr>
              <w:ind w:left="440"/>
              <w:spacing w:after="0" w:line="195" w:lineRule="exact"/>
              <w:rPr>
                <w:sz w:val="20"/>
                <w:szCs w:val="20"/>
                <w:color w:val="auto"/>
              </w:rPr>
            </w:pPr>
            <w:r>
              <w:rPr>
                <w:rFonts w:ascii="Arial" w:cs="Arial" w:eastAsia="Arial" w:hAnsi="Arial"/>
                <w:sz w:val="18"/>
                <w:szCs w:val="18"/>
                <w:color w:val="auto"/>
              </w:rPr>
              <w:t>2017</w:t>
            </w:r>
          </w:p>
        </w:tc>
        <w:tc>
          <w:tcPr>
            <w:tcW w:w="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32"/>
              <w:spacing w:after="0" w:line="195" w:lineRule="exact"/>
              <w:rPr>
                <w:sz w:val="20"/>
                <w:szCs w:val="20"/>
                <w:color w:val="auto"/>
              </w:rPr>
            </w:pPr>
            <w:r>
              <w:rPr>
                <w:rFonts w:ascii="Arial" w:cs="Arial" w:eastAsia="Arial" w:hAnsi="Arial"/>
                <w:sz w:val="18"/>
                <w:szCs w:val="18"/>
                <w:color w:val="auto"/>
              </w:rPr>
              <w:t>11,000,014</w:t>
            </w:r>
          </w:p>
        </w:tc>
        <w:tc>
          <w:tcPr>
            <w:tcW w:w="1440" w:type="dxa"/>
            <w:vAlign w:val="bottom"/>
            <w:tcBorders>
              <w:top w:val="single" w:sz="8" w:color="auto"/>
            </w:tcBorders>
            <w:shd w:val="clear" w:color="auto" w:fill="CCEEFF"/>
          </w:tcPr>
          <w:p>
            <w:pPr>
              <w:jc w:val="right"/>
              <w:ind w:right="152"/>
              <w:spacing w:after="0" w:line="195" w:lineRule="exact"/>
              <w:rPr>
                <w:sz w:val="20"/>
                <w:szCs w:val="20"/>
                <w:color w:val="auto"/>
              </w:rPr>
            </w:pPr>
            <w:r>
              <w:rPr>
                <w:rFonts w:ascii="Arial" w:cs="Arial" w:eastAsia="Arial" w:hAnsi="Arial"/>
                <w:sz w:val="18"/>
                <w:szCs w:val="18"/>
                <w:color w:val="auto"/>
              </w:rPr>
              <w:t>333,615</w:t>
            </w:r>
          </w:p>
        </w:tc>
        <w:tc>
          <w:tcPr>
            <w:tcW w:w="10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69,392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2016</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9,800,055</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489,557</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0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2015</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line="203" w:lineRule="exact"/>
              <w:rPr>
                <w:sz w:val="20"/>
                <w:szCs w:val="20"/>
                <w:color w:val="auto"/>
              </w:rPr>
            </w:pPr>
            <w:r>
              <w:rPr>
                <w:rFonts w:ascii="Arial" w:cs="Arial" w:eastAsia="Arial" w:hAnsi="Arial"/>
                <w:sz w:val="18"/>
                <w:szCs w:val="18"/>
                <w:color w:val="auto"/>
              </w:rPr>
              <w:t>9,800,023</w:t>
            </w:r>
          </w:p>
        </w:tc>
        <w:tc>
          <w:tcPr>
            <w:tcW w:w="1440" w:type="dxa"/>
            <w:vAlign w:val="bottom"/>
            <w:shd w:val="clear" w:color="auto" w:fill="CCEEFF"/>
          </w:tcPr>
          <w:p>
            <w:pPr>
              <w:jc w:val="right"/>
              <w:ind w:right="152"/>
              <w:spacing w:after="0" w:line="203" w:lineRule="exact"/>
              <w:rPr>
                <w:sz w:val="20"/>
                <w:szCs w:val="20"/>
                <w:color w:val="auto"/>
              </w:rPr>
            </w:pPr>
            <w:r>
              <w:rPr>
                <w:rFonts w:ascii="Arial" w:cs="Arial" w:eastAsia="Arial" w:hAnsi="Arial"/>
                <w:sz w:val="18"/>
                <w:szCs w:val="18"/>
                <w:color w:val="auto"/>
              </w:rPr>
              <w:t>516,440</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90,842</w:t>
            </w:r>
          </w:p>
        </w:tc>
        <w:tc>
          <w:tcPr>
            <w:tcW w:w="0" w:type="dxa"/>
            <w:vAlign w:val="bottom"/>
          </w:tcPr>
          <w:p>
            <w:pPr>
              <w:spacing w:after="0"/>
              <w:rPr>
                <w:sz w:val="1"/>
                <w:szCs w:val="1"/>
                <w:color w:val="auto"/>
              </w:rPr>
            </w:pPr>
          </w:p>
        </w:tc>
      </w:tr>
      <w:tr>
        <w:trPr>
          <w:trHeight w:val="418"/>
        </w:trPr>
        <w:tc>
          <w:tcPr>
            <w:tcW w:w="5940" w:type="dxa"/>
            <w:vAlign w:val="bottom"/>
            <w:gridSpan w:val="2"/>
          </w:tcPr>
          <w:p>
            <w:pPr>
              <w:spacing w:after="0"/>
              <w:rPr>
                <w:sz w:val="20"/>
                <w:szCs w:val="20"/>
                <w:color w:val="auto"/>
              </w:rPr>
            </w:pPr>
            <w:r>
              <w:rPr>
                <w:rFonts w:ascii="Arial" w:cs="Arial" w:eastAsia="Arial" w:hAnsi="Arial"/>
                <w:sz w:val="18"/>
                <w:szCs w:val="18"/>
                <w:color w:val="auto"/>
              </w:rPr>
              <w:t>K. P. March</w:t>
            </w:r>
          </w:p>
        </w:tc>
        <w:tc>
          <w:tcPr>
            <w:tcW w:w="1060" w:type="dxa"/>
            <w:vAlign w:val="bottom"/>
          </w:tcPr>
          <w:p>
            <w:pPr>
              <w:ind w:left="440"/>
              <w:spacing w:after="0"/>
              <w:rPr>
                <w:sz w:val="20"/>
                <w:szCs w:val="20"/>
                <w:color w:val="auto"/>
              </w:rPr>
            </w:pPr>
            <w:r>
              <w:rPr>
                <w:rFonts w:ascii="Arial" w:cs="Arial" w:eastAsia="Arial" w:hAnsi="Arial"/>
                <w:sz w:val="18"/>
                <w:szCs w:val="18"/>
                <w:color w:val="auto"/>
              </w:rPr>
              <w:t>2017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2,700,048</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81,888</w:t>
            </w:r>
          </w:p>
        </w:tc>
        <w:tc>
          <w:tcPr>
            <w:tcW w:w="1080" w:type="dxa"/>
            <w:vAlign w:val="bottom"/>
          </w:tcPr>
          <w:p>
            <w:pPr>
              <w:jc w:val="right"/>
              <w:spacing w:after="0"/>
              <w:rPr>
                <w:sz w:val="20"/>
                <w:szCs w:val="20"/>
                <w:color w:val="auto"/>
              </w:rPr>
            </w:pPr>
            <w:r>
              <w:rPr>
                <w:rFonts w:ascii="Arial" w:cs="Arial" w:eastAsia="Arial" w:hAnsi="Arial"/>
                <w:sz w:val="18"/>
                <w:szCs w:val="18"/>
                <w:color w:val="auto"/>
              </w:rPr>
              <w:t>17,033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060" w:type="dxa"/>
            <w:vAlign w:val="bottom"/>
          </w:tcPr>
          <w:p>
            <w:pPr>
              <w:ind w:left="440"/>
              <w:spacing w:after="0" w:line="202" w:lineRule="exact"/>
              <w:rPr>
                <w:sz w:val="20"/>
                <w:szCs w:val="20"/>
                <w:color w:val="auto"/>
              </w:rPr>
            </w:pPr>
            <w:r>
              <w:rPr>
                <w:rFonts w:ascii="Arial" w:cs="Arial" w:eastAsia="Arial" w:hAnsi="Arial"/>
                <w:sz w:val="18"/>
                <w:szCs w:val="18"/>
                <w:color w:val="auto"/>
              </w:rPr>
              <w:t>2016</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2,700,035</w:t>
            </w:r>
          </w:p>
        </w:tc>
        <w:tc>
          <w:tcPr>
            <w:tcW w:w="14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134,878</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25,506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2015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2,700,017</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142,285</w:t>
            </w:r>
          </w:p>
        </w:tc>
        <w:tc>
          <w:tcPr>
            <w:tcW w:w="1080" w:type="dxa"/>
            <w:vAlign w:val="bottom"/>
          </w:tcPr>
          <w:p>
            <w:pPr>
              <w:jc w:val="right"/>
              <w:spacing w:after="0"/>
              <w:rPr>
                <w:sz w:val="20"/>
                <w:szCs w:val="20"/>
                <w:color w:val="auto"/>
              </w:rPr>
            </w:pPr>
            <w:r>
              <w:rPr>
                <w:rFonts w:ascii="Arial" w:cs="Arial" w:eastAsia="Arial" w:hAnsi="Arial"/>
                <w:sz w:val="18"/>
                <w:szCs w:val="18"/>
                <w:color w:val="auto"/>
              </w:rPr>
              <w:t>25,028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 T. Crutcher</w:t>
            </w:r>
          </w:p>
        </w:tc>
        <w:tc>
          <w:tcPr>
            <w:tcW w:w="10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2017</w:t>
            </w: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line="201" w:lineRule="exact"/>
              <w:rPr>
                <w:sz w:val="20"/>
                <w:szCs w:val="20"/>
                <w:color w:val="auto"/>
              </w:rPr>
            </w:pPr>
            <w:r>
              <w:rPr>
                <w:rFonts w:ascii="Arial" w:cs="Arial" w:eastAsia="Arial" w:hAnsi="Arial"/>
                <w:sz w:val="18"/>
                <w:szCs w:val="18"/>
                <w:color w:val="auto"/>
              </w:rPr>
              <w:t>7,500,034</w:t>
            </w:r>
          </w:p>
        </w:tc>
        <w:tc>
          <w:tcPr>
            <w:tcW w:w="1440" w:type="dxa"/>
            <w:vAlign w:val="bottom"/>
            <w:shd w:val="clear" w:color="auto" w:fill="CCEEFF"/>
          </w:tcPr>
          <w:p>
            <w:pPr>
              <w:jc w:val="right"/>
              <w:ind w:right="152"/>
              <w:spacing w:after="0" w:line="201" w:lineRule="exact"/>
              <w:rPr>
                <w:sz w:val="20"/>
                <w:szCs w:val="20"/>
                <w:color w:val="auto"/>
              </w:rPr>
            </w:pPr>
            <w:r>
              <w:rPr>
                <w:rFonts w:ascii="Arial" w:cs="Arial" w:eastAsia="Arial" w:hAnsi="Arial"/>
                <w:sz w:val="18"/>
                <w:szCs w:val="18"/>
                <w:color w:val="auto"/>
              </w:rPr>
              <w:t>227,465</w:t>
            </w:r>
          </w:p>
        </w:tc>
        <w:tc>
          <w:tcPr>
            <w:tcW w:w="1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47,313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2016</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5,500,031</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274,751</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0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2015</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line="203" w:lineRule="exact"/>
              <w:rPr>
                <w:sz w:val="20"/>
                <w:szCs w:val="20"/>
                <w:color w:val="auto"/>
              </w:rPr>
            </w:pPr>
            <w:r>
              <w:rPr>
                <w:rFonts w:ascii="Arial" w:cs="Arial" w:eastAsia="Arial" w:hAnsi="Arial"/>
                <w:sz w:val="18"/>
                <w:szCs w:val="18"/>
                <w:color w:val="auto"/>
              </w:rPr>
              <w:t>5,500,029</w:t>
            </w:r>
          </w:p>
        </w:tc>
        <w:tc>
          <w:tcPr>
            <w:tcW w:w="1440" w:type="dxa"/>
            <w:vAlign w:val="bottom"/>
            <w:shd w:val="clear" w:color="auto" w:fill="CCEEFF"/>
          </w:tcPr>
          <w:p>
            <w:pPr>
              <w:jc w:val="right"/>
              <w:ind w:right="152"/>
              <w:spacing w:after="0" w:line="203" w:lineRule="exact"/>
              <w:rPr>
                <w:sz w:val="20"/>
                <w:szCs w:val="20"/>
                <w:color w:val="auto"/>
              </w:rPr>
            </w:pPr>
            <w:r>
              <w:rPr>
                <w:rFonts w:ascii="Arial" w:cs="Arial" w:eastAsia="Arial" w:hAnsi="Arial"/>
                <w:sz w:val="18"/>
                <w:szCs w:val="18"/>
                <w:color w:val="auto"/>
              </w:rPr>
              <w:t>289,839</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50,983</w:t>
            </w:r>
          </w:p>
        </w:tc>
        <w:tc>
          <w:tcPr>
            <w:tcW w:w="0" w:type="dxa"/>
            <w:vAlign w:val="bottom"/>
          </w:tcPr>
          <w:p>
            <w:pPr>
              <w:spacing w:after="0"/>
              <w:rPr>
                <w:sz w:val="1"/>
                <w:szCs w:val="1"/>
                <w:color w:val="auto"/>
              </w:rPr>
            </w:pPr>
          </w:p>
        </w:tc>
      </w:tr>
      <w:tr>
        <w:trPr>
          <w:trHeight w:val="418"/>
        </w:trPr>
        <w:tc>
          <w:tcPr>
            <w:tcW w:w="5940" w:type="dxa"/>
            <w:vAlign w:val="bottom"/>
            <w:gridSpan w:val="2"/>
          </w:tcPr>
          <w:p>
            <w:pPr>
              <w:spacing w:after="0"/>
              <w:rPr>
                <w:sz w:val="20"/>
                <w:szCs w:val="20"/>
                <w:color w:val="auto"/>
              </w:rPr>
            </w:pPr>
            <w:r>
              <w:rPr>
                <w:rFonts w:ascii="Arial" w:cs="Arial" w:eastAsia="Arial" w:hAnsi="Arial"/>
                <w:sz w:val="18"/>
                <w:szCs w:val="18"/>
                <w:color w:val="auto"/>
              </w:rPr>
              <w:t>K. J. Ritchie</w:t>
            </w:r>
          </w:p>
        </w:tc>
        <w:tc>
          <w:tcPr>
            <w:tcW w:w="1060" w:type="dxa"/>
            <w:vAlign w:val="bottom"/>
          </w:tcPr>
          <w:p>
            <w:pPr>
              <w:ind w:left="440"/>
              <w:spacing w:after="0"/>
              <w:rPr>
                <w:sz w:val="20"/>
                <w:szCs w:val="20"/>
                <w:color w:val="auto"/>
              </w:rPr>
            </w:pPr>
            <w:r>
              <w:rPr>
                <w:rFonts w:ascii="Arial" w:cs="Arial" w:eastAsia="Arial" w:hAnsi="Arial"/>
                <w:sz w:val="18"/>
                <w:szCs w:val="18"/>
                <w:color w:val="auto"/>
              </w:rPr>
              <w:t>2017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4,000,056</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121,315</w:t>
            </w:r>
          </w:p>
        </w:tc>
        <w:tc>
          <w:tcPr>
            <w:tcW w:w="1080" w:type="dxa"/>
            <w:vAlign w:val="bottom"/>
          </w:tcPr>
          <w:p>
            <w:pPr>
              <w:jc w:val="right"/>
              <w:spacing w:after="0"/>
              <w:rPr>
                <w:sz w:val="20"/>
                <w:szCs w:val="20"/>
                <w:color w:val="auto"/>
              </w:rPr>
            </w:pPr>
            <w:r>
              <w:rPr>
                <w:rFonts w:ascii="Arial" w:cs="Arial" w:eastAsia="Arial" w:hAnsi="Arial"/>
                <w:sz w:val="18"/>
                <w:szCs w:val="18"/>
                <w:color w:val="auto"/>
              </w:rPr>
              <w:t>25,234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060" w:type="dxa"/>
            <w:vAlign w:val="bottom"/>
          </w:tcPr>
          <w:p>
            <w:pPr>
              <w:ind w:left="440"/>
              <w:spacing w:after="0" w:line="202" w:lineRule="exact"/>
              <w:rPr>
                <w:sz w:val="20"/>
                <w:szCs w:val="20"/>
                <w:color w:val="auto"/>
              </w:rPr>
            </w:pPr>
            <w:r>
              <w:rPr>
                <w:rFonts w:ascii="Arial" w:cs="Arial" w:eastAsia="Arial" w:hAnsi="Arial"/>
                <w:sz w:val="18"/>
                <w:szCs w:val="18"/>
                <w:color w:val="auto"/>
              </w:rPr>
              <w:t>2016</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4,000,014</w:t>
            </w:r>
          </w:p>
        </w:tc>
        <w:tc>
          <w:tcPr>
            <w:tcW w:w="14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199,819</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37,786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60" w:type="dxa"/>
            <w:vAlign w:val="bottom"/>
          </w:tcPr>
          <w:p>
            <w:pPr>
              <w:ind w:left="440"/>
              <w:spacing w:after="0"/>
              <w:rPr>
                <w:sz w:val="20"/>
                <w:szCs w:val="20"/>
                <w:color w:val="auto"/>
              </w:rPr>
            </w:pPr>
            <w:r>
              <w:rPr>
                <w:rFonts w:ascii="Arial" w:cs="Arial" w:eastAsia="Arial" w:hAnsi="Arial"/>
                <w:sz w:val="18"/>
                <w:szCs w:val="18"/>
                <w:color w:val="auto"/>
              </w:rPr>
              <w:t>2015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4,000,045</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210,792</w:t>
            </w:r>
          </w:p>
        </w:tc>
        <w:tc>
          <w:tcPr>
            <w:tcW w:w="1080" w:type="dxa"/>
            <w:vAlign w:val="bottom"/>
          </w:tcPr>
          <w:p>
            <w:pPr>
              <w:jc w:val="right"/>
              <w:spacing w:after="0"/>
              <w:rPr>
                <w:sz w:val="20"/>
                <w:szCs w:val="20"/>
                <w:color w:val="auto"/>
              </w:rPr>
            </w:pPr>
            <w:r>
              <w:rPr>
                <w:rFonts w:ascii="Arial" w:cs="Arial" w:eastAsia="Arial" w:hAnsi="Arial"/>
                <w:sz w:val="18"/>
                <w:szCs w:val="18"/>
                <w:color w:val="auto"/>
              </w:rPr>
              <w:t>37,079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G. Delagi</w:t>
            </w:r>
          </w:p>
        </w:tc>
        <w:tc>
          <w:tcPr>
            <w:tcW w:w="1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2017</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3,600,090</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109,184</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22,711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See notes 2 and 3 to the summary compensation table for information on how grant date fair value was calculated.</w:t>
      </w:r>
    </w:p>
    <w:p>
      <w:pPr>
        <w:spacing w:after="0" w:line="212"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In January 2017, the committee awarded equity compensation to each of the named executive officers listed above. The committee’s general objective was to award to those officers equity compensation that had a grant date fair value at approximately the median market level, in this case the 40</w:t>
      </w:r>
      <w:r>
        <w:rPr>
          <w:rFonts w:ascii="Arial" w:cs="Arial" w:eastAsia="Arial" w:hAnsi="Arial"/>
          <w:sz w:val="15"/>
          <w:szCs w:val="15"/>
          <w:color w:val="auto"/>
        </w:rPr>
        <w:t>th</w:t>
      </w:r>
      <w:r>
        <w:rPr>
          <w:rFonts w:ascii="Arial" w:cs="Arial" w:eastAsia="Arial" w:hAnsi="Arial"/>
          <w:sz w:val="18"/>
          <w:szCs w:val="18"/>
          <w:color w:val="auto"/>
        </w:rPr>
        <w:t xml:space="preserve"> to 60</w:t>
      </w:r>
      <w:r>
        <w:rPr>
          <w:rFonts w:ascii="Arial" w:cs="Arial" w:eastAsia="Arial" w:hAnsi="Arial"/>
          <w:sz w:val="15"/>
          <w:szCs w:val="15"/>
          <w:color w:val="auto"/>
        </w:rPr>
        <w:t>th</w:t>
      </w:r>
      <w:r>
        <w:rPr>
          <w:rFonts w:ascii="Arial" w:cs="Arial" w:eastAsia="Arial" w:hAnsi="Arial"/>
          <w:sz w:val="18"/>
          <w:szCs w:val="18"/>
          <w:color w:val="auto"/>
        </w:rPr>
        <w:t xml:space="preserve"> percentile of the three-year average of equity compensation (including an estimate of amounts for 2017) granted by the Comparator Group.</w:t>
      </w:r>
    </w:p>
    <w:p>
      <w:pPr>
        <w:spacing w:after="0" w:line="202" w:lineRule="exact"/>
        <w:rPr>
          <w:sz w:val="20"/>
          <w:szCs w:val="20"/>
          <w:color w:val="auto"/>
        </w:rPr>
      </w:pPr>
    </w:p>
    <w:p>
      <w:pPr>
        <w:jc w:val="both"/>
        <w:ind w:left="200" w:right="40"/>
        <w:spacing w:after="0" w:line="239" w:lineRule="auto"/>
        <w:rPr>
          <w:sz w:val="20"/>
          <w:szCs w:val="20"/>
          <w:color w:val="auto"/>
        </w:rPr>
      </w:pPr>
      <w:r>
        <w:rPr>
          <w:rFonts w:ascii="Arial" w:cs="Arial" w:eastAsia="Arial" w:hAnsi="Arial"/>
          <w:sz w:val="18"/>
          <w:szCs w:val="18"/>
          <w:color w:val="auto"/>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The award value was estimated using the same methodology used for financial accounting.</w:t>
      </w:r>
    </w:p>
    <w:p>
      <w:pPr>
        <w:spacing w:after="0" w:line="12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For each officer, the committee set the desired grant value. The committee decided to allocate the value equally between restricted stock units and options for each officer, to give equal emphasis to promoting retention, motivating the executive and aligning his interests with those of shareholders.</w:t>
      </w:r>
    </w:p>
    <w:p>
      <w:pPr>
        <w:spacing w:after="0" w:line="203"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203" w:lineRule="exact"/>
        <w:rPr>
          <w:sz w:val="20"/>
          <w:szCs w:val="20"/>
          <w:color w:val="auto"/>
        </w:rPr>
      </w:pPr>
    </w:p>
    <w:p>
      <w:pPr>
        <w:ind w:left="200" w:right="540"/>
        <w:spacing w:after="0"/>
        <w:rPr>
          <w:sz w:val="20"/>
          <w:szCs w:val="20"/>
          <w:color w:val="auto"/>
        </w:rPr>
      </w:pPr>
      <w:r>
        <w:rPr>
          <w:rFonts w:ascii="Arial" w:cs="Arial" w:eastAsia="Arial" w:hAnsi="Arial"/>
          <w:sz w:val="18"/>
          <w:szCs w:val="18"/>
          <w:color w:val="auto"/>
        </w:rPr>
        <w:t>The exercise price of the options was the closing price of TI stock on January 26, 2017, the second trading day after the company released its annual and fourth-quarter financial results for 2016. All grants were made under the Texas Instruments 2009 Long-Term Incentive Plan, which shareholders approved in April 2009 and amended in 2016.</w:t>
      </w:r>
    </w:p>
    <w:p>
      <w:pPr>
        <w:spacing w:after="0" w:line="203" w:lineRule="exact"/>
        <w:rPr>
          <w:sz w:val="20"/>
          <w:szCs w:val="20"/>
          <w:color w:val="auto"/>
        </w:rPr>
      </w:pPr>
    </w:p>
    <w:p>
      <w:pPr>
        <w:ind w:left="200" w:right="520"/>
        <w:spacing w:after="0"/>
        <w:rPr>
          <w:sz w:val="20"/>
          <w:szCs w:val="20"/>
          <w:color w:val="auto"/>
        </w:rPr>
      </w:pPr>
      <w:r>
        <w:rPr>
          <w:rFonts w:ascii="Arial" w:cs="Arial" w:eastAsia="Arial" w:hAnsi="Arial"/>
          <w:sz w:val="18"/>
          <w:szCs w:val="18"/>
          <w:color w:val="auto"/>
        </w:rPr>
        <w:t>All grants have the terms described under “Outstanding equity awards at fiscal year-end 2017.”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Bonus</w:t>
      </w:r>
    </w:p>
    <w:p>
      <w:pPr>
        <w:spacing w:after="0" w:line="14"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In January 2018, the committee set the 2017 bonus compensation for executive officers based on its assessment of 2017 performance. In setting the bonuses, the committee used the following performance measures to assess the company:</w:t>
      </w:r>
    </w:p>
    <w:p>
      <w:pPr>
        <w:spacing w:after="0" w:line="220" w:lineRule="exact"/>
        <w:rPr>
          <w:sz w:val="20"/>
          <w:szCs w:val="20"/>
          <w:color w:val="auto"/>
        </w:rPr>
      </w:pPr>
    </w:p>
    <w:p>
      <w:pPr>
        <w:ind w:left="960" w:hanging="54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relative one-year and three-year performance of TI as compared with competitor companies, as measured by</w:t>
      </w:r>
    </w:p>
    <w:p>
      <w:pPr>
        <w:ind w:left="1180" w:hanging="328"/>
        <w:spacing w:after="0" w:line="234" w:lineRule="auto"/>
        <w:tabs>
          <w:tab w:leader="none" w:pos="1180" w:val="left"/>
        </w:tabs>
        <w:numPr>
          <w:ilvl w:val="1"/>
          <w:numId w:val="45"/>
        </w:numPr>
        <w:rPr>
          <w:rFonts w:ascii="Arial" w:cs="Arial" w:eastAsia="Arial" w:hAnsi="Arial"/>
          <w:sz w:val="15"/>
          <w:szCs w:val="15"/>
          <w:color w:val="auto"/>
        </w:rPr>
      </w:pPr>
      <w:r>
        <w:rPr>
          <w:rFonts w:ascii="Arial" w:cs="Arial" w:eastAsia="Arial" w:hAnsi="Arial"/>
          <w:sz w:val="18"/>
          <w:szCs w:val="18"/>
          <w:color w:val="auto"/>
        </w:rPr>
        <w:t>revenue growth,</w:t>
      </w:r>
    </w:p>
    <w:p>
      <w:pPr>
        <w:ind w:left="1180" w:hanging="328"/>
        <w:spacing w:after="0" w:line="234" w:lineRule="auto"/>
        <w:tabs>
          <w:tab w:leader="none" w:pos="1180" w:val="left"/>
        </w:tabs>
        <w:numPr>
          <w:ilvl w:val="1"/>
          <w:numId w:val="45"/>
        </w:numPr>
        <w:rPr>
          <w:rFonts w:ascii="Arial" w:cs="Arial" w:eastAsia="Arial" w:hAnsi="Arial"/>
          <w:sz w:val="15"/>
          <w:szCs w:val="15"/>
          <w:color w:val="auto"/>
        </w:rPr>
      </w:pPr>
      <w:r>
        <w:rPr>
          <w:rFonts w:ascii="Arial" w:cs="Arial" w:eastAsia="Arial" w:hAnsi="Arial"/>
          <w:sz w:val="18"/>
          <w:szCs w:val="18"/>
          <w:color w:val="auto"/>
        </w:rPr>
        <w:t>operating profit as a percentage of revenue,</w:t>
      </w:r>
    </w:p>
    <w:p>
      <w:pPr>
        <w:ind w:left="1180" w:hanging="328"/>
        <w:spacing w:after="0" w:line="234" w:lineRule="auto"/>
        <w:tabs>
          <w:tab w:leader="none" w:pos="1180" w:val="left"/>
        </w:tabs>
        <w:numPr>
          <w:ilvl w:val="1"/>
          <w:numId w:val="45"/>
        </w:numPr>
        <w:rPr>
          <w:rFonts w:ascii="Arial" w:cs="Arial" w:eastAsia="Arial" w:hAnsi="Arial"/>
          <w:sz w:val="15"/>
          <w:szCs w:val="15"/>
          <w:color w:val="auto"/>
        </w:rPr>
      </w:pPr>
      <w:r>
        <w:rPr>
          <w:rFonts w:ascii="Arial" w:cs="Arial" w:eastAsia="Arial" w:hAnsi="Arial"/>
          <w:sz w:val="18"/>
          <w:szCs w:val="18"/>
          <w:color w:val="auto"/>
        </w:rPr>
        <w:t>total shareholder return, and</w:t>
      </w:r>
    </w:p>
    <w:p>
      <w:pPr>
        <w:ind w:left="960" w:hanging="54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absolute one-year and three-year performance of TI on the above measures.</w:t>
      </w:r>
    </w:p>
    <w:p>
      <w:pPr>
        <w:spacing w:after="0" w:line="212" w:lineRule="exact"/>
        <w:rPr>
          <w:sz w:val="20"/>
          <w:szCs w:val="20"/>
          <w:color w:val="auto"/>
        </w:rPr>
      </w:pPr>
    </w:p>
    <w:p>
      <w:pPr>
        <w:ind w:left="200" w:right="880"/>
        <w:spacing w:after="0" w:line="246" w:lineRule="auto"/>
        <w:rPr>
          <w:sz w:val="20"/>
          <w:szCs w:val="20"/>
          <w:color w:val="auto"/>
        </w:rPr>
      </w:pPr>
      <w:r>
        <w:rPr>
          <w:rFonts w:ascii="Arial" w:cs="Arial" w:eastAsia="Arial" w:hAnsi="Arial"/>
          <w:sz w:val="18"/>
          <w:szCs w:val="18"/>
          <w:color w:val="auto"/>
        </w:rPr>
        <w:t>In addition, the committee considered strategic progress by reviewing TI competitiveness in key markets with core products and technologies, as well as the strength of relationships with customers.</w:t>
      </w:r>
    </w:p>
    <w:p>
      <w:pPr>
        <w:spacing w:after="0" w:line="197"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In assessing performance, the committee did not use formulas, thresholds or multiples. Because market conditions can quickly change in our industry, thresholds established at the beginning of a year could prove irrelevant by year-end. The committee believes its approach, which assesses the company’s relative performance in hindsight after year-end, gives it the insight to most effectively and critically judge results and encourages executives to pursue strategies that serve the long-term interests of the company and its shareholders.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comparison of relative performance, the committee used the following companies (the “competitor companies”):</w:t>
      </w:r>
    </w:p>
    <w:p>
      <w:pPr>
        <w:sectPr>
          <w:pgSz w:w="11900" w:h="16838" w:orient="portrait"/>
          <w:cols w:equalWidth="0" w:num="1">
            <w:col w:w="11220"/>
          </w:cols>
          <w:pgMar w:left="240" w:top="459" w:right="439" w:bottom="1440" w:gutter="0" w:footer="0" w:header="0"/>
        </w:sectPr>
      </w:pP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Advanced Micro Devices, Inc.</w:t>
      </w:r>
    </w:p>
    <w:p>
      <w:pPr>
        <w:ind w:left="560"/>
        <w:spacing w:after="0" w:line="234" w:lineRule="auto"/>
        <w:rPr>
          <w:sz w:val="20"/>
          <w:szCs w:val="20"/>
          <w:color w:val="auto"/>
        </w:rPr>
      </w:pPr>
      <w:r>
        <w:rPr>
          <w:rFonts w:ascii="Arial" w:cs="Arial" w:eastAsia="Arial" w:hAnsi="Arial"/>
          <w:sz w:val="18"/>
          <w:szCs w:val="18"/>
          <w:color w:val="auto"/>
        </w:rPr>
        <w:t>Analog Devices, Inc.</w:t>
      </w:r>
    </w:p>
    <w:p>
      <w:pPr>
        <w:ind w:left="560"/>
        <w:spacing w:after="0" w:line="235" w:lineRule="auto"/>
        <w:rPr>
          <w:sz w:val="20"/>
          <w:szCs w:val="20"/>
          <w:color w:val="auto"/>
        </w:rPr>
      </w:pPr>
      <w:r>
        <w:rPr>
          <w:rFonts w:ascii="Arial" w:cs="Arial" w:eastAsia="Arial" w:hAnsi="Arial"/>
          <w:sz w:val="18"/>
          <w:szCs w:val="18"/>
          <w:color w:val="auto"/>
        </w:rPr>
        <w:t>Broadcom Limited</w:t>
      </w:r>
    </w:p>
    <w:p>
      <w:pPr>
        <w:ind w:left="560"/>
        <w:spacing w:after="0" w:line="235" w:lineRule="auto"/>
        <w:rPr>
          <w:sz w:val="20"/>
          <w:szCs w:val="20"/>
          <w:color w:val="auto"/>
        </w:rPr>
      </w:pPr>
      <w:r>
        <w:rPr>
          <w:rFonts w:ascii="Arial" w:cs="Arial" w:eastAsia="Arial" w:hAnsi="Arial"/>
          <w:sz w:val="18"/>
          <w:szCs w:val="18"/>
          <w:color w:val="auto"/>
        </w:rPr>
        <w:t>Infineon Technologies AG</w:t>
      </w:r>
    </w:p>
    <w:p>
      <w:pPr>
        <w:ind w:left="560"/>
        <w:spacing w:after="0" w:line="235" w:lineRule="auto"/>
        <w:rPr>
          <w:sz w:val="20"/>
          <w:szCs w:val="20"/>
          <w:color w:val="auto"/>
        </w:rPr>
      </w:pPr>
      <w:r>
        <w:rPr>
          <w:rFonts w:ascii="Arial" w:cs="Arial" w:eastAsia="Arial" w:hAnsi="Arial"/>
          <w:sz w:val="18"/>
          <w:szCs w:val="18"/>
          <w:color w:val="auto"/>
        </w:rPr>
        <w:t>Intel Corporation</w:t>
      </w:r>
    </w:p>
    <w:p>
      <w:pPr>
        <w:ind w:left="560"/>
        <w:spacing w:after="0" w:line="235" w:lineRule="auto"/>
        <w:rPr>
          <w:sz w:val="20"/>
          <w:szCs w:val="20"/>
          <w:color w:val="auto"/>
        </w:rPr>
      </w:pPr>
      <w:r>
        <w:rPr>
          <w:rFonts w:ascii="Arial" w:cs="Arial" w:eastAsia="Arial" w:hAnsi="Arial"/>
          <w:sz w:val="18"/>
          <w:szCs w:val="18"/>
          <w:color w:val="auto"/>
        </w:rPr>
        <w:t>Marvell Technology Group Ltd.</w:t>
      </w:r>
    </w:p>
    <w:p>
      <w:pPr>
        <w:ind w:left="560"/>
        <w:spacing w:after="0" w:line="235" w:lineRule="auto"/>
        <w:rPr>
          <w:sz w:val="20"/>
          <w:szCs w:val="20"/>
          <w:color w:val="auto"/>
        </w:rPr>
      </w:pPr>
      <w:r>
        <w:rPr>
          <w:rFonts w:ascii="Arial" w:cs="Arial" w:eastAsia="Arial" w:hAnsi="Arial"/>
          <w:sz w:val="18"/>
          <w:szCs w:val="18"/>
          <w:color w:val="auto"/>
        </w:rPr>
        <w:t>Maxim Integrated Products, Inc.</w:t>
      </w:r>
    </w:p>
    <w:p>
      <w:pPr>
        <w:ind w:left="560"/>
        <w:spacing w:after="0"/>
        <w:rPr>
          <w:sz w:val="20"/>
          <w:szCs w:val="20"/>
          <w:color w:val="auto"/>
        </w:rPr>
      </w:pPr>
      <w:r>
        <w:rPr>
          <w:rFonts w:ascii="Arial" w:cs="Arial" w:eastAsia="Arial" w:hAnsi="Arial"/>
          <w:sz w:val="17"/>
          <w:szCs w:val="17"/>
          <w:color w:val="auto"/>
        </w:rPr>
        <w:t>Microchip Technology Incorporated</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NVIDIA Corporation</w:t>
      </w:r>
    </w:p>
    <w:p>
      <w:pPr>
        <w:spacing w:after="0" w:line="234" w:lineRule="auto"/>
        <w:rPr>
          <w:sz w:val="20"/>
          <w:szCs w:val="20"/>
          <w:color w:val="auto"/>
        </w:rPr>
      </w:pPr>
      <w:r>
        <w:rPr>
          <w:rFonts w:ascii="Arial" w:cs="Arial" w:eastAsia="Arial" w:hAnsi="Arial"/>
          <w:sz w:val="18"/>
          <w:szCs w:val="18"/>
          <w:color w:val="auto"/>
        </w:rPr>
        <w:t>NXP Semiconductors N.V.</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ON Semiconductor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QUALCOMM Incorporated</w:t>
      </w:r>
    </w:p>
    <w:p>
      <w:pPr>
        <w:spacing w:after="0" w:line="234" w:lineRule="auto"/>
        <w:rPr>
          <w:sz w:val="20"/>
          <w:szCs w:val="20"/>
          <w:color w:val="auto"/>
        </w:rPr>
      </w:pPr>
      <w:r>
        <w:rPr>
          <w:rFonts w:ascii="Arial" w:cs="Arial" w:eastAsia="Arial" w:hAnsi="Arial"/>
          <w:sz w:val="18"/>
          <w:szCs w:val="18"/>
          <w:color w:val="auto"/>
        </w:rPr>
        <w:t>Skyworks Solutions, Inc.</w:t>
      </w:r>
    </w:p>
    <w:p>
      <w:pPr>
        <w:spacing w:after="0" w:line="235" w:lineRule="auto"/>
        <w:rPr>
          <w:sz w:val="20"/>
          <w:szCs w:val="20"/>
          <w:color w:val="auto"/>
        </w:rPr>
      </w:pPr>
      <w:r>
        <w:rPr>
          <w:rFonts w:ascii="Arial" w:cs="Arial" w:eastAsia="Arial" w:hAnsi="Arial"/>
          <w:sz w:val="18"/>
          <w:szCs w:val="18"/>
          <w:color w:val="auto"/>
        </w:rPr>
        <w:t>STMicroelectronics N.V.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Xilinx, Inc.</w:t>
      </w:r>
    </w:p>
    <w:p>
      <w:pPr>
        <w:spacing w:after="0" w:line="391" w:lineRule="exact"/>
        <w:rPr>
          <w:sz w:val="20"/>
          <w:szCs w:val="20"/>
          <w:color w:val="auto"/>
        </w:rPr>
      </w:pPr>
    </w:p>
    <w:p>
      <w:pPr>
        <w:sectPr>
          <w:pgSz w:w="11900" w:h="16838" w:orient="portrait"/>
          <w:cols w:equalWidth="0" w:num="2">
            <w:col w:w="3600" w:space="720"/>
            <w:col w:w="6900"/>
          </w:cols>
          <w:pgMar w:left="240" w:top="459" w:right="439" w:bottom="1440" w:gutter="0" w:footer="0" w:header="0"/>
          <w:type w:val="continuous"/>
        </w:sectPr>
      </w:pPr>
    </w:p>
    <w:p>
      <w:pPr>
        <w:spacing w:after="0" w:line="199"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To the extent the companies had not released financial results for the year or the most recent quarter, the committee based its evaluation on estimates and projections of the companies’ financial results for 2017.</w:t>
      </w:r>
    </w:p>
    <w:p>
      <w:pPr>
        <w:spacing w:after="0" w:line="197"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In 2017, Intersil Corporation and Linear Technology Corporation were removed from the list after being acquired by other companies. The committee made no other changes to the list of competitor companies in 2017.</w:t>
      </w:r>
    </w:p>
    <w:p>
      <w:pPr>
        <w:spacing w:after="0" w:line="12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23</w:t>
            </w:r>
          </w:p>
        </w:tc>
      </w:tr>
    </w:tbl>
    <w:p>
      <w:pPr>
        <w:sectPr>
          <w:pgSz w:w="11900" w:h="16838" w:orient="portrait"/>
          <w:cols w:equalWidth="0" w:num="1">
            <w:col w:w="11220"/>
          </w:cols>
          <w:pgMar w:left="24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39"/>
        <w:spacing w:after="0"/>
        <w:rPr>
          <w:sz w:val="20"/>
          <w:szCs w:val="20"/>
          <w:color w:val="auto"/>
        </w:rPr>
      </w:pPr>
      <w:r>
        <w:rPr>
          <w:rFonts w:ascii="Arial" w:cs="Arial" w:eastAsia="Arial" w:hAnsi="Arial"/>
          <w:sz w:val="18"/>
          <w:szCs w:val="18"/>
          <w:i w:val="1"/>
          <w:iCs w:val="1"/>
          <w:u w:val="single" w:color="auto"/>
          <w:color w:val="auto"/>
        </w:rPr>
        <w:t>Assessment of 2017 performance</w:t>
      </w:r>
    </w:p>
    <w:p>
      <w:pPr>
        <w:spacing w:after="0" w:line="230" w:lineRule="exact"/>
        <w:rPr>
          <w:sz w:val="20"/>
          <w:szCs w:val="20"/>
          <w:color w:val="auto"/>
        </w:rPr>
      </w:pPr>
    </w:p>
    <w:p>
      <w:pPr>
        <w:ind w:left="540" w:right="120"/>
        <w:spacing w:after="0" w:line="236" w:lineRule="auto"/>
        <w:rPr>
          <w:sz w:val="20"/>
          <w:szCs w:val="20"/>
          <w:color w:val="auto"/>
        </w:rPr>
      </w:pPr>
      <w:r>
        <w:rPr>
          <w:rFonts w:ascii="Arial" w:cs="Arial" w:eastAsia="Arial" w:hAnsi="Arial"/>
          <w:sz w:val="18"/>
          <w:szCs w:val="18"/>
          <w:color w:val="auto"/>
        </w:rPr>
        <w:t>The committee spent extensive time in December and January assessing TI’s results and strategic progress for 2017. In setting bonuses, the committee considered quantitative and qualitative measures on both an absolute and relative basis and made certain that resulting decisions were founded on both solid data and sound judgment. On both an absolute and relative basis all measures were positive and improved from the prior year, and in relative comparisons with competitors most measures were better than the median. In aggregate, the committee determined that performance in 2017 was stronger than in 2016, both on an absolute and relative basis. Therefore, the committee increased bonuses for 2017 for named executive officers by 5 percent except for two individuals whose bonuses increased to reflect the new roles assumed by these individuals in 2017. Details on the committee’s assessment are below.</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 and margin</w:t>
      </w:r>
    </w:p>
    <w:p>
      <w:pPr>
        <w:spacing w:after="0" w:line="117" w:lineRule="exact"/>
        <w:rPr>
          <w:sz w:val="20"/>
          <w:szCs w:val="20"/>
          <w:color w:val="auto"/>
        </w:rPr>
      </w:pPr>
    </w:p>
    <w:p>
      <w:pPr>
        <w:ind w:left="1180" w:hanging="328"/>
        <w:spacing w:after="0"/>
        <w:tabs>
          <w:tab w:leader="none" w:pos="11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Annual performance</w:t>
      </w:r>
    </w:p>
    <w:p>
      <w:pPr>
        <w:spacing w:after="0" w:line="13" w:lineRule="exact"/>
        <w:rPr>
          <w:rFonts w:ascii="Arial" w:cs="Arial" w:eastAsia="Arial" w:hAnsi="Arial"/>
          <w:sz w:val="18"/>
          <w:szCs w:val="18"/>
          <w:i w:val="1"/>
          <w:iCs w:val="1"/>
          <w:color w:val="auto"/>
        </w:rPr>
      </w:pPr>
    </w:p>
    <w:p>
      <w:pPr>
        <w:ind w:left="1740" w:right="520" w:hanging="550"/>
        <w:spacing w:after="0" w:line="248" w:lineRule="auto"/>
        <w:tabs>
          <w:tab w:leader="none" w:pos="1740" w:val="left"/>
        </w:tabs>
        <w:numPr>
          <w:ilvl w:val="1"/>
          <w:numId w:val="46"/>
        </w:numPr>
        <w:rPr>
          <w:rFonts w:ascii="Arial" w:cs="Arial" w:eastAsia="Arial" w:hAnsi="Arial"/>
          <w:sz w:val="14"/>
          <w:szCs w:val="14"/>
          <w:color w:val="auto"/>
        </w:rPr>
      </w:pPr>
      <w:r>
        <w:rPr>
          <w:rFonts w:ascii="Arial" w:cs="Arial" w:eastAsia="Arial" w:hAnsi="Arial"/>
          <w:sz w:val="17"/>
          <w:szCs w:val="17"/>
          <w:color w:val="auto"/>
        </w:rPr>
        <w:t>TI’s revenue growth rate of 11.9 percent was higher in 2017 than in the prior year. Compared with competitor companies, TI’s growth rate was below the median. (It is important to note that the median growth rate of competitor companies includes the effect of acquisitions, whereas TI’s growth rate is entirely organic.</w:t>
      </w:r>
    </w:p>
    <w:p>
      <w:pPr>
        <w:spacing w:after="0" w:line="1" w:lineRule="exact"/>
        <w:rPr>
          <w:rFonts w:ascii="Arial" w:cs="Arial" w:eastAsia="Arial" w:hAnsi="Arial"/>
          <w:sz w:val="14"/>
          <w:szCs w:val="14"/>
          <w:color w:val="auto"/>
        </w:rPr>
      </w:pPr>
    </w:p>
    <w:p>
      <w:pPr>
        <w:ind w:left="1740" w:right="420" w:hanging="550"/>
        <w:spacing w:after="0" w:line="234" w:lineRule="auto"/>
        <w:tabs>
          <w:tab w:leader="none" w:pos="17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Revenues for the company’s core businesses of Analog and Embedded Processing were up 16.0 percent and 15.7 percent, respectively.</w:t>
      </w:r>
    </w:p>
    <w:p>
      <w:pPr>
        <w:spacing w:after="0" w:line="1" w:lineRule="exact"/>
        <w:rPr>
          <w:rFonts w:ascii="Arial" w:cs="Arial" w:eastAsia="Arial" w:hAnsi="Arial"/>
          <w:sz w:val="15"/>
          <w:szCs w:val="15"/>
          <w:color w:val="auto"/>
        </w:rPr>
      </w:pPr>
    </w:p>
    <w:p>
      <w:pPr>
        <w:ind w:left="1740" w:right="900" w:hanging="550"/>
        <w:spacing w:after="0" w:line="246" w:lineRule="auto"/>
        <w:tabs>
          <w:tab w:leader="none" w:pos="17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Operating profit margin was 40.7 percent, which was above both the prior year’s margin and the median comparison with competitors.</w:t>
      </w:r>
    </w:p>
    <w:p>
      <w:pPr>
        <w:spacing w:after="0" w:line="205" w:lineRule="exact"/>
        <w:rPr>
          <w:rFonts w:ascii="Arial" w:cs="Arial" w:eastAsia="Arial" w:hAnsi="Arial"/>
          <w:sz w:val="15"/>
          <w:szCs w:val="15"/>
          <w:color w:val="auto"/>
        </w:rPr>
      </w:pPr>
    </w:p>
    <w:p>
      <w:pPr>
        <w:ind w:left="1180" w:hanging="328"/>
        <w:spacing w:after="0"/>
        <w:tabs>
          <w:tab w:leader="none" w:pos="11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Three-year performance</w:t>
      </w:r>
    </w:p>
    <w:p>
      <w:pPr>
        <w:spacing w:after="0" w:line="13" w:lineRule="exact"/>
        <w:rPr>
          <w:rFonts w:ascii="Arial" w:cs="Arial" w:eastAsia="Arial" w:hAnsi="Arial"/>
          <w:sz w:val="18"/>
          <w:szCs w:val="18"/>
          <w:i w:val="1"/>
          <w:iCs w:val="1"/>
          <w:color w:val="auto"/>
        </w:rPr>
      </w:pPr>
    </w:p>
    <w:p>
      <w:pPr>
        <w:ind w:left="1740" w:right="640" w:hanging="550"/>
        <w:spacing w:after="0" w:line="234" w:lineRule="auto"/>
        <w:tabs>
          <w:tab w:leader="none" w:pos="17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Compound annual revenue growth for 2015-2017 was 4.7 percent, which was below the median competitor comparison.</w:t>
      </w:r>
    </w:p>
    <w:p>
      <w:pPr>
        <w:spacing w:after="0" w:line="1" w:lineRule="exact"/>
        <w:rPr>
          <w:rFonts w:ascii="Arial" w:cs="Arial" w:eastAsia="Arial" w:hAnsi="Arial"/>
          <w:sz w:val="15"/>
          <w:szCs w:val="15"/>
          <w:color w:val="auto"/>
        </w:rPr>
      </w:pPr>
    </w:p>
    <w:p>
      <w:pPr>
        <w:ind w:left="1740" w:hanging="550"/>
        <w:spacing w:after="0"/>
        <w:tabs>
          <w:tab w:leader="none" w:pos="17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Average operating profit for 2015-2017 was 36.9 percent, which was above the median competitor comparison.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Total shareholder return (TSR)</w:t>
      </w:r>
    </w:p>
    <w:p>
      <w:pPr>
        <w:spacing w:after="0" w:line="131" w:lineRule="exact"/>
        <w:rPr>
          <w:sz w:val="20"/>
          <w:szCs w:val="20"/>
          <w:color w:val="auto"/>
        </w:rPr>
      </w:pPr>
    </w:p>
    <w:p>
      <w:pPr>
        <w:ind w:left="1180" w:hanging="328"/>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TSR was 46.8 percent, better than the median TSR as compared with competitor companies.</w:t>
      </w:r>
    </w:p>
    <w:p>
      <w:pPr>
        <w:ind w:left="1180" w:right="40" w:hanging="328"/>
        <w:spacing w:after="0" w:line="234"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again generated strong cash, with free cash flow at 31.2 percent of revenue.</w:t>
      </w:r>
      <w:r>
        <w:rPr>
          <w:rFonts w:ascii="Arial" w:cs="Arial" w:eastAsia="Arial" w:hAnsi="Arial"/>
          <w:sz w:val="15"/>
          <w:szCs w:val="15"/>
          <w:color w:val="auto"/>
        </w:rPr>
        <w:t>2</w:t>
      </w:r>
      <w:r>
        <w:rPr>
          <w:rFonts w:ascii="Arial" w:cs="Arial" w:eastAsia="Arial" w:hAnsi="Arial"/>
          <w:sz w:val="18"/>
          <w:szCs w:val="18"/>
          <w:color w:val="auto"/>
        </w:rPr>
        <w:t xml:space="preserve"> Approximately 100 percent of free cash flow was returned to shareholders in 2017 through share repurchases and dividends. Share repurchases of $2.6 billion reduced outstanding shares by 1.3 percent (net of stock issuances during the year). The quarterly dividend rate increased 24.0 percent (the 16</w:t>
      </w:r>
      <w:r>
        <w:rPr>
          <w:rFonts w:ascii="Arial" w:cs="Arial" w:eastAsia="Arial" w:hAnsi="Arial"/>
          <w:sz w:val="15"/>
          <w:szCs w:val="15"/>
          <w:color w:val="auto"/>
        </w:rPr>
        <w:t>th</w:t>
      </w:r>
      <w:r>
        <w:rPr>
          <w:rFonts w:ascii="Arial" w:cs="Arial" w:eastAsia="Arial" w:hAnsi="Arial"/>
          <w:sz w:val="18"/>
          <w:szCs w:val="18"/>
          <w:color w:val="auto"/>
        </w:rPr>
        <w:t xml:space="preserve"> increase in the last 14 years). Share repurchases and dividend increases are important elements of TI’s capital management strategy.</w:t>
      </w:r>
    </w:p>
    <w:p>
      <w:pPr>
        <w:spacing w:after="0" w:line="3" w:lineRule="exact"/>
        <w:rPr>
          <w:rFonts w:ascii="Arial" w:cs="Arial" w:eastAsia="Arial" w:hAnsi="Arial"/>
          <w:sz w:val="18"/>
          <w:szCs w:val="18"/>
          <w:color w:val="auto"/>
        </w:rPr>
      </w:pPr>
    </w:p>
    <w:p>
      <w:pPr>
        <w:ind w:left="1180" w:hanging="328"/>
        <w:spacing w:after="0" w:line="234"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balance sheet remained robust, ending the year with cash and short-term investments of $4.5 billion.</w:t>
      </w:r>
    </w:p>
    <w:p>
      <w:pPr>
        <w:ind w:left="1180" w:right="720" w:hanging="328"/>
        <w:spacing w:after="0" w:line="246"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three-year compound annual growth rate for TSR was 28.3 percent, which was above the median competitor comparison.</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Strategic progress</w:t>
      </w:r>
    </w:p>
    <w:p>
      <w:pPr>
        <w:spacing w:after="0" w:line="135" w:lineRule="exact"/>
        <w:rPr>
          <w:sz w:val="20"/>
          <w:szCs w:val="20"/>
          <w:color w:val="auto"/>
        </w:rPr>
      </w:pPr>
    </w:p>
    <w:p>
      <w:pPr>
        <w:ind w:left="1180" w:right="80" w:hanging="328"/>
        <w:spacing w:after="0" w:line="234"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business model is designed around four sustainable competitive advantages that in combination put us in a unique class of companies. These advantages include (1) manufacturing and technology, (2) breadth of differentiated product portfolio, (3) channel reach of sales force and TI.com and (4) diversity and longevity of product, market and customer positions. In 2017, the company continued to strengthen and leverage these advantages.</w:t>
      </w:r>
    </w:p>
    <w:p>
      <w:pPr>
        <w:spacing w:after="0" w:line="3" w:lineRule="exact"/>
        <w:rPr>
          <w:rFonts w:ascii="Arial" w:cs="Arial" w:eastAsia="Arial" w:hAnsi="Arial"/>
          <w:sz w:val="18"/>
          <w:szCs w:val="18"/>
          <w:color w:val="auto"/>
        </w:rPr>
      </w:pPr>
    </w:p>
    <w:p>
      <w:pPr>
        <w:ind w:left="1180" w:right="300" w:hanging="328"/>
        <w:spacing w:after="0" w:line="234"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strategic focus is on analog and embedded processing, with a particular emphasis on designing and selling those products into the industrial and automotive markets, which we believe represent the best growth opportunities. Focused investments in these areas continue to provide the foundation for strong results in the near and long terms.</w:t>
      </w:r>
    </w:p>
    <w:p>
      <w:pPr>
        <w:spacing w:after="0" w:line="3" w:lineRule="exact"/>
        <w:rPr>
          <w:rFonts w:ascii="Arial" w:cs="Arial" w:eastAsia="Arial" w:hAnsi="Arial"/>
          <w:sz w:val="18"/>
          <w:szCs w:val="18"/>
          <w:color w:val="auto"/>
        </w:rPr>
      </w:pPr>
    </w:p>
    <w:p>
      <w:pPr>
        <w:jc w:val="both"/>
        <w:ind w:left="1740" w:right="260" w:hanging="550"/>
        <w:spacing w:after="0" w:line="234" w:lineRule="auto"/>
        <w:tabs>
          <w:tab w:leader="none" w:pos="1740" w:val="left"/>
        </w:tabs>
        <w:numPr>
          <w:ilvl w:val="1"/>
          <w:numId w:val="48"/>
        </w:numPr>
        <w:rPr>
          <w:rFonts w:ascii="Arial" w:cs="Arial" w:eastAsia="Arial" w:hAnsi="Arial"/>
          <w:sz w:val="15"/>
          <w:szCs w:val="15"/>
          <w:color w:val="auto"/>
        </w:rPr>
      </w:pPr>
      <w:r>
        <w:rPr>
          <w:rFonts w:ascii="Arial" w:cs="Arial" w:eastAsia="Arial" w:hAnsi="Arial"/>
          <w:sz w:val="18"/>
          <w:szCs w:val="18"/>
          <w:color w:val="auto"/>
        </w:rPr>
        <w:t>TI’s broad analog and embedded processing product portfolio includes tens of thousands of products, with more products added each year, offering strong differentiation and longevity. In 2017, 90 percent of TI’s revenue came from Analog and Embedded Processing semiconductors, up from 86 percent in 2016.</w:t>
      </w:r>
    </w:p>
    <w:p>
      <w:pPr>
        <w:spacing w:after="0" w:line="2" w:lineRule="exact"/>
        <w:rPr>
          <w:rFonts w:ascii="Arial" w:cs="Arial" w:eastAsia="Arial" w:hAnsi="Arial"/>
          <w:sz w:val="15"/>
          <w:szCs w:val="15"/>
          <w:color w:val="auto"/>
        </w:rPr>
      </w:pPr>
    </w:p>
    <w:p>
      <w:pPr>
        <w:jc w:val="both"/>
        <w:ind w:left="1740" w:right="400" w:hanging="550"/>
        <w:spacing w:after="0" w:line="239" w:lineRule="auto"/>
        <w:tabs>
          <w:tab w:leader="none" w:pos="1740" w:val="left"/>
        </w:tabs>
        <w:numPr>
          <w:ilvl w:val="1"/>
          <w:numId w:val="48"/>
        </w:numPr>
        <w:rPr>
          <w:rFonts w:ascii="Arial" w:cs="Arial" w:eastAsia="Arial" w:hAnsi="Arial"/>
          <w:sz w:val="15"/>
          <w:szCs w:val="15"/>
          <w:color w:val="auto"/>
        </w:rPr>
      </w:pPr>
      <w:r>
        <w:rPr>
          <w:rFonts w:ascii="Arial" w:cs="Arial" w:eastAsia="Arial" w:hAnsi="Arial"/>
          <w:sz w:val="18"/>
          <w:szCs w:val="18"/>
          <w:color w:val="auto"/>
        </w:rPr>
        <w:t>We believe the industrial and automotive markets represent the best growth opportunity for the industry for the foreseeable future because of the increasing semiconductor content in these markets. In 2017, approximately 54 percent of TI’s revenue came from industrial and automotive markets, up from approximately 51 percent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694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20" w:hanging="216"/>
        <w:spacing w:after="0" w:line="246" w:lineRule="auto"/>
        <w:tabs>
          <w:tab w:leader="none" w:pos="420" w:val="left"/>
        </w:tabs>
        <w:numPr>
          <w:ilvl w:val="0"/>
          <w:numId w:val="49"/>
        </w:numPr>
        <w:rPr>
          <w:rFonts w:ascii="Arial" w:cs="Arial" w:eastAsia="Arial" w:hAnsi="Arial"/>
          <w:sz w:val="15"/>
          <w:szCs w:val="15"/>
          <w:color w:val="auto"/>
        </w:rPr>
      </w:pPr>
      <w:r>
        <w:rPr>
          <w:rFonts w:ascii="Arial" w:cs="Arial" w:eastAsia="Arial" w:hAnsi="Arial"/>
          <w:sz w:val="18"/>
          <w:szCs w:val="18"/>
          <w:color w:val="auto"/>
        </w:rPr>
        <w:t>Free cash flow was calculated by subtracting Capital expenditures from the GAAP-based Cash flows from operating activities. For a reconciliation to GAAP, see Appendix A to this proxy statement.</w:t>
      </w:r>
    </w:p>
    <w:p>
      <w:pPr>
        <w:spacing w:after="0" w:line="124"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0900"/>
          </w:cols>
          <w:pgMar w:left="240" w:top="459" w:right="7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80" w:right="860" w:hanging="328"/>
        <w:spacing w:after="0" w:line="234"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TI’s revenue continues to come from a diverse base of thousands of applications. This is an intentional strategy that prevents dependence on a single market, customer or product.</w:t>
      </w:r>
    </w:p>
    <w:p>
      <w:pPr>
        <w:spacing w:after="0" w:line="1" w:lineRule="exact"/>
        <w:rPr>
          <w:rFonts w:ascii="Arial" w:cs="Arial" w:eastAsia="Arial" w:hAnsi="Arial"/>
          <w:sz w:val="18"/>
          <w:szCs w:val="18"/>
          <w:color w:val="auto"/>
        </w:rPr>
      </w:pPr>
    </w:p>
    <w:p>
      <w:pPr>
        <w:ind w:left="1180" w:right="480" w:hanging="328"/>
        <w:spacing w:after="0" w:line="234"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TI’s in-house capability to produce high volumes of Analog semiconductors on 300-millimeter wafers remains a competitive advantage. In 2017, the company again increased production on 300-millimeter wafers, which enabled more chips to be produced per wafer, thereby improving margins and cash generation.</w:t>
      </w:r>
    </w:p>
    <w:p>
      <w:pPr>
        <w:spacing w:after="0" w:line="2" w:lineRule="exact"/>
        <w:rPr>
          <w:rFonts w:ascii="Arial" w:cs="Arial" w:eastAsia="Arial" w:hAnsi="Arial"/>
          <w:sz w:val="18"/>
          <w:szCs w:val="18"/>
          <w:color w:val="auto"/>
        </w:rPr>
      </w:pPr>
    </w:p>
    <w:p>
      <w:pPr>
        <w:ind w:left="1180" w:right="340" w:hanging="328"/>
        <w:spacing w:after="0" w:line="246"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total, the committee determined that TI’s strategic position was strengthened by management’s decisions and actions in 2017.</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u w:val="single" w:color="auto"/>
          <w:color w:val="auto"/>
        </w:rPr>
        <w:t>Performance summary</w:t>
      </w:r>
    </w:p>
    <w:p>
      <w:pPr>
        <w:spacing w:after="0" w:line="244" w:lineRule="exact"/>
        <w:rPr>
          <w:sz w:val="20"/>
          <w:szCs w:val="20"/>
          <w:color w:val="auto"/>
        </w:rPr>
      </w:pPr>
    </w:p>
    <w:tbl>
      <w:tblPr>
        <w:tblLayout w:type="fixed"/>
        <w:tblInd w:w="1200" w:type="dxa"/>
        <w:tblCellMar>
          <w:top w:w="0" w:type="dxa"/>
          <w:left w:w="0" w:type="dxa"/>
          <w:bottom w:w="0" w:type="dxa"/>
          <w:right w:w="0" w:type="dxa"/>
        </w:tblCellMar>
      </w:tblPr>
      <w:tr>
        <w:trPr>
          <w:trHeight w:val="175"/>
        </w:trPr>
        <w:tc>
          <w:tcPr>
            <w:tcW w:w="52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1-Year</w:t>
            </w:r>
          </w:p>
        </w:tc>
        <w:tc>
          <w:tcPr>
            <w:tcW w:w="150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w w:val="98"/>
              </w:rPr>
              <w:t>3-Year</w:t>
            </w: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 growth: total TI</w:t>
            </w:r>
          </w:p>
        </w:tc>
        <w:tc>
          <w:tcPr>
            <w:tcW w:w="2340" w:type="dxa"/>
            <w:vAlign w:val="bottom"/>
            <w:shd w:val="clear" w:color="auto" w:fill="CCEEFF"/>
          </w:tcPr>
          <w:p>
            <w:pPr>
              <w:ind w:left="1680"/>
              <w:spacing w:after="0" w:line="196" w:lineRule="exact"/>
              <w:rPr>
                <w:sz w:val="20"/>
                <w:szCs w:val="20"/>
                <w:color w:val="auto"/>
              </w:rPr>
            </w:pPr>
            <w:r>
              <w:rPr>
                <w:rFonts w:ascii="Arial" w:cs="Arial" w:eastAsia="Arial" w:hAnsi="Arial"/>
                <w:sz w:val="18"/>
                <w:szCs w:val="18"/>
                <w:color w:val="auto"/>
              </w:rPr>
              <w:t>11.9%</w:t>
            </w:r>
          </w:p>
        </w:tc>
        <w:tc>
          <w:tcPr>
            <w:tcW w:w="1500" w:type="dxa"/>
            <w:vAlign w:val="bottom"/>
            <w:shd w:val="clear" w:color="auto" w:fill="CCEEFF"/>
          </w:tcPr>
          <w:p>
            <w:pPr>
              <w:jc w:val="center"/>
              <w:ind w:left="113"/>
              <w:spacing w:after="0" w:line="196" w:lineRule="exact"/>
              <w:rPr>
                <w:sz w:val="20"/>
                <w:szCs w:val="20"/>
                <w:color w:val="auto"/>
              </w:rPr>
            </w:pPr>
            <w:r>
              <w:rPr>
                <w:rFonts w:ascii="Arial" w:cs="Arial" w:eastAsia="Arial" w:hAnsi="Arial"/>
                <w:sz w:val="18"/>
                <w:szCs w:val="18"/>
                <w:color w:val="auto"/>
                <w:w w:val="99"/>
              </w:rPr>
              <w:t>4.7% CAGR</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2340" w:type="dxa"/>
            <w:vAlign w:val="bottom"/>
          </w:tcPr>
          <w:p>
            <w:pPr>
              <w:ind w:left="1680"/>
              <w:spacing w:after="0" w:line="202" w:lineRule="exact"/>
              <w:rPr>
                <w:sz w:val="20"/>
                <w:szCs w:val="20"/>
                <w:color w:val="auto"/>
              </w:rPr>
            </w:pPr>
            <w:r>
              <w:rPr>
                <w:rFonts w:ascii="Arial" w:cs="Arial" w:eastAsia="Arial" w:hAnsi="Arial"/>
                <w:sz w:val="18"/>
                <w:szCs w:val="18"/>
                <w:color w:val="auto"/>
              </w:rPr>
              <w:t>40.7%</w:t>
            </w:r>
          </w:p>
        </w:tc>
        <w:tc>
          <w:tcPr>
            <w:tcW w:w="1500" w:type="dxa"/>
            <w:vAlign w:val="bottom"/>
          </w:tcPr>
          <w:p>
            <w:pPr>
              <w:ind w:left="260"/>
              <w:spacing w:after="0" w:line="202" w:lineRule="exact"/>
              <w:rPr>
                <w:sz w:val="20"/>
                <w:szCs w:val="20"/>
                <w:color w:val="auto"/>
              </w:rPr>
            </w:pPr>
            <w:r>
              <w:rPr>
                <w:rFonts w:ascii="Arial" w:cs="Arial" w:eastAsia="Arial" w:hAnsi="Arial"/>
                <w:sz w:val="18"/>
                <w:szCs w:val="18"/>
                <w:color w:val="auto"/>
              </w:rPr>
              <w:t>36.9% average</w:t>
            </w: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Free cash flow as % of revenue</w:t>
            </w:r>
          </w:p>
        </w:tc>
        <w:tc>
          <w:tcPr>
            <w:tcW w:w="2340" w:type="dxa"/>
            <w:vAlign w:val="bottom"/>
            <w:shd w:val="clear" w:color="auto" w:fill="CCEEFF"/>
          </w:tcPr>
          <w:p>
            <w:pPr>
              <w:ind w:left="1680"/>
              <w:spacing w:after="0" w:line="202" w:lineRule="exact"/>
              <w:rPr>
                <w:sz w:val="20"/>
                <w:szCs w:val="20"/>
                <w:color w:val="auto"/>
              </w:rPr>
            </w:pPr>
            <w:r>
              <w:rPr>
                <w:rFonts w:ascii="Arial" w:cs="Arial" w:eastAsia="Arial" w:hAnsi="Arial"/>
                <w:sz w:val="18"/>
                <w:szCs w:val="18"/>
                <w:color w:val="auto"/>
              </w:rPr>
              <w:t>31.2%</w:t>
            </w:r>
          </w:p>
        </w:tc>
        <w:tc>
          <w:tcPr>
            <w:tcW w:w="15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30.5% average</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 of free cash flow returned to shareholders</w:t>
            </w:r>
          </w:p>
        </w:tc>
        <w:tc>
          <w:tcPr>
            <w:tcW w:w="2340" w:type="dxa"/>
            <w:vAlign w:val="bottom"/>
          </w:tcPr>
          <w:p>
            <w:pPr>
              <w:ind w:left="1680"/>
              <w:spacing w:after="0" w:line="202" w:lineRule="exact"/>
              <w:rPr>
                <w:sz w:val="20"/>
                <w:szCs w:val="20"/>
                <w:color w:val="auto"/>
              </w:rPr>
            </w:pPr>
            <w:r>
              <w:rPr>
                <w:rFonts w:ascii="Arial" w:cs="Arial" w:eastAsia="Arial" w:hAnsi="Arial"/>
                <w:sz w:val="18"/>
                <w:szCs w:val="18"/>
                <w:color w:val="auto"/>
              </w:rPr>
              <w:t>99.8%</w:t>
            </w:r>
          </w:p>
        </w:tc>
        <w:tc>
          <w:tcPr>
            <w:tcW w:w="1500" w:type="dxa"/>
            <w:vAlign w:val="bottom"/>
          </w:tcPr>
          <w:p>
            <w:pPr>
              <w:jc w:val="center"/>
              <w:ind w:left="53"/>
              <w:spacing w:after="0" w:line="202" w:lineRule="exact"/>
              <w:rPr>
                <w:sz w:val="20"/>
                <w:szCs w:val="20"/>
                <w:color w:val="auto"/>
              </w:rPr>
            </w:pPr>
            <w:r>
              <w:rPr>
                <w:rFonts w:ascii="Arial" w:cs="Arial" w:eastAsia="Arial" w:hAnsi="Arial"/>
                <w:sz w:val="18"/>
                <w:szCs w:val="18"/>
                <w:color w:val="auto"/>
              </w:rPr>
              <w:t>100.2% average</w:t>
            </w: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quarterly dividend rate</w:t>
            </w:r>
          </w:p>
        </w:tc>
        <w:tc>
          <w:tcPr>
            <w:tcW w:w="2340" w:type="dxa"/>
            <w:vAlign w:val="bottom"/>
            <w:shd w:val="clear" w:color="auto" w:fill="CCEEFF"/>
          </w:tcPr>
          <w:p>
            <w:pPr>
              <w:ind w:left="1680"/>
              <w:spacing w:after="0" w:line="202" w:lineRule="exact"/>
              <w:rPr>
                <w:sz w:val="20"/>
                <w:szCs w:val="20"/>
                <w:color w:val="auto"/>
              </w:rPr>
            </w:pPr>
            <w:r>
              <w:rPr>
                <w:rFonts w:ascii="Arial" w:cs="Arial" w:eastAsia="Arial" w:hAnsi="Arial"/>
                <w:sz w:val="18"/>
                <w:szCs w:val="18"/>
                <w:color w:val="auto"/>
              </w:rPr>
              <w:t>24.0%</w:t>
            </w:r>
          </w:p>
        </w:tc>
        <w:tc>
          <w:tcPr>
            <w:tcW w:w="15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82.4%</w:t>
            </w:r>
          </w:p>
        </w:tc>
      </w:tr>
      <w:tr>
        <w:trPr>
          <w:trHeight w:val="217"/>
        </w:trPr>
        <w:tc>
          <w:tcPr>
            <w:tcW w:w="5200" w:type="dxa"/>
            <w:vAlign w:val="bottom"/>
          </w:tcPr>
          <w:p>
            <w:pPr>
              <w:spacing w:after="0"/>
              <w:rPr>
                <w:sz w:val="20"/>
                <w:szCs w:val="20"/>
                <w:color w:val="auto"/>
              </w:rPr>
            </w:pPr>
            <w:r>
              <w:rPr>
                <w:rFonts w:ascii="Arial" w:cs="Arial" w:eastAsia="Arial" w:hAnsi="Arial"/>
                <w:sz w:val="18"/>
                <w:szCs w:val="18"/>
                <w:color w:val="auto"/>
              </w:rPr>
              <w:t>Total shareholder return (TSR)</w:t>
            </w:r>
          </w:p>
        </w:tc>
        <w:tc>
          <w:tcPr>
            <w:tcW w:w="2340" w:type="dxa"/>
            <w:vAlign w:val="bottom"/>
          </w:tcPr>
          <w:p>
            <w:pPr>
              <w:ind w:left="1680"/>
              <w:spacing w:after="0"/>
              <w:rPr>
                <w:sz w:val="20"/>
                <w:szCs w:val="20"/>
                <w:color w:val="auto"/>
              </w:rPr>
            </w:pPr>
            <w:r>
              <w:rPr>
                <w:rFonts w:ascii="Arial" w:cs="Arial" w:eastAsia="Arial" w:hAnsi="Arial"/>
                <w:sz w:val="18"/>
                <w:szCs w:val="18"/>
                <w:color w:val="auto"/>
              </w:rPr>
              <w:t>46.8%</w:t>
            </w:r>
          </w:p>
        </w:tc>
        <w:tc>
          <w:tcPr>
            <w:tcW w:w="1500" w:type="dxa"/>
            <w:vAlign w:val="bottom"/>
          </w:tcPr>
          <w:p>
            <w:pPr>
              <w:ind w:left="260"/>
              <w:spacing w:after="0"/>
              <w:rPr>
                <w:sz w:val="20"/>
                <w:szCs w:val="20"/>
                <w:color w:val="auto"/>
              </w:rPr>
            </w:pPr>
            <w:r>
              <w:rPr>
                <w:rFonts w:ascii="Arial" w:cs="Arial" w:eastAsia="Arial" w:hAnsi="Arial"/>
                <w:sz w:val="18"/>
                <w:szCs w:val="18"/>
                <w:color w:val="auto"/>
              </w:rPr>
              <w:t>28.3%</w:t>
            </w:r>
          </w:p>
        </w:tc>
      </w:tr>
    </w:tbl>
    <w:p>
      <w:pPr>
        <w:spacing w:after="0" w:line="198" w:lineRule="exact"/>
        <w:rPr>
          <w:sz w:val="20"/>
          <w:szCs w:val="20"/>
          <w:color w:val="auto"/>
        </w:rPr>
      </w:pPr>
    </w:p>
    <w:p>
      <w:pPr>
        <w:ind w:left="1200" w:right="1100"/>
        <w:spacing w:after="0" w:line="249" w:lineRule="auto"/>
        <w:rPr>
          <w:sz w:val="20"/>
          <w:szCs w:val="20"/>
          <w:color w:val="auto"/>
        </w:rPr>
      </w:pPr>
      <w:r>
        <w:rPr>
          <w:rFonts w:ascii="Arial" w:cs="Arial" w:eastAsia="Arial" w:hAnsi="Arial"/>
          <w:sz w:val="18"/>
          <w:szCs w:val="18"/>
          <w:color w:val="auto"/>
        </w:rPr>
        <w:t>CAGR (compound annual growth rate) is calculated using the formula (Ending Value/Beginning Value)</w:t>
      </w:r>
      <w:r>
        <w:rPr>
          <w:rFonts w:ascii="Arial" w:cs="Arial" w:eastAsia="Arial" w:hAnsi="Arial"/>
          <w:sz w:val="15"/>
          <w:szCs w:val="15"/>
          <w:color w:val="auto"/>
        </w:rPr>
        <w:t>1/number of</w:t>
      </w:r>
      <w:r>
        <w:rPr>
          <w:rFonts w:ascii="Arial" w:cs="Arial" w:eastAsia="Arial" w:hAnsi="Arial"/>
          <w:sz w:val="18"/>
          <w:szCs w:val="18"/>
          <w:color w:val="auto"/>
        </w:rPr>
        <w:t xml:space="preserve"> </w:t>
      </w:r>
      <w:r>
        <w:rPr>
          <w:rFonts w:ascii="Arial" w:cs="Arial" w:eastAsia="Arial" w:hAnsi="Arial"/>
          <w:sz w:val="15"/>
          <w:szCs w:val="15"/>
          <w:color w:val="auto"/>
        </w:rPr>
        <w:t xml:space="preserve">years </w:t>
      </w:r>
      <w:r>
        <w:rPr>
          <w:rFonts w:ascii="Arial" w:cs="Arial" w:eastAsia="Arial" w:hAnsi="Arial"/>
          <w:sz w:val="18"/>
          <w:szCs w:val="18"/>
          <w:color w:val="auto"/>
        </w:rPr>
        <w:t>minus 1.</w:t>
      </w:r>
    </w:p>
    <w:p>
      <w:pPr>
        <w:spacing w:after="0" w:line="194" w:lineRule="exact"/>
        <w:rPr>
          <w:sz w:val="20"/>
          <w:szCs w:val="20"/>
          <w:color w:val="auto"/>
        </w:rPr>
      </w:pPr>
    </w:p>
    <w:p>
      <w:pPr>
        <w:ind w:left="1200" w:right="1160"/>
        <w:spacing w:after="0" w:line="246" w:lineRule="auto"/>
        <w:rPr>
          <w:sz w:val="20"/>
          <w:szCs w:val="20"/>
          <w:color w:val="auto"/>
        </w:rPr>
      </w:pPr>
      <w:r>
        <w:rPr>
          <w:rFonts w:ascii="Arial" w:cs="Arial" w:eastAsia="Arial" w:hAnsi="Arial"/>
          <w:sz w:val="18"/>
          <w:szCs w:val="18"/>
          <w:color w:val="auto"/>
        </w:rPr>
        <w:t>One-year and three-year TSR percentages are obtained from a report generated using a subscription service to Equilar, an executive compensation and corporate governance data firm.</w:t>
      </w:r>
    </w:p>
    <w:p>
      <w:pPr>
        <w:spacing w:after="0" w:line="197" w:lineRule="exact"/>
        <w:rPr>
          <w:sz w:val="20"/>
          <w:szCs w:val="20"/>
          <w:color w:val="auto"/>
        </w:rPr>
      </w:pPr>
    </w:p>
    <w:p>
      <w:pPr>
        <w:ind w:left="540" w:right="540"/>
        <w:spacing w:after="0" w:line="239" w:lineRule="auto"/>
        <w:rPr>
          <w:sz w:val="20"/>
          <w:szCs w:val="20"/>
          <w:color w:val="auto"/>
        </w:rPr>
      </w:pPr>
      <w:r>
        <w:rPr>
          <w:rFonts w:ascii="Arial" w:cs="Arial" w:eastAsia="Arial" w:hAnsi="Arial"/>
          <w:sz w:val="18"/>
          <w:szCs w:val="18"/>
          <w:color w:val="auto"/>
        </w:rPr>
        <w:t>Before setting the bonuses for the named executive officers, the committee considered the officers’ individual performance. The performance of Mr. Templeton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202" w:lineRule="exact"/>
        <w:rPr>
          <w:sz w:val="20"/>
          <w:szCs w:val="20"/>
          <w:color w:val="auto"/>
        </w:rPr>
      </w:pPr>
    </w:p>
    <w:p>
      <w:pPr>
        <w:ind w:left="540" w:right="640"/>
        <w:spacing w:after="0" w:line="246" w:lineRule="auto"/>
        <w:rPr>
          <w:sz w:val="20"/>
          <w:szCs w:val="20"/>
          <w:color w:val="auto"/>
        </w:rPr>
      </w:pPr>
      <w:r>
        <w:rPr>
          <w:rFonts w:ascii="Arial" w:cs="Arial" w:eastAsia="Arial" w:hAnsi="Arial"/>
          <w:sz w:val="18"/>
          <w:szCs w:val="18"/>
          <w:color w:val="auto"/>
        </w:rPr>
        <w:t>Mr. March was the chief financial officer until February 1, 2017, at which time Mr. Lizardi became the chief financial officer. The committee noted the financial management of the company.</w:t>
      </w:r>
    </w:p>
    <w:p>
      <w:pPr>
        <w:spacing w:after="0" w:line="197" w:lineRule="exact"/>
        <w:rPr>
          <w:sz w:val="20"/>
          <w:szCs w:val="20"/>
          <w:color w:val="auto"/>
        </w:rPr>
      </w:pPr>
    </w:p>
    <w:p>
      <w:pPr>
        <w:ind w:left="540" w:right="660"/>
        <w:spacing w:after="0" w:line="246" w:lineRule="auto"/>
        <w:rPr>
          <w:sz w:val="20"/>
          <w:szCs w:val="20"/>
          <w:color w:val="auto"/>
        </w:rPr>
      </w:pPr>
      <w:r>
        <w:rPr>
          <w:rFonts w:ascii="Arial" w:cs="Arial" w:eastAsia="Arial" w:hAnsi="Arial"/>
          <w:sz w:val="18"/>
          <w:szCs w:val="18"/>
          <w:color w:val="auto"/>
        </w:rPr>
        <w:t>Mr. Crutcher is responsible for all of the company’s business operations and manufacturing. The committee noted the financial performance and strategic position of the product lines and activities for which he is responsible.</w:t>
      </w:r>
    </w:p>
    <w:p>
      <w:pPr>
        <w:spacing w:after="0" w:line="197" w:lineRule="exact"/>
        <w:rPr>
          <w:sz w:val="20"/>
          <w:szCs w:val="20"/>
          <w:color w:val="auto"/>
        </w:rPr>
      </w:pPr>
    </w:p>
    <w:p>
      <w:pPr>
        <w:ind w:left="540" w:right="560"/>
        <w:spacing w:after="0" w:line="246" w:lineRule="auto"/>
        <w:rPr>
          <w:sz w:val="20"/>
          <w:szCs w:val="20"/>
          <w:color w:val="auto"/>
        </w:rPr>
      </w:pPr>
      <w:r>
        <w:rPr>
          <w:rFonts w:ascii="Arial" w:cs="Arial" w:eastAsia="Arial" w:hAnsi="Arial"/>
          <w:sz w:val="18"/>
          <w:szCs w:val="18"/>
          <w:color w:val="auto"/>
        </w:rPr>
        <w:t>Mr. Ritchie is responsible for the company’s semiconductor manufacturing operations. The committee noted the performance of those operations, including their cost-competitiveness and inventory management.</w:t>
      </w:r>
    </w:p>
    <w:p>
      <w:pPr>
        <w:spacing w:after="0" w:line="197" w:lineRule="exact"/>
        <w:rPr>
          <w:sz w:val="20"/>
          <w:szCs w:val="20"/>
          <w:color w:val="auto"/>
        </w:rPr>
      </w:pPr>
    </w:p>
    <w:p>
      <w:pPr>
        <w:ind w:left="540" w:right="580"/>
        <w:spacing w:after="0" w:line="246" w:lineRule="auto"/>
        <w:rPr>
          <w:sz w:val="20"/>
          <w:szCs w:val="20"/>
          <w:color w:val="auto"/>
        </w:rPr>
      </w:pPr>
      <w:r>
        <w:rPr>
          <w:rFonts w:ascii="Arial" w:cs="Arial" w:eastAsia="Arial" w:hAnsi="Arial"/>
          <w:sz w:val="18"/>
          <w:szCs w:val="18"/>
          <w:color w:val="auto"/>
        </w:rPr>
        <w:t>Mr. Delagi is responsible for the company’s embedded processing and custom product lines. The committee noted the financial performance and strategic position of these product lines.</w:t>
      </w:r>
    </w:p>
    <w:p>
      <w:pPr>
        <w:spacing w:after="0" w:line="197" w:lineRule="exact"/>
        <w:rPr>
          <w:sz w:val="20"/>
          <w:szCs w:val="20"/>
          <w:color w:val="auto"/>
        </w:rPr>
      </w:pPr>
    </w:p>
    <w:p>
      <w:pPr>
        <w:ind w:left="540" w:right="400"/>
        <w:spacing w:after="0" w:line="238" w:lineRule="auto"/>
        <w:rPr>
          <w:sz w:val="20"/>
          <w:szCs w:val="20"/>
          <w:color w:val="auto"/>
        </w:rPr>
      </w:pPr>
      <w:r>
        <w:rPr>
          <w:rFonts w:ascii="Arial" w:cs="Arial" w:eastAsia="Arial" w:hAnsi="Arial"/>
          <w:sz w:val="18"/>
          <w:szCs w:val="18"/>
          <w:color w:val="auto"/>
        </w:rPr>
        <w:t>The bonuses awarded for 2017 performance are shown in the table below. The differences in the amounts awarded to the named executive officers were primarily the result of differences in the officers’ level of responsibility and the applicable market level of total cash compensation expected to be paid to similarly situated officers at companies within the Comparator Group. The bonus of each named executive officer was paid under the Executive Officer Performance Plan described in footnote 3 to the 2017 summary compensation table.</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25</w:t>
            </w:r>
          </w:p>
        </w:tc>
      </w:tr>
    </w:tbl>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Results of the compensation decisions</w:t>
      </w:r>
    </w:p>
    <w:p>
      <w:pPr>
        <w:spacing w:after="0" w:line="14" w:lineRule="exact"/>
        <w:rPr>
          <w:sz w:val="20"/>
          <w:szCs w:val="20"/>
          <w:color w:val="auto"/>
        </w:rPr>
      </w:pPr>
    </w:p>
    <w:p>
      <w:pPr>
        <w:ind w:left="200" w:right="300"/>
        <w:spacing w:after="0" w:line="238" w:lineRule="auto"/>
        <w:rPr>
          <w:sz w:val="20"/>
          <w:szCs w:val="20"/>
          <w:color w:val="auto"/>
        </w:rPr>
      </w:pPr>
      <w:r>
        <w:rPr>
          <w:rFonts w:ascii="Arial" w:cs="Arial" w:eastAsia="Arial" w:hAnsi="Arial"/>
          <w:sz w:val="18"/>
          <w:szCs w:val="18"/>
          <w:color w:val="auto"/>
        </w:rPr>
        <w:t>Results of the compensation decisions made by the committee relating to the named executive officers, as well as the results of the compensation decisions made by management and reviewed by the committee for Mr. Lizardi for 2017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193"/>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31"/>
              <w:spacing w:after="0"/>
              <w:rPr>
                <w:sz w:val="20"/>
                <w:szCs w:val="20"/>
                <w:color w:val="auto"/>
              </w:rPr>
            </w:pPr>
            <w:r>
              <w:rPr>
                <w:rFonts w:ascii="Arial" w:cs="Arial" w:eastAsia="Arial" w:hAnsi="Arial"/>
                <w:sz w:val="14"/>
                <w:szCs w:val="14"/>
                <w:b w:val="1"/>
                <w:bCs w:val="1"/>
                <w:color w:val="auto"/>
              </w:rPr>
              <w:t>Salary</w:t>
            </w:r>
          </w:p>
        </w:tc>
        <w:tc>
          <w:tcPr>
            <w:tcW w:w="300" w:type="dxa"/>
            <w:vAlign w:val="bottom"/>
          </w:tcPr>
          <w:p>
            <w:pPr>
              <w:spacing w:after="0"/>
              <w:rPr>
                <w:sz w:val="14"/>
                <w:szCs w:val="14"/>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Profit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13"/>
              <w:spacing w:after="0"/>
              <w:rPr>
                <w:sz w:val="20"/>
                <w:szCs w:val="20"/>
                <w:color w:val="auto"/>
              </w:rPr>
            </w:pPr>
            <w:r>
              <w:rPr>
                <w:rFonts w:ascii="Arial" w:cs="Arial" w:eastAsia="Arial" w:hAnsi="Arial"/>
                <w:sz w:val="14"/>
                <w:szCs w:val="14"/>
                <w:b w:val="1"/>
                <w:bCs w:val="1"/>
                <w:color w:val="auto"/>
              </w:rPr>
              <w:t>(Grant Date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900" w:type="dxa"/>
            <w:vAlign w:val="bottom"/>
          </w:tcPr>
          <w:p>
            <w:pPr>
              <w:ind w:left="360"/>
              <w:spacing w:after="0"/>
              <w:rPr>
                <w:sz w:val="20"/>
                <w:szCs w:val="20"/>
                <w:color w:val="auto"/>
              </w:rPr>
            </w:pPr>
            <w:r>
              <w:rPr>
                <w:rFonts w:ascii="Arial" w:cs="Arial" w:eastAsia="Arial" w:hAnsi="Arial"/>
                <w:sz w:val="14"/>
                <w:szCs w:val="14"/>
                <w:b w:val="1"/>
                <w:bCs w:val="1"/>
                <w:color w:val="auto"/>
              </w:rPr>
              <w:t>Year</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(Annual Rate)</w:t>
            </w:r>
          </w:p>
        </w:tc>
        <w:tc>
          <w:tcPr>
            <w:tcW w:w="300" w:type="dxa"/>
            <w:vAlign w:val="bottom"/>
          </w:tcPr>
          <w:p>
            <w:pPr>
              <w:spacing w:after="0"/>
              <w:rPr>
                <w:sz w:val="15"/>
                <w:szCs w:val="15"/>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Sharing</w:t>
            </w:r>
          </w:p>
        </w:tc>
        <w:tc>
          <w:tcPr>
            <w:tcW w:w="300" w:type="dxa"/>
            <w:vAlign w:val="bottom"/>
          </w:tcPr>
          <w:p>
            <w:pPr>
              <w:spacing w:after="0"/>
              <w:rPr>
                <w:sz w:val="15"/>
                <w:szCs w:val="15"/>
                <w:color w:val="auto"/>
              </w:rPr>
            </w:pPr>
          </w:p>
        </w:tc>
        <w:tc>
          <w:tcPr>
            <w:tcW w:w="980" w:type="dxa"/>
            <w:vAlign w:val="bottom"/>
          </w:tcPr>
          <w:p>
            <w:pPr>
              <w:jc w:val="right"/>
              <w:ind w:right="331"/>
              <w:spacing w:after="0"/>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5"/>
                <w:szCs w:val="15"/>
                <w:color w:val="auto"/>
              </w:rPr>
            </w:pPr>
          </w:p>
        </w:tc>
        <w:tc>
          <w:tcPr>
            <w:tcW w:w="1120" w:type="dxa"/>
            <w:vAlign w:val="bottom"/>
          </w:tcPr>
          <w:p>
            <w:pPr>
              <w:jc w:val="center"/>
              <w:ind w:right="213"/>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5"/>
                <w:szCs w:val="15"/>
                <w:color w:val="auto"/>
              </w:rPr>
            </w:pPr>
          </w:p>
        </w:tc>
        <w:tc>
          <w:tcPr>
            <w:tcW w:w="1000" w:type="dxa"/>
            <w:vAlign w:val="bottom"/>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w:t>
            </w:r>
          </w:p>
        </w:tc>
        <w:tc>
          <w:tcPr>
            <w:tcW w:w="900" w:type="dxa"/>
            <w:vAlign w:val="bottom"/>
            <w:tcBorders>
              <w:top w:val="single" w:sz="8" w:color="auto"/>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2017</w:t>
            </w:r>
          </w:p>
        </w:tc>
        <w:tc>
          <w:tcPr>
            <w:tcW w:w="300" w:type="dxa"/>
            <w:vAlign w:val="bottom"/>
            <w:tcBorders>
              <w:top w:val="single" w:sz="8" w:color="auto"/>
            </w:tcBorders>
            <w:shd w:val="clear" w:color="auto" w:fill="CCEEFF"/>
          </w:tcPr>
          <w:p>
            <w:pPr>
              <w:ind w:left="180"/>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71"/>
              <w:spacing w:after="0" w:line="195" w:lineRule="exact"/>
              <w:rPr>
                <w:sz w:val="20"/>
                <w:szCs w:val="20"/>
                <w:color w:val="auto"/>
              </w:rPr>
            </w:pPr>
            <w:r>
              <w:rPr>
                <w:rFonts w:ascii="Arial" w:cs="Arial" w:eastAsia="Arial" w:hAnsi="Arial"/>
                <w:sz w:val="18"/>
                <w:szCs w:val="18"/>
                <w:color w:val="auto"/>
              </w:rPr>
              <w:t>1,190,000</w:t>
            </w:r>
          </w:p>
        </w:tc>
        <w:tc>
          <w:tcPr>
            <w:tcW w:w="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92"/>
              <w:spacing w:after="0" w:line="195" w:lineRule="exact"/>
              <w:rPr>
                <w:sz w:val="20"/>
                <w:szCs w:val="20"/>
                <w:color w:val="auto"/>
              </w:rPr>
            </w:pPr>
            <w:r>
              <w:rPr>
                <w:rFonts w:ascii="Arial" w:cs="Arial" w:eastAsia="Arial" w:hAnsi="Arial"/>
                <w:sz w:val="18"/>
                <w:szCs w:val="18"/>
                <w:color w:val="auto"/>
              </w:rPr>
              <w:t>237,601</w:t>
            </w:r>
          </w:p>
        </w:tc>
        <w:tc>
          <w:tcPr>
            <w:tcW w:w="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71"/>
              <w:spacing w:after="0" w:line="195" w:lineRule="exact"/>
              <w:rPr>
                <w:sz w:val="20"/>
                <w:szCs w:val="20"/>
                <w:color w:val="auto"/>
              </w:rPr>
            </w:pPr>
            <w:r>
              <w:rPr>
                <w:rFonts w:ascii="Arial" w:cs="Arial" w:eastAsia="Arial" w:hAnsi="Arial"/>
                <w:sz w:val="18"/>
                <w:szCs w:val="18"/>
                <w:color w:val="auto"/>
                <w:w w:val="99"/>
              </w:rPr>
              <w:t>3,625,000</w:t>
            </w:r>
          </w:p>
        </w:tc>
        <w:tc>
          <w:tcPr>
            <w:tcW w:w="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93"/>
              <w:spacing w:after="0" w:line="195" w:lineRule="exact"/>
              <w:rPr>
                <w:sz w:val="20"/>
                <w:szCs w:val="20"/>
                <w:color w:val="auto"/>
              </w:rPr>
            </w:pPr>
            <w:r>
              <w:rPr>
                <w:rFonts w:ascii="Arial" w:cs="Arial" w:eastAsia="Arial" w:hAnsi="Arial"/>
                <w:sz w:val="18"/>
                <w:szCs w:val="18"/>
                <w:color w:val="auto"/>
              </w:rPr>
              <w:t>11,000,014</w:t>
            </w:r>
          </w:p>
        </w:tc>
        <w:tc>
          <w:tcPr>
            <w:tcW w:w="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16,052,615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9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shd w:val="clear" w:color="auto" w:fill="CCEEFF"/>
              </w:rPr>
              <w:t>2016</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shd w:val="clear" w:color="auto" w:fill="CCEEFF"/>
              </w:rPr>
              <w:t>$</w:t>
            </w:r>
          </w:p>
        </w:tc>
        <w:tc>
          <w:tcPr>
            <w:tcW w:w="100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shd w:val="clear" w:color="auto" w:fill="CCEEFF"/>
              </w:rPr>
              <w:t>1,166,000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shd w:val="clear" w:color="auto" w:fill="CCEEFF"/>
              </w:rPr>
              <w:t>232,817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9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w w:val="99"/>
                <w:shd w:val="clear" w:color="auto" w:fill="CCEEFF"/>
              </w:rPr>
              <w:t>3,450,000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11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shd w:val="clear" w:color="auto" w:fill="CCEEFF"/>
              </w:rPr>
              <w:t>9,800,055</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14,648,872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9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shd w:val="clear" w:color="auto" w:fill="CCEEFF"/>
              </w:rPr>
              <w:t>2015</w:t>
            </w:r>
          </w:p>
        </w:tc>
        <w:tc>
          <w:tcPr>
            <w:tcW w:w="3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99"/>
                <w:shd w:val="clear" w:color="auto" w:fill="CCEEFF"/>
              </w:rPr>
              <w:t>$</w:t>
            </w:r>
          </w:p>
        </w:tc>
        <w:tc>
          <w:tcPr>
            <w:tcW w:w="100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shd w:val="clear" w:color="auto" w:fill="CCEEFF"/>
              </w:rPr>
              <w:t>1,143,000</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shd w:val="clear" w:color="auto" w:fill="CCEEFF"/>
              </w:rPr>
              <w:t>203,877</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98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w w:val="99"/>
                <w:shd w:val="clear" w:color="auto" w:fill="CCEEFF"/>
              </w:rPr>
              <w:t>3,450,000</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1120" w:type="dxa"/>
            <w:vAlign w:val="bottom"/>
            <w:shd w:val="clear" w:color="auto" w:fill="CCEEFF"/>
          </w:tcPr>
          <w:p>
            <w:pPr>
              <w:jc w:val="right"/>
              <w:ind w:right="93"/>
              <w:spacing w:after="0" w:line="203" w:lineRule="exact"/>
              <w:rPr>
                <w:sz w:val="20"/>
                <w:szCs w:val="20"/>
                <w:color w:val="auto"/>
              </w:rPr>
            </w:pPr>
            <w:r>
              <w:rPr>
                <w:rFonts w:ascii="Arial" w:cs="Arial" w:eastAsia="Arial" w:hAnsi="Arial"/>
                <w:sz w:val="18"/>
                <w:szCs w:val="18"/>
                <w:color w:val="auto"/>
                <w:shd w:val="clear" w:color="auto" w:fill="CCEEFF"/>
              </w:rPr>
              <w:t>9,800,023</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14,596,900</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R. R. Lizardi</w:t>
            </w:r>
          </w:p>
        </w:tc>
        <w:tc>
          <w:tcPr>
            <w:tcW w:w="900" w:type="dxa"/>
            <w:vAlign w:val="bottom"/>
          </w:tcPr>
          <w:p>
            <w:pPr>
              <w:ind w:left="340"/>
              <w:spacing w:after="0"/>
              <w:rPr>
                <w:sz w:val="20"/>
                <w:szCs w:val="20"/>
                <w:color w:val="auto"/>
              </w:rPr>
            </w:pPr>
            <w:r>
              <w:rPr>
                <w:rFonts w:ascii="Arial" w:cs="Arial" w:eastAsia="Arial" w:hAnsi="Arial"/>
                <w:sz w:val="18"/>
                <w:szCs w:val="18"/>
                <w:color w:val="auto"/>
              </w:rPr>
              <w:t>2017</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97,667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3,000,060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4,447,727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 P. March</w:t>
            </w:r>
          </w:p>
        </w:tc>
        <w:tc>
          <w:tcPr>
            <w:tcW w:w="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rPr>
              <w:t>682,000</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2"/>
              <w:spacing w:after="0" w:line="201" w:lineRule="exact"/>
              <w:rPr>
                <w:sz w:val="20"/>
                <w:szCs w:val="20"/>
                <w:color w:val="auto"/>
              </w:rPr>
            </w:pPr>
            <w:r>
              <w:rPr>
                <w:rFonts w:ascii="Arial" w:cs="Arial" w:eastAsia="Arial" w:hAnsi="Arial"/>
                <w:sz w:val="18"/>
                <w:szCs w:val="18"/>
                <w:color w:val="auto"/>
              </w:rPr>
              <w:t>113,950</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line="201" w:lineRule="exact"/>
              <w:rPr>
                <w:sz w:val="20"/>
                <w:szCs w:val="20"/>
                <w:color w:val="auto"/>
              </w:rPr>
            </w:pPr>
            <w:r>
              <w:rPr>
                <w:rFonts w:ascii="Arial" w:cs="Arial" w:eastAsia="Arial" w:hAnsi="Arial"/>
                <w:sz w:val="18"/>
                <w:szCs w:val="18"/>
                <w:color w:val="auto"/>
              </w:rPr>
              <w:t>2,700,048</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3,495,998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9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shd w:val="clear" w:color="auto" w:fill="CCEEFF"/>
              </w:rPr>
              <w:t>2016</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shd w:val="clear" w:color="auto" w:fill="CCEEFF"/>
              </w:rPr>
              <w:t>$</w:t>
            </w:r>
          </w:p>
        </w:tc>
        <w:tc>
          <w:tcPr>
            <w:tcW w:w="100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shd w:val="clear" w:color="auto" w:fill="CCEEFF"/>
              </w:rPr>
              <w:t>668,000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shd w:val="clear" w:color="auto" w:fill="CCEEFF"/>
              </w:rPr>
              <w:t>133,283</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9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w w:val="99"/>
                <w:shd w:val="clear" w:color="auto" w:fill="CCEEFF"/>
              </w:rPr>
              <w:t>1,110,000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11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shd w:val="clear" w:color="auto" w:fill="CCEEFF"/>
              </w:rPr>
              <w:t>2,700,035</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4,611,318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9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shd w:val="clear" w:color="auto" w:fill="CCEEFF"/>
              </w:rPr>
              <w:t>2015</w:t>
            </w:r>
          </w:p>
        </w:tc>
        <w:tc>
          <w:tcPr>
            <w:tcW w:w="3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99"/>
                <w:shd w:val="clear" w:color="auto" w:fill="CCEEFF"/>
              </w:rPr>
              <w:t>$</w:t>
            </w:r>
          </w:p>
        </w:tc>
        <w:tc>
          <w:tcPr>
            <w:tcW w:w="100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shd w:val="clear" w:color="auto" w:fill="CCEEFF"/>
              </w:rPr>
              <w:t>649,000</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shd w:val="clear" w:color="auto" w:fill="CCEEFF"/>
              </w:rPr>
              <w:t>115,758</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98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w w:val="99"/>
                <w:shd w:val="clear" w:color="auto" w:fill="CCEEFF"/>
              </w:rPr>
              <w:t>1,110,000</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1120" w:type="dxa"/>
            <w:vAlign w:val="bottom"/>
            <w:shd w:val="clear" w:color="auto" w:fill="CCEEFF"/>
          </w:tcPr>
          <w:p>
            <w:pPr>
              <w:jc w:val="right"/>
              <w:ind w:right="93"/>
              <w:spacing w:after="0" w:line="203" w:lineRule="exact"/>
              <w:rPr>
                <w:sz w:val="20"/>
                <w:szCs w:val="20"/>
                <w:color w:val="auto"/>
              </w:rPr>
            </w:pPr>
            <w:r>
              <w:rPr>
                <w:rFonts w:ascii="Arial" w:cs="Arial" w:eastAsia="Arial" w:hAnsi="Arial"/>
                <w:sz w:val="18"/>
                <w:szCs w:val="18"/>
                <w:color w:val="auto"/>
                <w:shd w:val="clear" w:color="auto" w:fill="CCEEFF"/>
              </w:rPr>
              <w:t>2,700,017</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4,574,775</w:t>
            </w:r>
          </w:p>
        </w:tc>
        <w:tc>
          <w:tcPr>
            <w:tcW w:w="0" w:type="dxa"/>
            <w:vAlign w:val="bottom"/>
          </w:tcPr>
          <w:p>
            <w:pPr>
              <w:spacing w:after="0"/>
              <w:rPr>
                <w:sz w:val="1"/>
                <w:szCs w:val="1"/>
                <w:color w:val="auto"/>
              </w:rPr>
            </w:pPr>
          </w:p>
        </w:tc>
      </w:tr>
      <w:tr>
        <w:trPr>
          <w:trHeight w:val="418"/>
        </w:trPr>
        <w:tc>
          <w:tcPr>
            <w:tcW w:w="3680" w:type="dxa"/>
            <w:vAlign w:val="bottom"/>
            <w:gridSpan w:val="2"/>
          </w:tcPr>
          <w:p>
            <w:pPr>
              <w:spacing w:after="0"/>
              <w:rPr>
                <w:sz w:val="20"/>
                <w:szCs w:val="20"/>
                <w:color w:val="auto"/>
              </w:rPr>
            </w:pPr>
            <w:r>
              <w:rPr>
                <w:rFonts w:ascii="Arial" w:cs="Arial" w:eastAsia="Arial" w:hAnsi="Arial"/>
                <w:sz w:val="18"/>
                <w:szCs w:val="18"/>
                <w:color w:val="auto"/>
              </w:rPr>
              <w:t>B. T. Crutcher</w:t>
            </w:r>
          </w:p>
        </w:tc>
        <w:tc>
          <w:tcPr>
            <w:tcW w:w="900" w:type="dxa"/>
            <w:vAlign w:val="bottom"/>
          </w:tcPr>
          <w:p>
            <w:pPr>
              <w:ind w:left="340"/>
              <w:spacing w:after="0"/>
              <w:rPr>
                <w:sz w:val="20"/>
                <w:szCs w:val="20"/>
                <w:color w:val="auto"/>
              </w:rPr>
            </w:pPr>
            <w:r>
              <w:rPr>
                <w:rFonts w:ascii="Arial" w:cs="Arial" w:eastAsia="Arial" w:hAnsi="Arial"/>
                <w:sz w:val="18"/>
                <w:szCs w:val="18"/>
                <w:color w:val="auto"/>
              </w:rPr>
              <w:t>2017</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875,000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174,167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w w:val="99"/>
              </w:rPr>
              <w:t>2,350,000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7,500,034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10,899,201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900" w:type="dxa"/>
            <w:vAlign w:val="bottom"/>
          </w:tcPr>
          <w:p>
            <w:pPr>
              <w:ind w:left="340"/>
              <w:spacing w:after="0" w:line="202" w:lineRule="exact"/>
              <w:rPr>
                <w:sz w:val="20"/>
                <w:szCs w:val="20"/>
                <w:color w:val="auto"/>
              </w:rPr>
            </w:pPr>
            <w:r>
              <w:rPr>
                <w:rFonts w:ascii="Arial" w:cs="Arial" w:eastAsia="Arial" w:hAnsi="Arial"/>
                <w:sz w:val="18"/>
                <w:szCs w:val="18"/>
                <w:color w:val="auto"/>
              </w:rPr>
              <w:t>2016</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line="202" w:lineRule="exact"/>
              <w:rPr>
                <w:sz w:val="20"/>
                <w:szCs w:val="20"/>
                <w:color w:val="auto"/>
              </w:rPr>
            </w:pPr>
            <w:r>
              <w:rPr>
                <w:rFonts w:ascii="Arial" w:cs="Arial" w:eastAsia="Arial" w:hAnsi="Arial"/>
                <w:sz w:val="18"/>
                <w:szCs w:val="18"/>
                <w:color w:val="auto"/>
              </w:rPr>
              <w:t>825,000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164,583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line="202" w:lineRule="exact"/>
              <w:rPr>
                <w:sz w:val="20"/>
                <w:szCs w:val="20"/>
                <w:color w:val="auto"/>
              </w:rPr>
            </w:pPr>
            <w:r>
              <w:rPr>
                <w:rFonts w:ascii="Arial" w:cs="Arial" w:eastAsia="Arial" w:hAnsi="Arial"/>
                <w:sz w:val="18"/>
                <w:szCs w:val="18"/>
                <w:color w:val="auto"/>
                <w:w w:val="99"/>
              </w:rPr>
              <w:t>2,000,000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5,500,031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8,489,614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2015</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142,668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w w:val="99"/>
              </w:rPr>
              <w:t>1,750,000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5,500,029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8,192,697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 J. Ritchie</w:t>
            </w:r>
          </w:p>
        </w:tc>
        <w:tc>
          <w:tcPr>
            <w:tcW w:w="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rPr>
              <w:t>704,000</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2"/>
              <w:spacing w:after="0" w:line="201" w:lineRule="exact"/>
              <w:rPr>
                <w:sz w:val="20"/>
                <w:szCs w:val="20"/>
                <w:color w:val="auto"/>
              </w:rPr>
            </w:pPr>
            <w:r>
              <w:rPr>
                <w:rFonts w:ascii="Arial" w:cs="Arial" w:eastAsia="Arial" w:hAnsi="Arial"/>
                <w:sz w:val="18"/>
                <w:szCs w:val="18"/>
                <w:color w:val="auto"/>
              </w:rPr>
              <w:t>140,567</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w w:val="99"/>
              </w:rPr>
              <w:t>1,325,000</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line="201" w:lineRule="exact"/>
              <w:rPr>
                <w:sz w:val="20"/>
                <w:szCs w:val="20"/>
                <w:color w:val="auto"/>
              </w:rPr>
            </w:pPr>
            <w:r>
              <w:rPr>
                <w:rFonts w:ascii="Arial" w:cs="Arial" w:eastAsia="Arial" w:hAnsi="Arial"/>
                <w:sz w:val="18"/>
                <w:szCs w:val="18"/>
                <w:color w:val="auto"/>
              </w:rPr>
              <w:t>4,000,056</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6,169,623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9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shd w:val="clear" w:color="auto" w:fill="CCEEFF"/>
              </w:rPr>
              <w:t>2016</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shd w:val="clear" w:color="auto" w:fill="CCEEFF"/>
              </w:rPr>
              <w:t>$</w:t>
            </w:r>
          </w:p>
        </w:tc>
        <w:tc>
          <w:tcPr>
            <w:tcW w:w="100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shd w:val="clear" w:color="auto" w:fill="CCEEFF"/>
              </w:rPr>
              <w:t>690,000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shd w:val="clear" w:color="auto" w:fill="CCEEFF"/>
              </w:rPr>
              <w:t>137,667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9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w w:val="99"/>
                <w:shd w:val="clear" w:color="auto" w:fill="CCEEFF"/>
              </w:rPr>
              <w:t>1,265,000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11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shd w:val="clear" w:color="auto" w:fill="CCEEFF"/>
              </w:rPr>
              <w:t>4,000,014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6,092,681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9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shd w:val="clear" w:color="auto" w:fill="CCEEFF"/>
              </w:rPr>
              <w:t>2015</w:t>
            </w:r>
          </w:p>
        </w:tc>
        <w:tc>
          <w:tcPr>
            <w:tcW w:w="3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99"/>
                <w:shd w:val="clear" w:color="auto" w:fill="CCEEFF"/>
              </w:rPr>
              <w:t>$</w:t>
            </w:r>
          </w:p>
        </w:tc>
        <w:tc>
          <w:tcPr>
            <w:tcW w:w="100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shd w:val="clear" w:color="auto" w:fill="CCEEFF"/>
              </w:rPr>
              <w:t>670,000</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shd w:val="clear" w:color="auto" w:fill="CCEEFF"/>
              </w:rPr>
              <w:t>119,498</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98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w w:val="99"/>
                <w:shd w:val="clear" w:color="auto" w:fill="CCEEFF"/>
              </w:rPr>
              <w:t>1,265,000</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1120" w:type="dxa"/>
            <w:vAlign w:val="bottom"/>
            <w:shd w:val="clear" w:color="auto" w:fill="CCEEFF"/>
          </w:tcPr>
          <w:p>
            <w:pPr>
              <w:jc w:val="right"/>
              <w:ind w:right="93"/>
              <w:spacing w:after="0" w:line="203" w:lineRule="exact"/>
              <w:rPr>
                <w:sz w:val="20"/>
                <w:szCs w:val="20"/>
                <w:color w:val="auto"/>
              </w:rPr>
            </w:pPr>
            <w:r>
              <w:rPr>
                <w:rFonts w:ascii="Arial" w:cs="Arial" w:eastAsia="Arial" w:hAnsi="Arial"/>
                <w:sz w:val="18"/>
                <w:szCs w:val="18"/>
                <w:color w:val="auto"/>
                <w:shd w:val="clear" w:color="auto" w:fill="CCEEFF"/>
              </w:rPr>
              <w:t>4,000,045</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shd w:val="clear" w:color="auto" w:fill="CCEEFF"/>
              </w:rPr>
              <w:t>6,054,543</w:t>
            </w:r>
          </w:p>
        </w:tc>
        <w:tc>
          <w:tcPr>
            <w:tcW w:w="0" w:type="dxa"/>
            <w:vAlign w:val="bottom"/>
          </w:tcPr>
          <w:p>
            <w:pPr>
              <w:spacing w:after="0"/>
              <w:rPr>
                <w:sz w:val="1"/>
                <w:szCs w:val="1"/>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R. G. Delagi</w:t>
            </w:r>
          </w:p>
        </w:tc>
        <w:tc>
          <w:tcPr>
            <w:tcW w:w="900" w:type="dxa"/>
            <w:vAlign w:val="bottom"/>
          </w:tcPr>
          <w:p>
            <w:pPr>
              <w:ind w:left="340"/>
              <w:spacing w:after="0"/>
              <w:rPr>
                <w:sz w:val="20"/>
                <w:szCs w:val="20"/>
                <w:color w:val="auto"/>
              </w:rPr>
            </w:pPr>
            <w:r>
              <w:rPr>
                <w:rFonts w:ascii="Arial" w:cs="Arial" w:eastAsia="Arial" w:hAnsi="Arial"/>
                <w:sz w:val="18"/>
                <w:szCs w:val="18"/>
                <w:color w:val="auto"/>
              </w:rPr>
              <w:t>2017</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139,750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w w:val="99"/>
              </w:rPr>
              <w:t>1,100,000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3,600,090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5,539,840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This table shows the annual rate of base salary for each named executive officer.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Please see notes 2 and 3 to the summary compensation table for information about how grant date fair value was calculated.</w:t>
      </w:r>
    </w:p>
    <w:p>
      <w:pPr>
        <w:spacing w:after="0" w:line="20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For Mr. Templeton and Mr. Crutcher, the “Total” for 2017 was higher than for 2016 primarily due to the higher equity awards in 2017, reflecting an effort to align with the projected market range for similarly situated executives in our comparator group. The 2017 decrease in “Total” compensation for Mr. March reflects his retirement. For Mr. Ritchie, the “Total” for 2017 was higher than for 2016 primarily due to the higher bonus award.</w:t>
      </w:r>
    </w:p>
    <w:p>
      <w:pPr>
        <w:spacing w:after="0" w:line="12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decisions shown above resulted in the following 2017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152400</wp:posOffset>
            </wp:positionV>
            <wp:extent cx="4064635" cy="23837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6463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dilution</w:t>
      </w:r>
    </w:p>
    <w:p>
      <w:pPr>
        <w:spacing w:after="0" w:line="12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2017 resulted in 0.7 percent net annual dilution.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Process for equity grants</w:t>
      </w:r>
    </w:p>
    <w:p>
      <w:pPr>
        <w:spacing w:after="0" w:line="122"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203"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On occasion, the committee may grant stock options or restricted stock units to executives at times other than January. For example, it has done so in connection with job promotions and for purposes of retention.</w:t>
      </w:r>
    </w:p>
    <w:p>
      <w:pPr>
        <w:spacing w:after="0" w:line="197" w:lineRule="exact"/>
        <w:rPr>
          <w:sz w:val="20"/>
          <w:szCs w:val="20"/>
          <w:color w:val="auto"/>
        </w:rPr>
      </w:pPr>
    </w:p>
    <w:p>
      <w:pPr>
        <w:ind w:left="200" w:right="500"/>
        <w:spacing w:after="0" w:line="246" w:lineRule="auto"/>
        <w:rPr>
          <w:sz w:val="20"/>
          <w:szCs w:val="20"/>
          <w:color w:val="auto"/>
        </w:rPr>
      </w:pPr>
      <w:r>
        <w:rPr>
          <w:rFonts w:ascii="Arial" w:cs="Arial" w:eastAsia="Arial" w:hAnsi="Arial"/>
          <w:sz w:val="18"/>
          <w:szCs w:val="18"/>
          <w:color w:val="auto"/>
        </w:rPr>
        <w:t>We do not back-date stock options or restricted stock units. We do not accelerate or delay the release of information due to plans for making equity grants.</w:t>
      </w:r>
    </w:p>
    <w:p>
      <w:pPr>
        <w:spacing w:after="0" w:line="197"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If the committee meeting falls in the same month as the release of the company’s financial results, the committee’s practice is to make grants effective (i) on the second trading day after the results have been released or (ii) on the meeting day if later. In other months, its practice is to make them effective on the day of committee action. The exercise price of stock options is the closing price of TI stock on the effective date of the grant.</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Recoupment policy</w:t>
      </w:r>
    </w:p>
    <w:p>
      <w:pPr>
        <w:spacing w:after="0" w:line="122"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whose fraud or willful misconduct contributed to the need for such restatement. Such action may include (a) seeking reimbursement of any bonus paid to such officer exceeding the amount that, in the judgment of the committee, would have been paid had the financial results been properly reported and (b) seeking to recover profits received by such officer during the 12 months after the restated period under equity compensation awards. All determinations by the committee with respect to this policy are final and binding on all interested parties.</w:t>
      </w:r>
    </w:p>
    <w:p>
      <w:pPr>
        <w:spacing w:after="0" w:line="131"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27</w:t>
            </w:r>
          </w:p>
        </w:tc>
      </w:tr>
    </w:tbl>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Most recent stockholder advisory vote on executive compensation</w:t>
      </w:r>
    </w:p>
    <w:p>
      <w:pPr>
        <w:spacing w:after="0" w:line="122"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In April 2017, our shareholders cast an advisory vote on the company’s executive compensation decisions and policies as disclosed in the proxy statement issued by the company in March 2017. Approximately 95 percent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Benefits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Retirement plans</w:t>
      </w:r>
    </w:p>
    <w:p>
      <w:pPr>
        <w:spacing w:after="0" w:line="14"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The executive officers participate in our retirement plans under the same rules that apply to other U.S. employees. We maintain these plans to have a competitive benefits program and for retention.</w:t>
      </w:r>
    </w:p>
    <w:p>
      <w:pPr>
        <w:spacing w:after="0" w:line="19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remain in the plan, or to have their plan benefits frozen (i.e., no benefit increase attributable to years of service or change in eligible earnings) and begin participating in an enhanced defined contribution plan. Mr. Templeton and Mr. Crutcher chose not to remain in the defined benefit plan. As a result, their benefits under that plan were frozen in 1997, and they participate in the enhanced defined contribution plan. Mr. Lizardi, who joined the company in 2001, also participates in the enhanced defined contribution plan. The other named executive officers have continued their participation in the defined benefit pension plan.</w:t>
      </w:r>
    </w:p>
    <w:p>
      <w:pPr>
        <w:spacing w:after="0" w:line="207"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“2017 pension benefits.”</w:t>
      </w:r>
    </w:p>
    <w:p>
      <w:pPr>
        <w:spacing w:after="0" w:line="202"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Employees accruing benefits in the qualified pension plan, including Mr. Delagi and Mr. Ritchie, also are eligible to participate in a qualified defined contribution plan that provides employer matching contributions. The enhanced defined contribution plan, in which Mr. Templeton, Mr. Crutcher and Mr. Lizardi participate, provides for a fixed employer contribution plus an employer matching contribution.</w:t>
      </w:r>
    </w:p>
    <w:p>
      <w:pPr>
        <w:spacing w:after="0" w:line="20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Mr. Delagi and Mr. Ritchie are eligible for early retirement under the pension plans.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Because benefits under the qualified and non-qualified defined benefit pension plans are calculated on the basis of eligible earnings</w:t>
      </w:r>
    </w:p>
    <w:p>
      <w:pPr>
        <w:ind w:left="200"/>
        <w:spacing w:after="0" w:line="234" w:lineRule="auto"/>
        <w:rPr>
          <w:sz w:val="20"/>
          <w:szCs w:val="20"/>
          <w:color w:val="auto"/>
        </w:rPr>
      </w:pPr>
      <w:r>
        <w:rPr>
          <w:rFonts w:ascii="Arial" w:cs="Arial" w:eastAsia="Arial" w:hAnsi="Arial"/>
          <w:sz w:val="18"/>
          <w:szCs w:val="18"/>
          <w:color w:val="auto"/>
        </w:rPr>
        <w:t>(salary and bonus), an increase in salary or bonus may result in an increase in benefits under the plans. Salary or bonus increases for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Mr. Templeton and Mr. Crutcher do not result in greater benefits for them under the company’s defined benefit pension plans because their</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benefits under those plans were frozen in 1997. Mr. Lizardi does not participate in the company’s defined benefit pension plans. The</w:t>
      </w:r>
    </w:p>
    <w:p>
      <w:pPr>
        <w:ind w:left="200"/>
        <w:spacing w:after="0"/>
        <w:rPr>
          <w:sz w:val="20"/>
          <w:szCs w:val="20"/>
          <w:color w:val="auto"/>
        </w:rPr>
      </w:pPr>
      <w:r>
        <w:rPr>
          <w:rFonts w:ascii="Arial" w:cs="Arial" w:eastAsia="Arial" w:hAnsi="Arial"/>
          <w:sz w:val="18"/>
          <w:szCs w:val="18"/>
          <w:color w:val="auto"/>
        </w:rPr>
        <w:t>committee considers the potential effect on the executives’ retirement benefits when it sets salary and performance bonus levels.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14"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20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2017 because no “above market” rates were earned on deferred amounts in that year.</w:t>
      </w:r>
    </w:p>
    <w:p>
      <w:pPr>
        <w:spacing w:after="0" w:line="130"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28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14"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We have an employee stock purchase plan. Under the plan, which our shareholders approved,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Health-related benefits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Executive officers are eligible under the same plans as all other U.S. employees for medical, dental, vision, disability and life insurance.</w:t>
      </w:r>
    </w:p>
    <w:p>
      <w:pPr>
        <w:ind w:left="200"/>
        <w:spacing w:after="0"/>
        <w:rPr>
          <w:sz w:val="20"/>
          <w:szCs w:val="20"/>
          <w:color w:val="auto"/>
        </w:rPr>
      </w:pPr>
      <w:r>
        <w:rPr>
          <w:rFonts w:ascii="Arial" w:cs="Arial" w:eastAsia="Arial" w:hAnsi="Arial"/>
          <w:sz w:val="18"/>
          <w:szCs w:val="18"/>
          <w:color w:val="auto"/>
        </w:rPr>
        <w:t>These benefits are intended to be competitive with benefits offered in the semiconductor industry.</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Other benefits</w:t>
      </w:r>
    </w:p>
    <w:p>
      <w:pPr>
        <w:spacing w:after="0" w:line="14"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require Mr. Templeton to use company aircraft for personal air travel. Please see footnote 6 of the summary compensation table for 2017 and “Potential payments upon termination or change in control – Termination – Perquisites” for further details. The company provides no tax gross-ups for perquisites to any of the executive officers.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following employment termination or change in control</w:t>
      </w:r>
    </w:p>
    <w:p>
      <w:pPr>
        <w:spacing w:after="0" w:line="122"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2017 based on this review.</w:t>
      </w:r>
    </w:p>
    <w:p>
      <w:pPr>
        <w:spacing w:after="0" w:line="205"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ownership guidelines and policy against hedging</w:t>
      </w:r>
    </w:p>
    <w:p>
      <w:pPr>
        <w:spacing w:after="0" w:line="122"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202" w:lineRule="exact"/>
        <w:rPr>
          <w:sz w:val="20"/>
          <w:szCs w:val="20"/>
          <w:color w:val="auto"/>
        </w:rPr>
      </w:pPr>
    </w:p>
    <w:p>
      <w:pPr>
        <w:jc w:val="both"/>
        <w:ind w:left="200" w:right="280"/>
        <w:spacing w:after="0"/>
        <w:rPr>
          <w:sz w:val="20"/>
          <w:szCs w:val="20"/>
          <w:color w:val="auto"/>
        </w:rPr>
      </w:pPr>
      <w:r>
        <w:rPr>
          <w:rFonts w:ascii="Arial" w:cs="Arial" w:eastAsia="Arial" w:hAnsi="Arial"/>
          <w:sz w:val="18"/>
          <w:szCs w:val="18"/>
          <w:color w:val="auto"/>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18"/>
          <w:szCs w:val="18"/>
          <w:i w:val="1"/>
          <w:iCs w:val="1"/>
          <w:color w:val="auto"/>
        </w:rPr>
        <w: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Consideration of tax and accounting treatment of compensation</w:t>
      </w:r>
    </w:p>
    <w:p>
      <w:pPr>
        <w:spacing w:after="0" w:line="122"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Section 162(m) of the IRC historically limited the tax deductibility of annual compensation paid to any publicly held corporation’s CEO and three other highest compensated officers excluding the CFO, to the extent that the officer’s compensation (other than qualified performance-based compensation) exceeded $ 1 million. The Compensation Committee has, in the past, considered the impact of this deductibility limit, although as only one factor in its determination of amounts and forms of compensation. Recent changes in the tax laws eliminated the “performance-based” exception, and the limitation on deductibility has been expanded to include all named executive officers. As a result, beginning in 2018, the company may no longer deduct compensation paid to our named executive officers in excess of $1 million.</w:t>
      </w:r>
    </w:p>
    <w:p>
      <w:pPr>
        <w:spacing w:after="0" w:line="203" w:lineRule="exact"/>
        <w:rPr>
          <w:sz w:val="20"/>
          <w:szCs w:val="20"/>
          <w:color w:val="auto"/>
        </w:rPr>
      </w:pPr>
    </w:p>
    <w:p>
      <w:pPr>
        <w:jc w:val="both"/>
        <w:ind w:left="200" w:right="140"/>
        <w:spacing w:after="0"/>
        <w:rPr>
          <w:sz w:val="20"/>
          <w:szCs w:val="20"/>
          <w:color w:val="auto"/>
        </w:rPr>
      </w:pPr>
      <w:r>
        <w:rPr>
          <w:rFonts w:ascii="Arial" w:cs="Arial" w:eastAsia="Arial" w:hAnsi="Arial"/>
          <w:sz w:val="18"/>
          <w:szCs w:val="18"/>
          <w:color w:val="auto"/>
        </w:rPr>
        <w:t>When setting equity compensation, the committee considers the cost for financial reporting purposes of equity compensation it intends to grant. Its consideration of the cost of grants made in 2017 is discussed under “Analysis of compensation determination for 2017 – Equity compensation.”</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29</w:t>
            </w:r>
          </w:p>
        </w:tc>
      </w:tr>
    </w:tbl>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Compensation Committee report</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 of the board of directors has furnished the following report:</w:t>
      </w:r>
    </w:p>
    <w:p>
      <w:pPr>
        <w:spacing w:after="0" w:line="212"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2017 and the company’s proxy statement for the 2018 annual meeting of stockholders.</w:t>
      </w:r>
    </w:p>
    <w:p>
      <w:pPr>
        <w:spacing w:after="0" w:line="230" w:lineRule="exact"/>
        <w:rPr>
          <w:sz w:val="20"/>
          <w:szCs w:val="20"/>
          <w:color w:val="auto"/>
        </w:rPr>
      </w:pPr>
    </w:p>
    <w:p>
      <w:pPr>
        <w:ind w:left="1000"/>
        <w:spacing w:after="0"/>
        <w:tabs>
          <w:tab w:leader="none" w:pos="5220" w:val="left"/>
          <w:tab w:leader="none" w:pos="8760" w:val="left"/>
        </w:tabs>
        <w:rPr>
          <w:sz w:val="20"/>
          <w:szCs w:val="20"/>
          <w:color w:val="auto"/>
        </w:rPr>
      </w:pPr>
      <w:r>
        <w:rPr>
          <w:rFonts w:ascii="Arial" w:cs="Arial" w:eastAsia="Arial" w:hAnsi="Arial"/>
          <w:sz w:val="18"/>
          <w:szCs w:val="18"/>
          <w:color w:val="auto"/>
        </w:rPr>
        <w:t>Robert E. Sanchez, Chair</w:t>
      </w:r>
      <w:r>
        <w:rPr>
          <w:sz w:val="20"/>
          <w:szCs w:val="20"/>
          <w:color w:val="auto"/>
        </w:rPr>
        <w:tab/>
      </w:r>
      <w:r>
        <w:rPr>
          <w:rFonts w:ascii="Arial" w:cs="Arial" w:eastAsia="Arial" w:hAnsi="Arial"/>
          <w:sz w:val="18"/>
          <w:szCs w:val="18"/>
          <w:color w:val="auto"/>
        </w:rPr>
        <w:t>Daniel A. Carp</w:t>
      </w:r>
      <w:r>
        <w:rPr>
          <w:sz w:val="20"/>
          <w:szCs w:val="20"/>
          <w:color w:val="auto"/>
        </w:rPr>
        <w:tab/>
      </w:r>
      <w:r>
        <w:rPr>
          <w:rFonts w:ascii="Arial" w:cs="Arial" w:eastAsia="Arial" w:hAnsi="Arial"/>
          <w:sz w:val="17"/>
          <w:szCs w:val="17"/>
          <w:color w:val="auto"/>
        </w:rPr>
        <w:t>Pamela H. Patsley</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2017 summary compensation table</w:t>
      </w:r>
    </w:p>
    <w:p>
      <w:pPr>
        <w:spacing w:after="0" w:line="205"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The table below shows the compensation of the company’s CEO, each person who served as the CFO during 2017 and each of the other three most highly compensated individuals who were executive officers during 2017 (collectively called the “named executive officers” (NEOs)) for services in all capacities to the company in 2017.</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13"/>
              <w:spacing w:after="0"/>
              <w:rPr>
                <w:sz w:val="20"/>
                <w:szCs w:val="20"/>
                <w:color w:val="auto"/>
              </w:rPr>
            </w:pPr>
            <w:r>
              <w:rPr>
                <w:rFonts w:ascii="Arial" w:cs="Arial" w:eastAsia="Arial" w:hAnsi="Arial"/>
                <w:sz w:val="14"/>
                <w:szCs w:val="14"/>
                <w:b w:val="1"/>
                <w:bCs w:val="1"/>
                <w:color w:val="auto"/>
              </w:rPr>
              <w:t>Change in</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Pension Value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13"/>
              <w:spacing w:after="0"/>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Non-Equity</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Incentive Plan</w:t>
            </w:r>
          </w:p>
        </w:tc>
        <w:tc>
          <w:tcPr>
            <w:tcW w:w="200" w:type="dxa"/>
            <w:vAlign w:val="bottom"/>
          </w:tcPr>
          <w:p>
            <w:pPr>
              <w:spacing w:after="0"/>
              <w:rPr>
                <w:sz w:val="14"/>
                <w:szCs w:val="14"/>
                <w:color w:val="auto"/>
              </w:rPr>
            </w:pPr>
          </w:p>
        </w:tc>
        <w:tc>
          <w:tcPr>
            <w:tcW w:w="980" w:type="dxa"/>
            <w:vAlign w:val="bottom"/>
          </w:tcPr>
          <w:p>
            <w:pPr>
              <w:jc w:val="center"/>
              <w:ind w:right="113"/>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4"/>
                <w:szCs w:val="14"/>
                <w:color w:val="auto"/>
              </w:rPr>
            </w:pP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Salary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Awards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Position (1)</w:t>
            </w:r>
          </w:p>
        </w:tc>
        <w:tc>
          <w:tcPr>
            <w:tcW w:w="600" w:type="dxa"/>
            <w:vAlign w:val="bottom"/>
          </w:tcPr>
          <w:p>
            <w:pPr>
              <w:ind w:left="16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6"/>
                <w:szCs w:val="16"/>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 (3)</w:t>
            </w:r>
          </w:p>
        </w:tc>
        <w:tc>
          <w:tcPr>
            <w:tcW w:w="180" w:type="dxa"/>
            <w:vAlign w:val="bottom"/>
          </w:tcPr>
          <w:p>
            <w:pPr>
              <w:spacing w:after="0"/>
              <w:rPr>
                <w:sz w:val="16"/>
                <w:szCs w:val="16"/>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b w:val="1"/>
                <w:bCs w:val="1"/>
                <w:color w:val="auto"/>
              </w:rPr>
              <w:t>($) (4)</w:t>
            </w: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 ($) (5)</w:t>
            </w:r>
          </w:p>
        </w:tc>
        <w:tc>
          <w:tcPr>
            <w:tcW w:w="220" w:type="dxa"/>
            <w:vAlign w:val="bottom"/>
          </w:tcPr>
          <w:p>
            <w:pPr>
              <w:spacing w:after="0"/>
              <w:rPr>
                <w:sz w:val="16"/>
                <w:szCs w:val="16"/>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 (6)</w:t>
            </w:r>
          </w:p>
        </w:tc>
        <w:tc>
          <w:tcPr>
            <w:tcW w:w="200" w:type="dxa"/>
            <w:vAlign w:val="bottom"/>
          </w:tcPr>
          <w:p>
            <w:pPr>
              <w:spacing w:after="0"/>
              <w:rPr>
                <w:sz w:val="16"/>
                <w:szCs w:val="16"/>
                <w:color w:val="auto"/>
              </w:rPr>
            </w:pPr>
          </w:p>
        </w:tc>
        <w:tc>
          <w:tcPr>
            <w:tcW w:w="1000" w:type="dxa"/>
            <w:vAlign w:val="bottom"/>
          </w:tcPr>
          <w:p>
            <w:pPr>
              <w:jc w:val="right"/>
              <w:ind w:right="23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Richard K. Templeton</w:t>
            </w:r>
          </w:p>
        </w:tc>
        <w:tc>
          <w:tcPr>
            <w:tcW w:w="600" w:type="dxa"/>
            <w:vAlign w:val="bottom"/>
            <w:tcBorders>
              <w:top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2017</w:t>
            </w:r>
          </w:p>
        </w:tc>
        <w:tc>
          <w:tcPr>
            <w:tcW w:w="2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1,188,004</w:t>
            </w:r>
          </w:p>
        </w:tc>
        <w:tc>
          <w:tcPr>
            <w:tcW w:w="11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$ 5,500,010</w:t>
            </w:r>
          </w:p>
        </w:tc>
        <w:tc>
          <w:tcPr>
            <w:tcW w:w="11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$ 5,500,004</w:t>
            </w:r>
          </w:p>
        </w:tc>
        <w:tc>
          <w:tcPr>
            <w:tcW w:w="180" w:type="dxa"/>
            <w:vAlign w:val="bottom"/>
            <w:tcBorders>
              <w:top w:val="single" w:sz="8" w:color="auto"/>
            </w:tcBorders>
            <w:shd w:val="clear" w:color="auto" w:fill="CCEEFF"/>
          </w:tcPr>
          <w:p>
            <w:pPr>
              <w:ind w:left="6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3,862,601</w:t>
            </w:r>
          </w:p>
        </w:tc>
        <w:tc>
          <w:tcPr>
            <w:tcW w:w="200" w:type="dxa"/>
            <w:vAlign w:val="bottom"/>
            <w:tcBorders>
              <w:top w:val="single" w:sz="8" w:color="auto"/>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166,278</w:t>
            </w:r>
          </w:p>
        </w:tc>
        <w:tc>
          <w:tcPr>
            <w:tcW w:w="220" w:type="dxa"/>
            <w:vAlign w:val="bottom"/>
            <w:tcBorders>
              <w:top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329,825</w:t>
            </w:r>
          </w:p>
        </w:tc>
        <w:tc>
          <w:tcPr>
            <w:tcW w:w="2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16,546,722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Chairman, President &amp;</w:t>
            </w:r>
          </w:p>
        </w:tc>
        <w:tc>
          <w:tcPr>
            <w:tcW w:w="6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1,164,083</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$ 4,900,048</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$ 4,900,007</w:t>
            </w:r>
          </w:p>
        </w:tc>
        <w:tc>
          <w:tcPr>
            <w:tcW w:w="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3,682,817</w:t>
            </w:r>
          </w:p>
        </w:tc>
        <w:tc>
          <w:tcPr>
            <w:tcW w:w="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107,604</w:t>
            </w:r>
          </w:p>
        </w:tc>
        <w:tc>
          <w:tcPr>
            <w:tcW w:w="2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325,510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15,080,069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Chief Executive Officer</w:t>
            </w:r>
          </w:p>
        </w:tc>
        <w:tc>
          <w:tcPr>
            <w:tcW w:w="6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1,140,250</w:t>
            </w:r>
          </w:p>
        </w:tc>
        <w:tc>
          <w:tcPr>
            <w:tcW w:w="1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$ 4,900,017</w:t>
            </w:r>
          </w:p>
        </w:tc>
        <w:tc>
          <w:tcPr>
            <w:tcW w:w="1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$ 4,900,006</w:t>
            </w:r>
          </w:p>
        </w:tc>
        <w:tc>
          <w:tcPr>
            <w:tcW w:w="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3,653,877</w:t>
            </w:r>
          </w:p>
        </w:tc>
        <w:tc>
          <w:tcPr>
            <w:tcW w:w="2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13,950</w:t>
            </w:r>
          </w:p>
        </w:tc>
        <w:tc>
          <w:tcPr>
            <w:tcW w:w="22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317,702</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14,925,802</w:t>
            </w:r>
          </w:p>
        </w:tc>
        <w:tc>
          <w:tcPr>
            <w:tcW w:w="0" w:type="dxa"/>
            <w:vAlign w:val="bottom"/>
          </w:tcPr>
          <w:p>
            <w:pPr>
              <w:spacing w:after="0"/>
              <w:rPr>
                <w:sz w:val="1"/>
                <w:szCs w:val="1"/>
                <w:color w:val="auto"/>
              </w:rPr>
            </w:pPr>
          </w:p>
        </w:tc>
      </w:tr>
      <w:tr>
        <w:trPr>
          <w:trHeight w:val="421"/>
        </w:trPr>
        <w:tc>
          <w:tcPr>
            <w:tcW w:w="2460" w:type="dxa"/>
            <w:vAlign w:val="bottom"/>
            <w:gridSpan w:val="2"/>
          </w:tcPr>
          <w:p>
            <w:pPr>
              <w:spacing w:after="0"/>
              <w:rPr>
                <w:sz w:val="20"/>
                <w:szCs w:val="20"/>
                <w:color w:val="auto"/>
              </w:rPr>
            </w:pPr>
            <w:r>
              <w:rPr>
                <w:rFonts w:ascii="Arial" w:cs="Arial" w:eastAsia="Arial" w:hAnsi="Arial"/>
                <w:sz w:val="18"/>
                <w:szCs w:val="18"/>
                <w:color w:val="auto"/>
              </w:rPr>
              <w:t>Rafael R. Lizardi</w:t>
            </w:r>
          </w:p>
        </w:tc>
        <w:tc>
          <w:tcPr>
            <w:tcW w:w="600" w:type="dxa"/>
            <w:vAlign w:val="bottom"/>
          </w:tcPr>
          <w:p>
            <w:pPr>
              <w:ind w:left="140"/>
              <w:spacing w:after="0"/>
              <w:rPr>
                <w:sz w:val="20"/>
                <w:szCs w:val="20"/>
                <w:color w:val="auto"/>
              </w:rPr>
            </w:pPr>
            <w:r>
              <w:rPr>
                <w:rFonts w:ascii="Arial" w:cs="Arial" w:eastAsia="Arial" w:hAnsi="Arial"/>
                <w:sz w:val="18"/>
                <w:szCs w:val="18"/>
                <w:color w:val="auto"/>
              </w:rPr>
              <w:t>2017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488,333</w:t>
            </w:r>
          </w:p>
        </w:tc>
        <w:tc>
          <w:tcPr>
            <w:tcW w:w="1100" w:type="dxa"/>
            <w:vAlign w:val="bottom"/>
          </w:tcPr>
          <w:p>
            <w:pPr>
              <w:jc w:val="center"/>
              <w:spacing w:after="0"/>
              <w:rPr>
                <w:sz w:val="20"/>
                <w:szCs w:val="20"/>
                <w:color w:val="auto"/>
              </w:rPr>
            </w:pPr>
            <w:r>
              <w:rPr>
                <w:rFonts w:ascii="Arial" w:cs="Arial" w:eastAsia="Arial" w:hAnsi="Arial"/>
                <w:sz w:val="18"/>
                <w:szCs w:val="18"/>
                <w:color w:val="auto"/>
              </w:rPr>
              <w:t>$ 2,000,047</w:t>
            </w:r>
          </w:p>
        </w:tc>
        <w:tc>
          <w:tcPr>
            <w:tcW w:w="1100" w:type="dxa"/>
            <w:vAlign w:val="bottom"/>
          </w:tcPr>
          <w:p>
            <w:pPr>
              <w:jc w:val="center"/>
              <w:spacing w:after="0"/>
              <w:rPr>
                <w:sz w:val="20"/>
                <w:szCs w:val="20"/>
                <w:color w:val="auto"/>
              </w:rPr>
            </w:pPr>
            <w:r>
              <w:rPr>
                <w:rFonts w:ascii="Arial" w:cs="Arial" w:eastAsia="Arial" w:hAnsi="Arial"/>
                <w:sz w:val="18"/>
                <w:szCs w:val="18"/>
                <w:color w:val="auto"/>
              </w:rPr>
              <w:t>$ 1,000,013</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947,667</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60,814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4,496,874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6"/>
                <w:szCs w:val="16"/>
                <w:color w:val="auto"/>
              </w:rPr>
              <w:t>Senior Vice President &amp;</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140"/>
              <w:spacing w:after="0"/>
              <w:rPr>
                <w:sz w:val="20"/>
                <w:szCs w:val="20"/>
                <w:color w:val="auto"/>
              </w:rPr>
            </w:pPr>
            <w:r>
              <w:rPr>
                <w:rFonts w:ascii="Arial" w:cs="Arial" w:eastAsia="Arial" w:hAnsi="Arial"/>
                <w:sz w:val="16"/>
                <w:szCs w:val="16"/>
                <w:color w:val="auto"/>
              </w:rPr>
              <w:t>Chief Financial Officer</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Kevin P. March</w:t>
            </w:r>
          </w:p>
        </w:tc>
        <w:tc>
          <w:tcPr>
            <w:tcW w:w="6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569,750</w:t>
            </w: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$ 1,350,036</w:t>
            </w: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$ 1,350,012</w:t>
            </w:r>
          </w:p>
        </w:tc>
        <w:tc>
          <w:tcPr>
            <w:tcW w:w="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113,950</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148,487</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3,532,235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Senior Vice President</w:t>
            </w:r>
          </w:p>
        </w:tc>
        <w:tc>
          <w:tcPr>
            <w:tcW w:w="6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666,417</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$ 1,350,033</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$ 1,350,002</w:t>
            </w:r>
          </w:p>
        </w:tc>
        <w:tc>
          <w:tcPr>
            <w:tcW w:w="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1,243,283</w:t>
            </w:r>
          </w:p>
        </w:tc>
        <w:tc>
          <w:tcPr>
            <w:tcW w:w="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1,079,121</w:t>
            </w:r>
          </w:p>
        </w:tc>
        <w:tc>
          <w:tcPr>
            <w:tcW w:w="2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5,694,156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6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647,417</w:t>
            </w:r>
          </w:p>
        </w:tc>
        <w:tc>
          <w:tcPr>
            <w:tcW w:w="1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$ 1,350,010</w:t>
            </w:r>
          </w:p>
        </w:tc>
        <w:tc>
          <w:tcPr>
            <w:tcW w:w="1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$ 1,350,007</w:t>
            </w:r>
          </w:p>
        </w:tc>
        <w:tc>
          <w:tcPr>
            <w:tcW w:w="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1,225,758</w:t>
            </w:r>
          </w:p>
        </w:tc>
        <w:tc>
          <w:tcPr>
            <w:tcW w:w="2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872,191</w:t>
            </w:r>
          </w:p>
        </w:tc>
        <w:tc>
          <w:tcPr>
            <w:tcW w:w="22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23,837</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5,469,220</w:t>
            </w:r>
          </w:p>
        </w:tc>
        <w:tc>
          <w:tcPr>
            <w:tcW w:w="0" w:type="dxa"/>
            <w:vAlign w:val="bottom"/>
          </w:tcPr>
          <w:p>
            <w:pPr>
              <w:spacing w:after="0"/>
              <w:rPr>
                <w:sz w:val="1"/>
                <w:szCs w:val="1"/>
                <w:color w:val="auto"/>
              </w:rPr>
            </w:pPr>
          </w:p>
        </w:tc>
      </w:tr>
      <w:tr>
        <w:trPr>
          <w:trHeight w:val="418"/>
        </w:trPr>
        <w:tc>
          <w:tcPr>
            <w:tcW w:w="2460" w:type="dxa"/>
            <w:vAlign w:val="bottom"/>
            <w:gridSpan w:val="2"/>
          </w:tcPr>
          <w:p>
            <w:pPr>
              <w:spacing w:after="0"/>
              <w:rPr>
                <w:sz w:val="20"/>
                <w:szCs w:val="20"/>
                <w:color w:val="auto"/>
              </w:rPr>
            </w:pPr>
            <w:r>
              <w:rPr>
                <w:rFonts w:ascii="Arial" w:cs="Arial" w:eastAsia="Arial" w:hAnsi="Arial"/>
                <w:sz w:val="18"/>
                <w:szCs w:val="18"/>
                <w:color w:val="auto"/>
              </w:rPr>
              <w:t>Brian T. Crutcher</w:t>
            </w:r>
          </w:p>
        </w:tc>
        <w:tc>
          <w:tcPr>
            <w:tcW w:w="600" w:type="dxa"/>
            <w:vAlign w:val="bottom"/>
          </w:tcPr>
          <w:p>
            <w:pPr>
              <w:ind w:left="140"/>
              <w:spacing w:after="0"/>
              <w:rPr>
                <w:sz w:val="20"/>
                <w:szCs w:val="20"/>
                <w:color w:val="auto"/>
              </w:rPr>
            </w:pPr>
            <w:r>
              <w:rPr>
                <w:rFonts w:ascii="Arial" w:cs="Arial" w:eastAsia="Arial" w:hAnsi="Arial"/>
                <w:sz w:val="18"/>
                <w:szCs w:val="18"/>
                <w:color w:val="auto"/>
              </w:rPr>
              <w:t>2017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870,833</w:t>
            </w:r>
          </w:p>
        </w:tc>
        <w:tc>
          <w:tcPr>
            <w:tcW w:w="1100" w:type="dxa"/>
            <w:vAlign w:val="bottom"/>
          </w:tcPr>
          <w:p>
            <w:pPr>
              <w:jc w:val="center"/>
              <w:spacing w:after="0"/>
              <w:rPr>
                <w:sz w:val="20"/>
                <w:szCs w:val="20"/>
                <w:color w:val="auto"/>
              </w:rPr>
            </w:pPr>
            <w:r>
              <w:rPr>
                <w:rFonts w:ascii="Arial" w:cs="Arial" w:eastAsia="Arial" w:hAnsi="Arial"/>
                <w:sz w:val="18"/>
                <w:szCs w:val="18"/>
                <w:color w:val="auto"/>
              </w:rPr>
              <w:t>$ 3,750,028</w:t>
            </w:r>
          </w:p>
        </w:tc>
        <w:tc>
          <w:tcPr>
            <w:tcW w:w="1100" w:type="dxa"/>
            <w:vAlign w:val="bottom"/>
          </w:tcPr>
          <w:p>
            <w:pPr>
              <w:jc w:val="center"/>
              <w:spacing w:after="0"/>
              <w:rPr>
                <w:sz w:val="20"/>
                <w:szCs w:val="20"/>
                <w:color w:val="auto"/>
              </w:rPr>
            </w:pPr>
            <w:r>
              <w:rPr>
                <w:rFonts w:ascii="Arial" w:cs="Arial" w:eastAsia="Arial" w:hAnsi="Arial"/>
                <w:sz w:val="18"/>
                <w:szCs w:val="18"/>
                <w:color w:val="auto"/>
              </w:rPr>
              <w:t>$ 3,750,006</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2,524,167</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1,173</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160,804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11,057,011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140"/>
              <w:spacing w:after="0"/>
              <w:rPr>
                <w:sz w:val="20"/>
                <w:szCs w:val="20"/>
                <w:color w:val="auto"/>
              </w:rPr>
            </w:pPr>
            <w:r>
              <w:rPr>
                <w:rFonts w:ascii="Arial" w:cs="Arial" w:eastAsia="Arial" w:hAnsi="Arial"/>
                <w:sz w:val="16"/>
                <w:szCs w:val="16"/>
                <w:color w:val="auto"/>
              </w:rPr>
              <w:t>Executive Vice President &amp;</w:t>
            </w:r>
          </w:p>
        </w:tc>
        <w:tc>
          <w:tcPr>
            <w:tcW w:w="600" w:type="dxa"/>
            <w:vAlign w:val="bottom"/>
          </w:tcPr>
          <w:p>
            <w:pPr>
              <w:ind w:left="140"/>
              <w:spacing w:after="0" w:line="202" w:lineRule="exact"/>
              <w:rPr>
                <w:sz w:val="20"/>
                <w:szCs w:val="20"/>
                <w:color w:val="auto"/>
              </w:rPr>
            </w:pPr>
            <w:r>
              <w:rPr>
                <w:rFonts w:ascii="Arial" w:cs="Arial" w:eastAsia="Arial" w:hAnsi="Arial"/>
                <w:sz w:val="18"/>
                <w:szCs w:val="18"/>
                <w:color w:val="auto"/>
              </w:rPr>
              <w:t>2016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822,917</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rPr>
              <w:t>$ 2,750,031</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rPr>
              <w:t>$ 2,750,000</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2,164,583</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577</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155,079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8,643,187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40" w:type="dxa"/>
            <w:vAlign w:val="bottom"/>
          </w:tcPr>
          <w:p>
            <w:pPr>
              <w:ind w:left="140"/>
              <w:spacing w:after="0"/>
              <w:rPr>
                <w:sz w:val="20"/>
                <w:szCs w:val="20"/>
                <w:color w:val="auto"/>
              </w:rPr>
            </w:pPr>
            <w:r>
              <w:rPr>
                <w:rFonts w:ascii="Arial" w:cs="Arial" w:eastAsia="Arial" w:hAnsi="Arial"/>
                <w:sz w:val="16"/>
                <w:szCs w:val="16"/>
                <w:color w:val="auto"/>
              </w:rPr>
              <w:t>Chief Operating Officer</w:t>
            </w:r>
          </w:p>
        </w:tc>
        <w:tc>
          <w:tcPr>
            <w:tcW w:w="600" w:type="dxa"/>
            <w:vAlign w:val="bottom"/>
          </w:tcPr>
          <w:p>
            <w:pPr>
              <w:ind w:left="140"/>
              <w:spacing w:after="0"/>
              <w:rPr>
                <w:sz w:val="20"/>
                <w:szCs w:val="20"/>
                <w:color w:val="auto"/>
              </w:rPr>
            </w:pPr>
            <w:r>
              <w:rPr>
                <w:rFonts w:ascii="Arial" w:cs="Arial" w:eastAsia="Arial" w:hAnsi="Arial"/>
                <w:sz w:val="18"/>
                <w:szCs w:val="18"/>
                <w:color w:val="auto"/>
              </w:rPr>
              <w:t>2015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797,917</w:t>
            </w:r>
          </w:p>
        </w:tc>
        <w:tc>
          <w:tcPr>
            <w:tcW w:w="1100" w:type="dxa"/>
            <w:vAlign w:val="bottom"/>
          </w:tcPr>
          <w:p>
            <w:pPr>
              <w:jc w:val="center"/>
              <w:spacing w:after="0"/>
              <w:rPr>
                <w:sz w:val="20"/>
                <w:szCs w:val="20"/>
                <w:color w:val="auto"/>
              </w:rPr>
            </w:pPr>
            <w:r>
              <w:rPr>
                <w:rFonts w:ascii="Arial" w:cs="Arial" w:eastAsia="Arial" w:hAnsi="Arial"/>
                <w:sz w:val="18"/>
                <w:szCs w:val="18"/>
                <w:color w:val="auto"/>
              </w:rPr>
              <w:t>$ 2,750,023</w:t>
            </w:r>
          </w:p>
        </w:tc>
        <w:tc>
          <w:tcPr>
            <w:tcW w:w="1100" w:type="dxa"/>
            <w:vAlign w:val="bottom"/>
          </w:tcPr>
          <w:p>
            <w:pPr>
              <w:jc w:val="center"/>
              <w:spacing w:after="0"/>
              <w:rPr>
                <w:sz w:val="20"/>
                <w:szCs w:val="20"/>
                <w:color w:val="auto"/>
              </w:rPr>
            </w:pPr>
            <w:r>
              <w:rPr>
                <w:rFonts w:ascii="Arial" w:cs="Arial" w:eastAsia="Arial" w:hAnsi="Arial"/>
                <w:sz w:val="18"/>
                <w:szCs w:val="18"/>
                <w:color w:val="auto"/>
              </w:rPr>
              <w:t>$ 2,750,006</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1,892,668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125,744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8,316,358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Kevin J. Ritchie</w:t>
            </w:r>
          </w:p>
        </w:tc>
        <w:tc>
          <w:tcPr>
            <w:tcW w:w="6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702,833</w:t>
            </w: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$ 2,000,047</w:t>
            </w: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$ 2,000,009</w:t>
            </w:r>
          </w:p>
        </w:tc>
        <w:tc>
          <w:tcPr>
            <w:tcW w:w="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1,465,567</w:t>
            </w:r>
          </w:p>
        </w:tc>
        <w:tc>
          <w:tcPr>
            <w:tcW w:w="2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2,082,760</w:t>
            </w:r>
          </w:p>
        </w:tc>
        <w:tc>
          <w:tcPr>
            <w:tcW w:w="2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5,400</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8,256,616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Senior Vice President</w:t>
            </w:r>
          </w:p>
        </w:tc>
        <w:tc>
          <w:tcPr>
            <w:tcW w:w="6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688,333</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$ 2,000,013</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$ 2,000,001</w:t>
            </w:r>
          </w:p>
        </w:tc>
        <w:tc>
          <w:tcPr>
            <w:tcW w:w="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1,402,667</w:t>
            </w:r>
          </w:p>
        </w:tc>
        <w:tc>
          <w:tcPr>
            <w:tcW w:w="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1,468,531</w:t>
            </w:r>
          </w:p>
        </w:tc>
        <w:tc>
          <w:tcPr>
            <w:tcW w:w="2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7,564,845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6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668,333</w:t>
            </w:r>
          </w:p>
        </w:tc>
        <w:tc>
          <w:tcPr>
            <w:tcW w:w="1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$ 2,000,041</w:t>
            </w:r>
          </w:p>
        </w:tc>
        <w:tc>
          <w:tcPr>
            <w:tcW w:w="1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$ 2,000,004</w:t>
            </w:r>
          </w:p>
        </w:tc>
        <w:tc>
          <w:tcPr>
            <w:tcW w:w="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1,384,498</w:t>
            </w:r>
          </w:p>
        </w:tc>
        <w:tc>
          <w:tcPr>
            <w:tcW w:w="2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1,370,848</w:t>
            </w:r>
          </w:p>
        </w:tc>
        <w:tc>
          <w:tcPr>
            <w:tcW w:w="22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5,300</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7,429,024</w:t>
            </w:r>
          </w:p>
        </w:tc>
        <w:tc>
          <w:tcPr>
            <w:tcW w:w="0" w:type="dxa"/>
            <w:vAlign w:val="bottom"/>
          </w:tcPr>
          <w:p>
            <w:pPr>
              <w:spacing w:after="0"/>
              <w:rPr>
                <w:sz w:val="1"/>
                <w:szCs w:val="1"/>
                <w:color w:val="auto"/>
              </w:rPr>
            </w:pPr>
          </w:p>
        </w:tc>
      </w:tr>
      <w:tr>
        <w:trPr>
          <w:trHeight w:val="421"/>
        </w:trPr>
        <w:tc>
          <w:tcPr>
            <w:tcW w:w="2460" w:type="dxa"/>
            <w:vAlign w:val="bottom"/>
            <w:gridSpan w:val="2"/>
          </w:tcPr>
          <w:p>
            <w:pPr>
              <w:spacing w:after="0"/>
              <w:rPr>
                <w:sz w:val="20"/>
                <w:szCs w:val="20"/>
                <w:color w:val="auto"/>
              </w:rPr>
            </w:pPr>
            <w:r>
              <w:rPr>
                <w:rFonts w:ascii="Arial" w:cs="Arial" w:eastAsia="Arial" w:hAnsi="Arial"/>
                <w:sz w:val="18"/>
                <w:szCs w:val="18"/>
                <w:color w:val="auto"/>
              </w:rPr>
              <w:t>R. Gregory Delagi</w:t>
            </w:r>
          </w:p>
        </w:tc>
        <w:tc>
          <w:tcPr>
            <w:tcW w:w="600" w:type="dxa"/>
            <w:vAlign w:val="bottom"/>
          </w:tcPr>
          <w:p>
            <w:pPr>
              <w:ind w:left="140"/>
              <w:spacing w:after="0"/>
              <w:rPr>
                <w:sz w:val="20"/>
                <w:szCs w:val="20"/>
                <w:color w:val="auto"/>
              </w:rPr>
            </w:pPr>
            <w:r>
              <w:rPr>
                <w:rFonts w:ascii="Arial" w:cs="Arial" w:eastAsia="Arial" w:hAnsi="Arial"/>
                <w:sz w:val="18"/>
                <w:szCs w:val="18"/>
                <w:color w:val="auto"/>
              </w:rPr>
              <w:t>2017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698,750</w:t>
            </w:r>
          </w:p>
        </w:tc>
        <w:tc>
          <w:tcPr>
            <w:tcW w:w="1100" w:type="dxa"/>
            <w:vAlign w:val="bottom"/>
          </w:tcPr>
          <w:p>
            <w:pPr>
              <w:jc w:val="center"/>
              <w:spacing w:after="0"/>
              <w:rPr>
                <w:sz w:val="20"/>
                <w:szCs w:val="20"/>
                <w:color w:val="auto"/>
              </w:rPr>
            </w:pPr>
            <w:r>
              <w:rPr>
                <w:rFonts w:ascii="Arial" w:cs="Arial" w:eastAsia="Arial" w:hAnsi="Arial"/>
                <w:sz w:val="18"/>
                <w:szCs w:val="18"/>
                <w:color w:val="auto"/>
              </w:rPr>
              <w:t>$ 1,800,074</w:t>
            </w:r>
          </w:p>
        </w:tc>
        <w:tc>
          <w:tcPr>
            <w:tcW w:w="1100" w:type="dxa"/>
            <w:vAlign w:val="bottom"/>
          </w:tcPr>
          <w:p>
            <w:pPr>
              <w:jc w:val="center"/>
              <w:spacing w:after="0"/>
              <w:rPr>
                <w:sz w:val="20"/>
                <w:szCs w:val="20"/>
                <w:color w:val="auto"/>
              </w:rPr>
            </w:pPr>
            <w:r>
              <w:rPr>
                <w:rFonts w:ascii="Arial" w:cs="Arial" w:eastAsia="Arial" w:hAnsi="Arial"/>
                <w:sz w:val="18"/>
                <w:szCs w:val="18"/>
                <w:color w:val="auto"/>
              </w:rPr>
              <w:t>$ 1,800,016</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1,239,750</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1,491,494</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7,046,576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tcPr>
          <w:p>
            <w:pPr>
              <w:ind w:left="140"/>
              <w:spacing w:after="0"/>
              <w:rPr>
                <w:sz w:val="20"/>
                <w:szCs w:val="20"/>
                <w:color w:val="auto"/>
              </w:rPr>
            </w:pPr>
            <w:r>
              <w:rPr>
                <w:rFonts w:ascii="Arial" w:cs="Arial" w:eastAsia="Arial" w:hAnsi="Arial"/>
                <w:sz w:val="16"/>
                <w:szCs w:val="16"/>
                <w:color w:val="auto"/>
              </w:rPr>
              <w:t>Senior Vice President</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40" w:hanging="43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March was the company’s chief financial officer through January 31, 2017. Mr. Lizardi became chief financial officer</w:t>
      </w:r>
    </w:p>
    <w:p>
      <w:pPr>
        <w:ind w:left="640" w:right="180"/>
        <w:spacing w:after="0"/>
        <w:rPr>
          <w:rFonts w:ascii="Arial" w:cs="Arial" w:eastAsia="Arial" w:hAnsi="Arial"/>
          <w:sz w:val="18"/>
          <w:szCs w:val="18"/>
          <w:color w:val="auto"/>
        </w:rPr>
      </w:pPr>
      <w:r>
        <w:rPr>
          <w:rFonts w:ascii="Arial" w:cs="Arial" w:eastAsia="Arial" w:hAnsi="Arial"/>
          <w:sz w:val="18"/>
          <w:szCs w:val="18"/>
          <w:color w:val="auto"/>
        </w:rPr>
        <w:t>on February 1, 2017. Mr. Templeton will be the company’s president and chief executive officer through May 31, 2018. Mr. Crutcher will become the company’s president and chief executive officer on June 1, 2018. Mr. Templeton will continue as the company’s chairman.</w:t>
      </w:r>
    </w:p>
    <w:p>
      <w:pPr>
        <w:spacing w:after="0" w:line="108" w:lineRule="exact"/>
        <w:rPr>
          <w:rFonts w:ascii="Arial" w:cs="Arial" w:eastAsia="Arial" w:hAnsi="Arial"/>
          <w:sz w:val="18"/>
          <w:szCs w:val="18"/>
          <w:color w:val="auto"/>
        </w:rPr>
      </w:pPr>
    </w:p>
    <w:p>
      <w:pPr>
        <w:ind w:left="640" w:right="120" w:hanging="436"/>
        <w:spacing w:after="0" w:line="237"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 (RSU) awards calculated in accordance with ASC 718. The discussion of the assumptions used for purposes of the valuation of the awards granted in 2017 appears in Note 4 to the financial statements in TI’s annual report on Form 10-K for the year ended December 31, 2017. For a description of the grant terms, see the discussion following the Outstanding equity awards at fiscal year-end 2017 table. The discussion of the assumptions used for purposes of the valuation of the awards granted in 2016 and 2015 appears in Note 4 to the financial statements in TI’s annual report on Form 10-K for the year ended December 31, 2016, and the financial statements in TI’s annual report on Form 10-K for the year ended December 31, 2015, respectively.</w:t>
      </w:r>
    </w:p>
    <w:p>
      <w:pPr>
        <w:spacing w:after="0" w:line="131"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right="40" w:hanging="436"/>
        <w:spacing w:after="0" w:line="237"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calculated in accordance with ASC 718. The discussion of the assumptions used for purposes of the valuation of options granted in 2017 appears in Note 4 to the financial statements in TI’s annual report on Form 10-K for the year ended December 31, 2017. For a description of the grant terms, see the discussion following the Outstanding equity awards at fiscal year-end 2017 table. The discussion of the assumptions used for purposes of the valuation of the awards granted in 2016 and 2015 appears in Note 4 to the financial statements in TI’s annual report on Form 10-K for the year ended December 31, 2016, and the financial statements in TI’s annual report on Form 10-K for the year ended December 31, 2015, respectively.</w:t>
      </w:r>
    </w:p>
    <w:p>
      <w:pPr>
        <w:spacing w:after="0" w:line="108" w:lineRule="exact"/>
        <w:rPr>
          <w:rFonts w:ascii="Arial" w:cs="Arial" w:eastAsia="Arial" w:hAnsi="Arial"/>
          <w:sz w:val="18"/>
          <w:szCs w:val="18"/>
          <w:color w:val="auto"/>
        </w:rPr>
      </w:pPr>
    </w:p>
    <w:p>
      <w:pPr>
        <w:ind w:left="640" w:right="20" w:hanging="436"/>
        <w:spacing w:after="0" w:line="237"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performance bonuses paid under the Texas Instruments Executive Officer Performance Plan and profit sharing for 2017. Under the terms of the Executive Officer Performance Plan, each named executive officer is eligible to receive a cash bonus equal to 0.5 percent of the company’s consolidated income (as defined in the plan). However, the Compensation Committee has the discretion to set bonuses at a lower level if it decides it is appropriate to do so. The committee decided to do so for 2017. See “Analysis of compensation determinations for 2017 – Results of the compensation decisions” for the amounts of bonus and profit sharing paid to each of the named executive officers for 2017.</w:t>
      </w:r>
    </w:p>
    <w:p>
      <w:pPr>
        <w:spacing w:after="0" w:line="110" w:lineRule="exact"/>
        <w:rPr>
          <w:rFonts w:ascii="Arial" w:cs="Arial" w:eastAsia="Arial" w:hAnsi="Arial"/>
          <w:sz w:val="18"/>
          <w:szCs w:val="18"/>
          <w:color w:val="auto"/>
        </w:rPr>
      </w:pPr>
    </w:p>
    <w:p>
      <w:pPr>
        <w:ind w:left="640" w:right="20" w:hanging="436"/>
        <w:spacing w:after="0" w:line="234"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2016, through December 31, 2017. This “change in the actuarial value” is the difference between the 2016 and 2017 present value of the pension benefit accumulated as of year-end by the named executive officer, assuming that benefit is not paid until age 65.</w:t>
      </w:r>
    </w:p>
    <w:p>
      <w:pPr>
        <w:spacing w:after="0" w:line="4" w:lineRule="exact"/>
        <w:rPr>
          <w:rFonts w:ascii="Arial" w:cs="Arial" w:eastAsia="Arial" w:hAnsi="Arial"/>
          <w:sz w:val="18"/>
          <w:szCs w:val="18"/>
          <w:color w:val="auto"/>
        </w:rPr>
      </w:pPr>
    </w:p>
    <w:p>
      <w:pPr>
        <w:ind w:left="640" w:right="140"/>
        <w:spacing w:after="0" w:line="239" w:lineRule="auto"/>
        <w:rPr>
          <w:rFonts w:ascii="Arial" w:cs="Arial" w:eastAsia="Arial" w:hAnsi="Arial"/>
          <w:sz w:val="18"/>
          <w:szCs w:val="18"/>
          <w:color w:val="auto"/>
        </w:rPr>
      </w:pPr>
      <w:r>
        <w:rPr>
          <w:rFonts w:ascii="Arial" w:cs="Arial" w:eastAsia="Arial" w:hAnsi="Arial"/>
          <w:sz w:val="18"/>
          <w:szCs w:val="18"/>
          <w:color w:val="auto"/>
        </w:rPr>
        <w:t>Mr. Templeton’s and Mr. Crutcher’s benefits under the company’s pension plans were frozen as of December 31, 1997. Mr. Lizardi does not participate in any of the company’s defined benefit pension plans. Mr. March retired from the company on November 1, 2017. He received a partial distribution of his total pension benefit on December 1, 2017. The remainder of his benefit will be distributed on June 1, 2018, as required by Section 409A of the IRC. See the 2017 pension benefits table for additional information.</w:t>
      </w:r>
    </w:p>
    <w:p>
      <w:pPr>
        <w:spacing w:after="0" w:line="107" w:lineRule="exact"/>
        <w:rPr>
          <w:rFonts w:ascii="Arial" w:cs="Arial" w:eastAsia="Arial" w:hAnsi="Arial"/>
          <w:sz w:val="18"/>
          <w:szCs w:val="18"/>
          <w:color w:val="auto"/>
        </w:rPr>
      </w:pPr>
    </w:p>
    <w:p>
      <w:pPr>
        <w:ind w:left="640" w:right="40" w:hanging="436"/>
        <w:spacing w:after="0" w:line="275"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Consists of (i) the amounts in the table below, which result from programs available to all eligible U.S. employees, and (ii) perquisites and personal benefits that meet the disclosure thresholds established by the SEC and are detailed in the paragraph below.</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Defined</w:t>
            </w:r>
          </w:p>
        </w:tc>
        <w:tc>
          <w:tcPr>
            <w:tcW w:w="1180" w:type="dxa"/>
            <w:vAlign w:val="bottom"/>
            <w:vMerge w:val="restart"/>
          </w:tcPr>
          <w:p>
            <w:pPr>
              <w:jc w:val="center"/>
              <w:ind w:left="56"/>
              <w:spacing w:after="0"/>
              <w:rPr>
                <w:sz w:val="20"/>
                <w:szCs w:val="20"/>
                <w:color w:val="auto"/>
              </w:rPr>
            </w:pPr>
            <w:r>
              <w:rPr>
                <w:rFonts w:ascii="Arial" w:cs="Arial" w:eastAsia="Arial" w:hAnsi="Arial"/>
                <w:sz w:val="14"/>
                <w:szCs w:val="14"/>
                <w:b w:val="1"/>
                <w:bCs w:val="1"/>
                <w:color w:val="auto"/>
              </w:rPr>
              <w:t>Unused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Contribution</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401(k)</w:t>
            </w:r>
          </w:p>
        </w:tc>
        <w:tc>
          <w:tcPr>
            <w:tcW w:w="130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Retirement</w:t>
            </w:r>
          </w:p>
        </w:tc>
        <w:tc>
          <w:tcPr>
            <w:tcW w:w="1180" w:type="dxa"/>
            <w:vAlign w:val="bottom"/>
          </w:tcPr>
          <w:p>
            <w:pPr>
              <w:jc w:val="center"/>
              <w:ind w:left="56"/>
              <w:spacing w:after="0"/>
              <w:rPr>
                <w:sz w:val="20"/>
                <w:szCs w:val="20"/>
                <w:color w:val="auto"/>
              </w:rPr>
            </w:pPr>
            <w:r>
              <w:rPr>
                <w:rFonts w:ascii="Arial" w:cs="Arial" w:eastAsia="Arial" w:hAnsi="Arial"/>
                <w:sz w:val="14"/>
                <w:szCs w:val="14"/>
                <w:b w:val="1"/>
                <w:bCs w:val="1"/>
                <w:color w:val="auto"/>
              </w:rPr>
              <w:t>Vacation</w:t>
            </w:r>
          </w:p>
        </w:tc>
        <w:tc>
          <w:tcPr>
            <w:tcW w:w="0" w:type="dxa"/>
            <w:vAlign w:val="bottom"/>
          </w:tcPr>
          <w:p>
            <w:pPr>
              <w:spacing w:after="0"/>
              <w:rPr>
                <w:sz w:val="1"/>
                <w:szCs w:val="1"/>
                <w:color w:val="auto"/>
              </w:rPr>
            </w:pPr>
          </w:p>
        </w:tc>
      </w:tr>
      <w:tr>
        <w:trPr>
          <w:trHeight w:val="189"/>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720" w:type="dxa"/>
            <w:vAlign w:val="bottom"/>
            <w:gridSpan w:val="2"/>
          </w:tcPr>
          <w:p>
            <w:pPr>
              <w:ind w:left="2640"/>
              <w:spacing w:after="0"/>
              <w:rPr>
                <w:sz w:val="20"/>
                <w:szCs w:val="20"/>
                <w:color w:val="auto"/>
              </w:rPr>
            </w:pPr>
            <w:r>
              <w:rPr>
                <w:rFonts w:ascii="Arial" w:cs="Arial" w:eastAsia="Arial" w:hAnsi="Arial"/>
                <w:sz w:val="14"/>
                <w:szCs w:val="14"/>
                <w:b w:val="1"/>
                <w:bCs w:val="1"/>
                <w:color w:val="auto"/>
              </w:rPr>
              <w:t>Contribution</w:t>
            </w:r>
          </w:p>
        </w:tc>
        <w:tc>
          <w:tcPr>
            <w:tcW w:w="340" w:type="dxa"/>
            <w:vAlign w:val="bottom"/>
          </w:tcPr>
          <w:p>
            <w:pPr>
              <w:spacing w:after="0"/>
              <w:rPr>
                <w:sz w:val="16"/>
                <w:szCs w:val="16"/>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Plan (a)</w:t>
            </w:r>
          </w:p>
        </w:tc>
        <w:tc>
          <w:tcPr>
            <w:tcW w:w="1180" w:type="dxa"/>
            <w:vAlign w:val="bottom"/>
          </w:tcPr>
          <w:p>
            <w:pPr>
              <w:jc w:val="center"/>
              <w:ind w:left="56"/>
              <w:spacing w:after="0"/>
              <w:rPr>
                <w:sz w:val="20"/>
                <w:szCs w:val="20"/>
                <w:color w:val="auto"/>
              </w:rPr>
            </w:pPr>
            <w:r>
              <w:rPr>
                <w:rFonts w:ascii="Arial" w:cs="Arial" w:eastAsia="Arial" w:hAnsi="Arial"/>
                <w:sz w:val="14"/>
                <w:szCs w:val="14"/>
                <w:b w:val="1"/>
                <w:bCs w:val="1"/>
                <w:color w:val="auto"/>
              </w:rPr>
              <w:t>Time (b)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 K. Templeton</w:t>
            </w:r>
          </w:p>
        </w:tc>
        <w:tc>
          <w:tcPr>
            <w:tcW w:w="2800" w:type="dxa"/>
            <w:vAlign w:val="bottom"/>
            <w:tcBorders>
              <w:top w:val="single" w:sz="8" w:color="auto"/>
            </w:tcBorders>
            <w:shd w:val="clear" w:color="auto" w:fill="CCEEFF"/>
          </w:tcPr>
          <w:p>
            <w:pPr>
              <w:ind w:left="264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10,800</w:t>
            </w:r>
          </w:p>
        </w:tc>
        <w:tc>
          <w:tcPr>
            <w:tcW w:w="340" w:type="dxa"/>
            <w:vAlign w:val="bottom"/>
            <w:tcBorders>
              <w:top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266,752</w:t>
            </w:r>
          </w:p>
        </w:tc>
        <w:tc>
          <w:tcPr>
            <w:tcW w:w="1180" w:type="dxa"/>
            <w:vAlign w:val="bottom"/>
            <w:tcBorders>
              <w:top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R. R. Lizardi</w:t>
            </w:r>
          </w:p>
        </w:tc>
        <w:tc>
          <w:tcPr>
            <w:tcW w:w="2800" w:type="dxa"/>
            <w:vAlign w:val="bottom"/>
          </w:tcPr>
          <w:p>
            <w:pPr>
              <w:ind w:left="26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10,800</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39,520</w:t>
            </w:r>
          </w:p>
        </w:tc>
        <w:tc>
          <w:tcPr>
            <w:tcW w:w="11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P. March</w:t>
            </w:r>
          </w:p>
        </w:tc>
        <w:tc>
          <w:tcPr>
            <w:tcW w:w="2800" w:type="dxa"/>
            <w:vAlign w:val="bottom"/>
            <w:shd w:val="clear" w:color="auto" w:fill="CCEEFF"/>
          </w:tcPr>
          <w:p>
            <w:pPr>
              <w:ind w:left="26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5,400</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$ 143,087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B. T. Crutcher</w:t>
            </w:r>
          </w:p>
        </w:tc>
        <w:tc>
          <w:tcPr>
            <w:tcW w:w="2800" w:type="dxa"/>
            <w:vAlign w:val="bottom"/>
          </w:tcPr>
          <w:p>
            <w:pPr>
              <w:ind w:left="26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10,800</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150,004</w:t>
            </w:r>
          </w:p>
        </w:tc>
        <w:tc>
          <w:tcPr>
            <w:tcW w:w="11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J. Ritchie</w:t>
            </w:r>
          </w:p>
        </w:tc>
        <w:tc>
          <w:tcPr>
            <w:tcW w:w="2800" w:type="dxa"/>
            <w:vAlign w:val="bottom"/>
            <w:shd w:val="clear" w:color="auto" w:fill="CCEEFF"/>
          </w:tcPr>
          <w:p>
            <w:pPr>
              <w:ind w:left="26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5,400</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 G. Delagi</w:t>
            </w:r>
          </w:p>
        </w:tc>
        <w:tc>
          <w:tcPr>
            <w:tcW w:w="2800" w:type="dxa"/>
            <w:vAlign w:val="bottom"/>
          </w:tcPr>
          <w:p>
            <w:pPr>
              <w:ind w:left="26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5,400</w:t>
            </w:r>
          </w:p>
        </w:tc>
        <w:tc>
          <w:tcPr>
            <w:tcW w:w="34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N/A</w:t>
            </w: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060" w:right="80" w:hanging="424"/>
        <w:spacing w:after="0" w:line="239"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contributions under the company’s enhanced defined contribution retirement plan of $5,400 and (ii) an additional amount of $261,352 for Mr. Templeton, $144,604 for Mr. Crutcher, and $34,120 for Mr. Lizardi accrued by TI to offset IRC limitations on amounts that could be contributed to the enhanced defined contribution retirement plan, which amount is also shown in the 2017 non-qualified deferred compensation table.</w:t>
      </w:r>
    </w:p>
    <w:p>
      <w:pPr>
        <w:spacing w:after="0" w:line="107"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payments for unused vacation time that could not be carried forward.</w:t>
      </w:r>
    </w:p>
    <w:p>
      <w:pPr>
        <w:spacing w:after="0" w:line="212" w:lineRule="exact"/>
        <w:rPr>
          <w:sz w:val="20"/>
          <w:szCs w:val="20"/>
          <w:color w:val="auto"/>
        </w:rPr>
      </w:pPr>
    </w:p>
    <w:p>
      <w:pPr>
        <w:ind w:left="640" w:right="380"/>
        <w:spacing w:after="0" w:line="257" w:lineRule="auto"/>
        <w:rPr>
          <w:sz w:val="20"/>
          <w:szCs w:val="20"/>
          <w:color w:val="auto"/>
        </w:rPr>
      </w:pPr>
      <w:r>
        <w:rPr>
          <w:rFonts w:ascii="Arial" w:cs="Arial" w:eastAsia="Arial" w:hAnsi="Arial"/>
          <w:sz w:val="17"/>
          <w:szCs w:val="17"/>
          <w:color w:val="auto"/>
        </w:rPr>
        <w:t>The perquisites and personal benefits are as follows: $52,273 for Mr. Templeton, consisting of financial counseling, an executive physical and personal use of company aircraft ($39,950), and $10,494 for Mr. Lizardi and $11,092 for Mr. Delagi, consisting of financial counseling and an executive physical. Financial counseling and an executive physical were made available to the other named executive officers, but the amounts attributable to those officers were below the disclosure thresholds.</w:t>
      </w:r>
    </w:p>
    <w:p>
      <w:pPr>
        <w:spacing w:after="0" w:line="116"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31</w:t>
            </w:r>
          </w:p>
        </w:tc>
      </w:tr>
    </w:tbl>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Grants of plan-based awards in 2017</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grants of plan-based awards to the named executive officers in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rPr>
              <w:t>Stock Awards: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Option Awards: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or Base</w:t>
            </w:r>
          </w:p>
        </w:tc>
        <w:tc>
          <w:tcPr>
            <w:tcW w:w="1280" w:type="dxa"/>
            <w:vAlign w:val="bottom"/>
          </w:tcPr>
          <w:p>
            <w:pPr>
              <w:jc w:val="center"/>
              <w:ind w:left="95"/>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Price of</w:t>
            </w:r>
          </w:p>
        </w:tc>
        <w:tc>
          <w:tcPr>
            <w:tcW w:w="1280" w:type="dxa"/>
            <w:vAlign w:val="bottom"/>
          </w:tcPr>
          <w:p>
            <w:pPr>
              <w:jc w:val="center"/>
              <w:ind w:left="1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Arial" w:cs="Arial" w:eastAsia="Arial" w:hAnsi="Arial"/>
                <w:sz w:val="14"/>
                <w:szCs w:val="14"/>
                <w:b w:val="1"/>
                <w:bCs w:val="1"/>
                <w:color w:val="auto"/>
              </w:rPr>
              <w:t>Date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280" w:type="dxa"/>
            <w:vAlign w:val="bottom"/>
          </w:tcPr>
          <w:p>
            <w:pPr>
              <w:jc w:val="center"/>
              <w:ind w:left="95"/>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80" w:type="dxa"/>
            <w:vAlign w:val="bottom"/>
          </w:tcPr>
          <w:p>
            <w:pPr>
              <w:jc w:val="right"/>
              <w:ind w:right="513"/>
              <w:spacing w:after="0"/>
              <w:rPr>
                <w:sz w:val="20"/>
                <w:szCs w:val="20"/>
                <w:color w:val="auto"/>
              </w:rPr>
            </w:pPr>
            <w:r>
              <w:rPr>
                <w:rFonts w:ascii="Arial" w:cs="Arial" w:eastAsia="Arial" w:hAnsi="Arial"/>
                <w:sz w:val="14"/>
                <w:szCs w:val="14"/>
                <w:b w:val="1"/>
                <w:bCs w:val="1"/>
                <w:color w:val="auto"/>
              </w:rPr>
              <w:t>Grant</w:t>
            </w: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Committee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Stock or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280" w:type="dxa"/>
            <w:vAlign w:val="bottom"/>
          </w:tcPr>
          <w:p>
            <w:pPr>
              <w:jc w:val="center"/>
              <w:ind w:left="115"/>
              <w:spacing w:after="0"/>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89"/>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Date</w:t>
            </w:r>
          </w:p>
        </w:tc>
        <w:tc>
          <w:tcPr>
            <w:tcW w:w="1200" w:type="dxa"/>
            <w:vAlign w:val="bottom"/>
          </w:tcPr>
          <w:p>
            <w:pPr>
              <w:ind w:left="340"/>
              <w:spacing w:after="0"/>
              <w:rPr>
                <w:sz w:val="20"/>
                <w:szCs w:val="20"/>
                <w:color w:val="auto"/>
              </w:rPr>
            </w:pPr>
            <w:r>
              <w:rPr>
                <w:rFonts w:ascii="Arial" w:cs="Arial" w:eastAsia="Arial" w:hAnsi="Arial"/>
                <w:sz w:val="14"/>
                <w:szCs w:val="14"/>
                <w:b w:val="1"/>
                <w:bCs w:val="1"/>
                <w:color w:val="auto"/>
              </w:rPr>
              <w:t>Action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Units (#) (2)</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Options (#) (3)</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($/Sh) (4)</w:t>
            </w:r>
          </w:p>
        </w:tc>
        <w:tc>
          <w:tcPr>
            <w:tcW w:w="1280" w:type="dxa"/>
            <w:vAlign w:val="bottom"/>
          </w:tcPr>
          <w:p>
            <w:pPr>
              <w:jc w:val="center"/>
              <w:ind w:left="95"/>
              <w:spacing w:after="0"/>
              <w:rPr>
                <w:sz w:val="20"/>
                <w:szCs w:val="20"/>
                <w:color w:val="auto"/>
              </w:rPr>
            </w:pPr>
            <w:r>
              <w:rPr>
                <w:rFonts w:ascii="Arial" w:cs="Arial" w:eastAsia="Arial" w:hAnsi="Arial"/>
                <w:sz w:val="14"/>
                <w:szCs w:val="14"/>
                <w:b w:val="1"/>
                <w:bCs w:val="1"/>
                <w:color w:val="auto"/>
              </w:rPr>
              <w:t>Awards (5)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w:t>
            </w:r>
          </w:p>
        </w:tc>
        <w:tc>
          <w:tcPr>
            <w:tcW w:w="1580" w:type="dxa"/>
            <w:vAlign w:val="bottom"/>
            <w:tcBorders>
              <w:top w:val="single" w:sz="8" w:color="auto"/>
            </w:tcBorders>
            <w:shd w:val="clear" w:color="auto" w:fill="CCEEFF"/>
          </w:tcPr>
          <w:p>
            <w:pPr>
              <w:jc w:val="right"/>
              <w:ind w:right="133"/>
              <w:spacing w:after="0" w:line="195" w:lineRule="exact"/>
              <w:rPr>
                <w:sz w:val="20"/>
                <w:szCs w:val="20"/>
                <w:color w:val="auto"/>
              </w:rPr>
            </w:pPr>
            <w:r>
              <w:rPr>
                <w:rFonts w:ascii="Arial" w:cs="Arial" w:eastAsia="Arial" w:hAnsi="Arial"/>
                <w:sz w:val="18"/>
                <w:szCs w:val="18"/>
                <w:color w:val="auto"/>
              </w:rPr>
              <w:t>1/26/17 (1)</w:t>
            </w:r>
          </w:p>
        </w:tc>
        <w:tc>
          <w:tcPr>
            <w:tcW w:w="1200" w:type="dxa"/>
            <w:vAlign w:val="bottom"/>
            <w:tcBorders>
              <w:top w:val="single" w:sz="8" w:color="auto"/>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1/19/17</w:t>
            </w:r>
          </w:p>
        </w:tc>
        <w:tc>
          <w:tcPr>
            <w:tcW w:w="15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ind w:right="159"/>
              <w:spacing w:after="0" w:line="195" w:lineRule="exact"/>
              <w:rPr>
                <w:sz w:val="20"/>
                <w:szCs w:val="20"/>
                <w:color w:val="auto"/>
              </w:rPr>
            </w:pPr>
            <w:r>
              <w:rPr>
                <w:rFonts w:ascii="Arial" w:cs="Arial" w:eastAsia="Arial" w:hAnsi="Arial"/>
                <w:sz w:val="18"/>
                <w:szCs w:val="18"/>
                <w:color w:val="auto"/>
              </w:rPr>
              <w:t>333,615</w:t>
            </w: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$ 79.26</w:t>
            </w:r>
          </w:p>
        </w:tc>
        <w:tc>
          <w:tcPr>
            <w:tcW w:w="1280" w:type="dxa"/>
            <w:vAlign w:val="bottom"/>
            <w:tcBorders>
              <w:top w:val="single" w:sz="8" w:color="auto"/>
            </w:tcBorders>
            <w:shd w:val="clear" w:color="auto" w:fill="CCEEFF"/>
          </w:tcPr>
          <w:p>
            <w:pPr>
              <w:jc w:val="center"/>
              <w:ind w:left="115"/>
              <w:spacing w:after="0" w:line="195" w:lineRule="exact"/>
              <w:rPr>
                <w:sz w:val="20"/>
                <w:szCs w:val="20"/>
                <w:color w:val="auto"/>
              </w:rPr>
            </w:pPr>
            <w:r>
              <w:rPr>
                <w:rFonts w:ascii="Arial" w:cs="Arial" w:eastAsia="Arial" w:hAnsi="Arial"/>
                <w:sz w:val="18"/>
                <w:szCs w:val="18"/>
                <w:color w:val="auto"/>
              </w:rPr>
              <w:t>$ 5,500,004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3"/>
              <w:spacing w:after="0" w:line="203" w:lineRule="exact"/>
              <w:rPr>
                <w:sz w:val="20"/>
                <w:szCs w:val="20"/>
                <w:color w:val="auto"/>
              </w:rPr>
            </w:pPr>
            <w:r>
              <w:rPr>
                <w:rFonts w:ascii="Arial" w:cs="Arial" w:eastAsia="Arial" w:hAnsi="Arial"/>
                <w:sz w:val="18"/>
                <w:szCs w:val="18"/>
                <w:color w:val="auto"/>
              </w:rPr>
              <w:t>1/26/17 (1)</w:t>
            </w:r>
          </w:p>
        </w:tc>
        <w:tc>
          <w:tcPr>
            <w:tcW w:w="12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1/19/17</w:t>
            </w:r>
          </w:p>
        </w:tc>
        <w:tc>
          <w:tcPr>
            <w:tcW w:w="1500" w:type="dxa"/>
            <w:vAlign w:val="bottom"/>
            <w:shd w:val="clear" w:color="auto" w:fill="CCEEFF"/>
          </w:tcPr>
          <w:p>
            <w:pPr>
              <w:jc w:val="right"/>
              <w:ind w:right="179"/>
              <w:spacing w:after="0" w:line="203" w:lineRule="exact"/>
              <w:rPr>
                <w:sz w:val="20"/>
                <w:szCs w:val="20"/>
                <w:color w:val="auto"/>
              </w:rPr>
            </w:pPr>
            <w:r>
              <w:rPr>
                <w:rFonts w:ascii="Arial" w:cs="Arial" w:eastAsia="Arial" w:hAnsi="Arial"/>
                <w:sz w:val="18"/>
                <w:szCs w:val="18"/>
                <w:color w:val="auto"/>
              </w:rPr>
              <w:t>69,392</w:t>
            </w: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left="115"/>
              <w:spacing w:after="0" w:line="203" w:lineRule="exact"/>
              <w:rPr>
                <w:sz w:val="20"/>
                <w:szCs w:val="20"/>
                <w:color w:val="auto"/>
              </w:rPr>
            </w:pPr>
            <w:r>
              <w:rPr>
                <w:rFonts w:ascii="Arial" w:cs="Arial" w:eastAsia="Arial" w:hAnsi="Arial"/>
                <w:sz w:val="18"/>
                <w:szCs w:val="18"/>
                <w:color w:val="auto"/>
              </w:rPr>
              <w:t>$ 5,500,010</w:t>
            </w:r>
          </w:p>
        </w:tc>
        <w:tc>
          <w:tcPr>
            <w:tcW w:w="0" w:type="dxa"/>
            <w:vAlign w:val="bottom"/>
          </w:tcPr>
          <w:p>
            <w:pPr>
              <w:spacing w:after="0"/>
              <w:rPr>
                <w:sz w:val="1"/>
                <w:szCs w:val="1"/>
                <w:color w:val="auto"/>
              </w:rPr>
            </w:pPr>
          </w:p>
        </w:tc>
      </w:tr>
      <w:tr>
        <w:trPr>
          <w:trHeight w:val="310"/>
        </w:trPr>
        <w:tc>
          <w:tcPr>
            <w:tcW w:w="2800" w:type="dxa"/>
            <w:vAlign w:val="bottom"/>
            <w:gridSpan w:val="2"/>
          </w:tcPr>
          <w:p>
            <w:pPr>
              <w:spacing w:after="0"/>
              <w:rPr>
                <w:sz w:val="20"/>
                <w:szCs w:val="20"/>
                <w:color w:val="auto"/>
              </w:rPr>
            </w:pPr>
            <w:r>
              <w:rPr>
                <w:rFonts w:ascii="Arial" w:cs="Arial" w:eastAsia="Arial" w:hAnsi="Arial"/>
                <w:sz w:val="18"/>
                <w:szCs w:val="18"/>
                <w:color w:val="auto"/>
              </w:rPr>
              <w:t>R. R. Lizardi</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1/26/17 (1)</w:t>
            </w:r>
          </w:p>
        </w:tc>
        <w:tc>
          <w:tcPr>
            <w:tcW w:w="1200" w:type="dxa"/>
            <w:vAlign w:val="bottom"/>
          </w:tcPr>
          <w:p>
            <w:pPr>
              <w:ind w:left="340"/>
              <w:spacing w:after="0"/>
              <w:rPr>
                <w:sz w:val="20"/>
                <w:szCs w:val="20"/>
                <w:color w:val="auto"/>
              </w:rPr>
            </w:pPr>
            <w:r>
              <w:rPr>
                <w:rFonts w:ascii="Arial" w:cs="Arial" w:eastAsia="Arial" w:hAnsi="Arial"/>
                <w:sz w:val="18"/>
                <w:szCs w:val="18"/>
                <w:color w:val="auto"/>
              </w:rPr>
              <w:t>1/19/17</w:t>
            </w:r>
          </w:p>
        </w:tc>
        <w:tc>
          <w:tcPr>
            <w:tcW w:w="1500" w:type="dxa"/>
            <w:vAlign w:val="bottom"/>
          </w:tcPr>
          <w:p>
            <w:pPr>
              <w:spacing w:after="0"/>
              <w:rPr>
                <w:sz w:val="24"/>
                <w:szCs w:val="24"/>
                <w:color w:val="auto"/>
              </w:rPr>
            </w:pPr>
          </w:p>
        </w:tc>
        <w:tc>
          <w:tcPr>
            <w:tcW w:w="1560" w:type="dxa"/>
            <w:vAlign w:val="bottom"/>
          </w:tcPr>
          <w:p>
            <w:pPr>
              <w:jc w:val="right"/>
              <w:ind w:right="159"/>
              <w:spacing w:after="0"/>
              <w:rPr>
                <w:sz w:val="20"/>
                <w:szCs w:val="20"/>
                <w:color w:val="auto"/>
              </w:rPr>
            </w:pPr>
            <w:r>
              <w:rPr>
                <w:rFonts w:ascii="Arial" w:cs="Arial" w:eastAsia="Arial" w:hAnsi="Arial"/>
                <w:sz w:val="18"/>
                <w:szCs w:val="18"/>
                <w:color w:val="auto"/>
              </w:rPr>
              <w:t>60,658</w:t>
            </w:r>
          </w:p>
        </w:tc>
        <w:tc>
          <w:tcPr>
            <w:tcW w:w="1120" w:type="dxa"/>
            <w:vAlign w:val="bottom"/>
          </w:tcPr>
          <w:p>
            <w:pPr>
              <w:jc w:val="center"/>
              <w:spacing w:after="0"/>
              <w:rPr>
                <w:sz w:val="20"/>
                <w:szCs w:val="20"/>
                <w:color w:val="auto"/>
              </w:rPr>
            </w:pPr>
            <w:r>
              <w:rPr>
                <w:rFonts w:ascii="Arial" w:cs="Arial" w:eastAsia="Arial" w:hAnsi="Arial"/>
                <w:sz w:val="18"/>
                <w:szCs w:val="18"/>
                <w:color w:val="auto"/>
              </w:rPr>
              <w:t>$ 79.26</w:t>
            </w: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$ 1,000,013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1/26/17 (1)</w:t>
            </w:r>
          </w:p>
        </w:tc>
        <w:tc>
          <w:tcPr>
            <w:tcW w:w="1200" w:type="dxa"/>
            <w:vAlign w:val="bottom"/>
          </w:tcPr>
          <w:p>
            <w:pPr>
              <w:ind w:left="340"/>
              <w:spacing w:after="0"/>
              <w:rPr>
                <w:sz w:val="20"/>
                <w:szCs w:val="20"/>
                <w:color w:val="auto"/>
              </w:rPr>
            </w:pPr>
            <w:r>
              <w:rPr>
                <w:rFonts w:ascii="Arial" w:cs="Arial" w:eastAsia="Arial" w:hAnsi="Arial"/>
                <w:sz w:val="18"/>
                <w:szCs w:val="18"/>
                <w:color w:val="auto"/>
              </w:rPr>
              <w:t>1/19/17</w:t>
            </w:r>
          </w:p>
        </w:tc>
        <w:tc>
          <w:tcPr>
            <w:tcW w:w="1500" w:type="dxa"/>
            <w:vAlign w:val="bottom"/>
          </w:tcPr>
          <w:p>
            <w:pPr>
              <w:jc w:val="right"/>
              <w:ind w:right="179"/>
              <w:spacing w:after="0"/>
              <w:rPr>
                <w:sz w:val="20"/>
                <w:szCs w:val="20"/>
                <w:color w:val="auto"/>
              </w:rPr>
            </w:pPr>
            <w:r>
              <w:rPr>
                <w:rFonts w:ascii="Arial" w:cs="Arial" w:eastAsia="Arial" w:hAnsi="Arial"/>
                <w:sz w:val="18"/>
                <w:szCs w:val="18"/>
                <w:color w:val="auto"/>
              </w:rPr>
              <w:t>25,234</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$ 2,000,047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 P. March</w:t>
            </w:r>
          </w:p>
        </w:tc>
        <w:tc>
          <w:tcPr>
            <w:tcW w:w="158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1/26/17 (1)</w:t>
            </w:r>
          </w:p>
        </w:tc>
        <w:tc>
          <w:tcPr>
            <w:tcW w:w="12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1/19/17</w:t>
            </w:r>
          </w:p>
        </w:tc>
        <w:tc>
          <w:tcPr>
            <w:tcW w:w="15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59"/>
              <w:spacing w:after="0" w:line="201" w:lineRule="exact"/>
              <w:rPr>
                <w:sz w:val="20"/>
                <w:szCs w:val="20"/>
                <w:color w:val="auto"/>
              </w:rPr>
            </w:pPr>
            <w:r>
              <w:rPr>
                <w:rFonts w:ascii="Arial" w:cs="Arial" w:eastAsia="Arial" w:hAnsi="Arial"/>
                <w:sz w:val="18"/>
                <w:szCs w:val="18"/>
                <w:color w:val="auto"/>
              </w:rPr>
              <w:t>81,888</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$ 79.26</w:t>
            </w:r>
          </w:p>
        </w:tc>
        <w:tc>
          <w:tcPr>
            <w:tcW w:w="1280" w:type="dxa"/>
            <w:vAlign w:val="bottom"/>
            <w:shd w:val="clear" w:color="auto" w:fill="CCEEFF"/>
          </w:tcPr>
          <w:p>
            <w:pPr>
              <w:jc w:val="center"/>
              <w:ind w:left="115"/>
              <w:spacing w:after="0" w:line="201" w:lineRule="exact"/>
              <w:rPr>
                <w:sz w:val="20"/>
                <w:szCs w:val="20"/>
                <w:color w:val="auto"/>
              </w:rPr>
            </w:pPr>
            <w:r>
              <w:rPr>
                <w:rFonts w:ascii="Arial" w:cs="Arial" w:eastAsia="Arial" w:hAnsi="Arial"/>
                <w:sz w:val="18"/>
                <w:szCs w:val="18"/>
                <w:color w:val="auto"/>
              </w:rPr>
              <w:t>$ 1,350,012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3"/>
              <w:spacing w:after="0" w:line="203" w:lineRule="exact"/>
              <w:rPr>
                <w:sz w:val="20"/>
                <w:szCs w:val="20"/>
                <w:color w:val="auto"/>
              </w:rPr>
            </w:pPr>
            <w:r>
              <w:rPr>
                <w:rFonts w:ascii="Arial" w:cs="Arial" w:eastAsia="Arial" w:hAnsi="Arial"/>
                <w:sz w:val="18"/>
                <w:szCs w:val="18"/>
                <w:color w:val="auto"/>
              </w:rPr>
              <w:t>1/26/17 (1)</w:t>
            </w:r>
          </w:p>
        </w:tc>
        <w:tc>
          <w:tcPr>
            <w:tcW w:w="12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1/19/17</w:t>
            </w:r>
          </w:p>
        </w:tc>
        <w:tc>
          <w:tcPr>
            <w:tcW w:w="1500" w:type="dxa"/>
            <w:vAlign w:val="bottom"/>
            <w:shd w:val="clear" w:color="auto" w:fill="CCEEFF"/>
          </w:tcPr>
          <w:p>
            <w:pPr>
              <w:jc w:val="right"/>
              <w:ind w:right="179"/>
              <w:spacing w:after="0" w:line="203" w:lineRule="exact"/>
              <w:rPr>
                <w:sz w:val="20"/>
                <w:szCs w:val="20"/>
                <w:color w:val="auto"/>
              </w:rPr>
            </w:pPr>
            <w:r>
              <w:rPr>
                <w:rFonts w:ascii="Arial" w:cs="Arial" w:eastAsia="Arial" w:hAnsi="Arial"/>
                <w:sz w:val="18"/>
                <w:szCs w:val="18"/>
                <w:color w:val="auto"/>
              </w:rPr>
              <w:t>17,033</w:t>
            </w: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left="115"/>
              <w:spacing w:after="0" w:line="203" w:lineRule="exact"/>
              <w:rPr>
                <w:sz w:val="20"/>
                <w:szCs w:val="20"/>
                <w:color w:val="auto"/>
              </w:rPr>
            </w:pPr>
            <w:r>
              <w:rPr>
                <w:rFonts w:ascii="Arial" w:cs="Arial" w:eastAsia="Arial" w:hAnsi="Arial"/>
                <w:sz w:val="18"/>
                <w:szCs w:val="18"/>
                <w:color w:val="auto"/>
              </w:rPr>
              <w:t>$ 1,350,036</w:t>
            </w:r>
          </w:p>
        </w:tc>
        <w:tc>
          <w:tcPr>
            <w:tcW w:w="0" w:type="dxa"/>
            <w:vAlign w:val="bottom"/>
          </w:tcPr>
          <w:p>
            <w:pPr>
              <w:spacing w:after="0"/>
              <w:rPr>
                <w:sz w:val="1"/>
                <w:szCs w:val="1"/>
                <w:color w:val="auto"/>
              </w:rPr>
            </w:pPr>
          </w:p>
        </w:tc>
      </w:tr>
      <w:tr>
        <w:trPr>
          <w:trHeight w:val="310"/>
        </w:trPr>
        <w:tc>
          <w:tcPr>
            <w:tcW w:w="2800" w:type="dxa"/>
            <w:vAlign w:val="bottom"/>
            <w:gridSpan w:val="2"/>
          </w:tcPr>
          <w:p>
            <w:pPr>
              <w:spacing w:after="0"/>
              <w:rPr>
                <w:sz w:val="20"/>
                <w:szCs w:val="20"/>
                <w:color w:val="auto"/>
              </w:rPr>
            </w:pPr>
            <w:r>
              <w:rPr>
                <w:rFonts w:ascii="Arial" w:cs="Arial" w:eastAsia="Arial" w:hAnsi="Arial"/>
                <w:sz w:val="18"/>
                <w:szCs w:val="18"/>
                <w:color w:val="auto"/>
              </w:rPr>
              <w:t>B. T. Crutcher</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1/26/17 (1)</w:t>
            </w:r>
          </w:p>
        </w:tc>
        <w:tc>
          <w:tcPr>
            <w:tcW w:w="1200" w:type="dxa"/>
            <w:vAlign w:val="bottom"/>
          </w:tcPr>
          <w:p>
            <w:pPr>
              <w:ind w:left="340"/>
              <w:spacing w:after="0"/>
              <w:rPr>
                <w:sz w:val="20"/>
                <w:szCs w:val="20"/>
                <w:color w:val="auto"/>
              </w:rPr>
            </w:pPr>
            <w:r>
              <w:rPr>
                <w:rFonts w:ascii="Arial" w:cs="Arial" w:eastAsia="Arial" w:hAnsi="Arial"/>
                <w:sz w:val="18"/>
                <w:szCs w:val="18"/>
                <w:color w:val="auto"/>
              </w:rPr>
              <w:t>1/19/17</w:t>
            </w:r>
          </w:p>
        </w:tc>
        <w:tc>
          <w:tcPr>
            <w:tcW w:w="1500" w:type="dxa"/>
            <w:vAlign w:val="bottom"/>
          </w:tcPr>
          <w:p>
            <w:pPr>
              <w:spacing w:after="0"/>
              <w:rPr>
                <w:sz w:val="24"/>
                <w:szCs w:val="24"/>
                <w:color w:val="auto"/>
              </w:rPr>
            </w:pPr>
          </w:p>
        </w:tc>
        <w:tc>
          <w:tcPr>
            <w:tcW w:w="1560" w:type="dxa"/>
            <w:vAlign w:val="bottom"/>
          </w:tcPr>
          <w:p>
            <w:pPr>
              <w:jc w:val="right"/>
              <w:ind w:right="159"/>
              <w:spacing w:after="0"/>
              <w:rPr>
                <w:sz w:val="20"/>
                <w:szCs w:val="20"/>
                <w:color w:val="auto"/>
              </w:rPr>
            </w:pPr>
            <w:r>
              <w:rPr>
                <w:rFonts w:ascii="Arial" w:cs="Arial" w:eastAsia="Arial" w:hAnsi="Arial"/>
                <w:sz w:val="18"/>
                <w:szCs w:val="18"/>
                <w:color w:val="auto"/>
              </w:rPr>
              <w:t>227,465</w:t>
            </w:r>
          </w:p>
        </w:tc>
        <w:tc>
          <w:tcPr>
            <w:tcW w:w="1120" w:type="dxa"/>
            <w:vAlign w:val="bottom"/>
          </w:tcPr>
          <w:p>
            <w:pPr>
              <w:jc w:val="center"/>
              <w:spacing w:after="0"/>
              <w:rPr>
                <w:sz w:val="20"/>
                <w:szCs w:val="20"/>
                <w:color w:val="auto"/>
              </w:rPr>
            </w:pPr>
            <w:r>
              <w:rPr>
                <w:rFonts w:ascii="Arial" w:cs="Arial" w:eastAsia="Arial" w:hAnsi="Arial"/>
                <w:sz w:val="18"/>
                <w:szCs w:val="18"/>
                <w:color w:val="auto"/>
              </w:rPr>
              <w:t>$ 79.26</w:t>
            </w: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$ 3,750,006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1/26/17 (1)</w:t>
            </w:r>
          </w:p>
        </w:tc>
        <w:tc>
          <w:tcPr>
            <w:tcW w:w="1200" w:type="dxa"/>
            <w:vAlign w:val="bottom"/>
          </w:tcPr>
          <w:p>
            <w:pPr>
              <w:ind w:left="340"/>
              <w:spacing w:after="0"/>
              <w:rPr>
                <w:sz w:val="20"/>
                <w:szCs w:val="20"/>
                <w:color w:val="auto"/>
              </w:rPr>
            </w:pPr>
            <w:r>
              <w:rPr>
                <w:rFonts w:ascii="Arial" w:cs="Arial" w:eastAsia="Arial" w:hAnsi="Arial"/>
                <w:sz w:val="18"/>
                <w:szCs w:val="18"/>
                <w:color w:val="auto"/>
              </w:rPr>
              <w:t>1/19/17</w:t>
            </w:r>
          </w:p>
        </w:tc>
        <w:tc>
          <w:tcPr>
            <w:tcW w:w="1500" w:type="dxa"/>
            <w:vAlign w:val="bottom"/>
          </w:tcPr>
          <w:p>
            <w:pPr>
              <w:jc w:val="right"/>
              <w:ind w:right="179"/>
              <w:spacing w:after="0"/>
              <w:rPr>
                <w:sz w:val="20"/>
                <w:szCs w:val="20"/>
                <w:color w:val="auto"/>
              </w:rPr>
            </w:pPr>
            <w:r>
              <w:rPr>
                <w:rFonts w:ascii="Arial" w:cs="Arial" w:eastAsia="Arial" w:hAnsi="Arial"/>
                <w:sz w:val="18"/>
                <w:szCs w:val="18"/>
                <w:color w:val="auto"/>
              </w:rPr>
              <w:t>47,313</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$ 3,750,028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 J. Ritchie</w:t>
            </w:r>
          </w:p>
        </w:tc>
        <w:tc>
          <w:tcPr>
            <w:tcW w:w="1580" w:type="dxa"/>
            <w:vAlign w:val="bottom"/>
            <w:shd w:val="clear" w:color="auto" w:fill="CCEEFF"/>
          </w:tcPr>
          <w:p>
            <w:pPr>
              <w:jc w:val="right"/>
              <w:ind w:right="133"/>
              <w:spacing w:after="0" w:line="201" w:lineRule="exact"/>
              <w:rPr>
                <w:sz w:val="20"/>
                <w:szCs w:val="20"/>
                <w:color w:val="auto"/>
              </w:rPr>
            </w:pPr>
            <w:r>
              <w:rPr>
                <w:rFonts w:ascii="Arial" w:cs="Arial" w:eastAsia="Arial" w:hAnsi="Arial"/>
                <w:sz w:val="18"/>
                <w:szCs w:val="18"/>
                <w:color w:val="auto"/>
              </w:rPr>
              <w:t>1/26/17 (1)</w:t>
            </w:r>
          </w:p>
        </w:tc>
        <w:tc>
          <w:tcPr>
            <w:tcW w:w="12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1/19/17</w:t>
            </w:r>
          </w:p>
        </w:tc>
        <w:tc>
          <w:tcPr>
            <w:tcW w:w="15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59"/>
              <w:spacing w:after="0" w:line="201" w:lineRule="exact"/>
              <w:rPr>
                <w:sz w:val="20"/>
                <w:szCs w:val="20"/>
                <w:color w:val="auto"/>
              </w:rPr>
            </w:pPr>
            <w:r>
              <w:rPr>
                <w:rFonts w:ascii="Arial" w:cs="Arial" w:eastAsia="Arial" w:hAnsi="Arial"/>
                <w:sz w:val="18"/>
                <w:szCs w:val="18"/>
                <w:color w:val="auto"/>
              </w:rPr>
              <w:t>121,315</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$ 79.26</w:t>
            </w:r>
          </w:p>
        </w:tc>
        <w:tc>
          <w:tcPr>
            <w:tcW w:w="1280" w:type="dxa"/>
            <w:vAlign w:val="bottom"/>
            <w:shd w:val="clear" w:color="auto" w:fill="CCEEFF"/>
          </w:tcPr>
          <w:p>
            <w:pPr>
              <w:jc w:val="center"/>
              <w:ind w:left="115"/>
              <w:spacing w:after="0" w:line="201" w:lineRule="exact"/>
              <w:rPr>
                <w:sz w:val="20"/>
                <w:szCs w:val="20"/>
                <w:color w:val="auto"/>
              </w:rPr>
            </w:pPr>
            <w:r>
              <w:rPr>
                <w:rFonts w:ascii="Arial" w:cs="Arial" w:eastAsia="Arial" w:hAnsi="Arial"/>
                <w:sz w:val="18"/>
                <w:szCs w:val="18"/>
                <w:color w:val="auto"/>
              </w:rPr>
              <w:t>$ 2,000,009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3"/>
              <w:spacing w:after="0" w:line="203" w:lineRule="exact"/>
              <w:rPr>
                <w:sz w:val="20"/>
                <w:szCs w:val="20"/>
                <w:color w:val="auto"/>
              </w:rPr>
            </w:pPr>
            <w:r>
              <w:rPr>
                <w:rFonts w:ascii="Arial" w:cs="Arial" w:eastAsia="Arial" w:hAnsi="Arial"/>
                <w:sz w:val="18"/>
                <w:szCs w:val="18"/>
                <w:color w:val="auto"/>
              </w:rPr>
              <w:t>1/26/17 (1)</w:t>
            </w:r>
          </w:p>
        </w:tc>
        <w:tc>
          <w:tcPr>
            <w:tcW w:w="12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1/19/17</w:t>
            </w:r>
          </w:p>
        </w:tc>
        <w:tc>
          <w:tcPr>
            <w:tcW w:w="1500" w:type="dxa"/>
            <w:vAlign w:val="bottom"/>
            <w:shd w:val="clear" w:color="auto" w:fill="CCEEFF"/>
          </w:tcPr>
          <w:p>
            <w:pPr>
              <w:jc w:val="right"/>
              <w:ind w:right="179"/>
              <w:spacing w:after="0" w:line="203" w:lineRule="exact"/>
              <w:rPr>
                <w:sz w:val="20"/>
                <w:szCs w:val="20"/>
                <w:color w:val="auto"/>
              </w:rPr>
            </w:pPr>
            <w:r>
              <w:rPr>
                <w:rFonts w:ascii="Arial" w:cs="Arial" w:eastAsia="Arial" w:hAnsi="Arial"/>
                <w:sz w:val="18"/>
                <w:szCs w:val="18"/>
                <w:color w:val="auto"/>
              </w:rPr>
              <w:t>25,234</w:t>
            </w: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left="115"/>
              <w:spacing w:after="0" w:line="203" w:lineRule="exact"/>
              <w:rPr>
                <w:sz w:val="20"/>
                <w:szCs w:val="20"/>
                <w:color w:val="auto"/>
              </w:rPr>
            </w:pPr>
            <w:r>
              <w:rPr>
                <w:rFonts w:ascii="Arial" w:cs="Arial" w:eastAsia="Arial" w:hAnsi="Arial"/>
                <w:sz w:val="18"/>
                <w:szCs w:val="18"/>
                <w:color w:val="auto"/>
              </w:rPr>
              <w:t>$ 2,000,047</w:t>
            </w:r>
          </w:p>
        </w:tc>
        <w:tc>
          <w:tcPr>
            <w:tcW w:w="0" w:type="dxa"/>
            <w:vAlign w:val="bottom"/>
          </w:tcPr>
          <w:p>
            <w:pPr>
              <w:spacing w:after="0"/>
              <w:rPr>
                <w:sz w:val="1"/>
                <w:szCs w:val="1"/>
                <w:color w:val="auto"/>
              </w:rPr>
            </w:pPr>
          </w:p>
        </w:tc>
      </w:tr>
      <w:tr>
        <w:trPr>
          <w:trHeight w:val="310"/>
        </w:trPr>
        <w:tc>
          <w:tcPr>
            <w:tcW w:w="2800" w:type="dxa"/>
            <w:vAlign w:val="bottom"/>
            <w:gridSpan w:val="2"/>
          </w:tcPr>
          <w:p>
            <w:pPr>
              <w:spacing w:after="0"/>
              <w:rPr>
                <w:sz w:val="20"/>
                <w:szCs w:val="20"/>
                <w:color w:val="auto"/>
              </w:rPr>
            </w:pPr>
            <w:r>
              <w:rPr>
                <w:rFonts w:ascii="Arial" w:cs="Arial" w:eastAsia="Arial" w:hAnsi="Arial"/>
                <w:sz w:val="18"/>
                <w:szCs w:val="18"/>
                <w:color w:val="auto"/>
              </w:rPr>
              <w:t>R. G. Delagi</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1/26/17 (1)</w:t>
            </w:r>
          </w:p>
        </w:tc>
        <w:tc>
          <w:tcPr>
            <w:tcW w:w="1200" w:type="dxa"/>
            <w:vAlign w:val="bottom"/>
          </w:tcPr>
          <w:p>
            <w:pPr>
              <w:ind w:left="340"/>
              <w:spacing w:after="0"/>
              <w:rPr>
                <w:sz w:val="20"/>
                <w:szCs w:val="20"/>
                <w:color w:val="auto"/>
              </w:rPr>
            </w:pPr>
            <w:r>
              <w:rPr>
                <w:rFonts w:ascii="Arial" w:cs="Arial" w:eastAsia="Arial" w:hAnsi="Arial"/>
                <w:sz w:val="18"/>
                <w:szCs w:val="18"/>
                <w:color w:val="auto"/>
              </w:rPr>
              <w:t>1/19/17</w:t>
            </w:r>
          </w:p>
        </w:tc>
        <w:tc>
          <w:tcPr>
            <w:tcW w:w="1500" w:type="dxa"/>
            <w:vAlign w:val="bottom"/>
          </w:tcPr>
          <w:p>
            <w:pPr>
              <w:spacing w:after="0"/>
              <w:rPr>
                <w:sz w:val="24"/>
                <w:szCs w:val="24"/>
                <w:color w:val="auto"/>
              </w:rPr>
            </w:pPr>
          </w:p>
        </w:tc>
        <w:tc>
          <w:tcPr>
            <w:tcW w:w="1560" w:type="dxa"/>
            <w:vAlign w:val="bottom"/>
          </w:tcPr>
          <w:p>
            <w:pPr>
              <w:jc w:val="right"/>
              <w:ind w:right="159"/>
              <w:spacing w:after="0"/>
              <w:rPr>
                <w:sz w:val="20"/>
                <w:szCs w:val="20"/>
                <w:color w:val="auto"/>
              </w:rPr>
            </w:pPr>
            <w:r>
              <w:rPr>
                <w:rFonts w:ascii="Arial" w:cs="Arial" w:eastAsia="Arial" w:hAnsi="Arial"/>
                <w:sz w:val="18"/>
                <w:szCs w:val="18"/>
                <w:color w:val="auto"/>
              </w:rPr>
              <w:t>109,184</w:t>
            </w:r>
          </w:p>
        </w:tc>
        <w:tc>
          <w:tcPr>
            <w:tcW w:w="1120" w:type="dxa"/>
            <w:vAlign w:val="bottom"/>
          </w:tcPr>
          <w:p>
            <w:pPr>
              <w:jc w:val="center"/>
              <w:spacing w:after="0"/>
              <w:rPr>
                <w:sz w:val="20"/>
                <w:szCs w:val="20"/>
                <w:color w:val="auto"/>
              </w:rPr>
            </w:pPr>
            <w:r>
              <w:rPr>
                <w:rFonts w:ascii="Arial" w:cs="Arial" w:eastAsia="Arial" w:hAnsi="Arial"/>
                <w:sz w:val="18"/>
                <w:szCs w:val="18"/>
                <w:color w:val="auto"/>
              </w:rPr>
              <w:t>$ 79.26</w:t>
            </w: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$ 1,800,016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1/26/17 (1)</w:t>
            </w:r>
          </w:p>
        </w:tc>
        <w:tc>
          <w:tcPr>
            <w:tcW w:w="1200" w:type="dxa"/>
            <w:vAlign w:val="bottom"/>
          </w:tcPr>
          <w:p>
            <w:pPr>
              <w:ind w:left="340"/>
              <w:spacing w:after="0"/>
              <w:rPr>
                <w:sz w:val="20"/>
                <w:szCs w:val="20"/>
                <w:color w:val="auto"/>
              </w:rPr>
            </w:pPr>
            <w:r>
              <w:rPr>
                <w:rFonts w:ascii="Arial" w:cs="Arial" w:eastAsia="Arial" w:hAnsi="Arial"/>
                <w:sz w:val="18"/>
                <w:szCs w:val="18"/>
                <w:color w:val="auto"/>
              </w:rPr>
              <w:t>1/19/17</w:t>
            </w:r>
          </w:p>
        </w:tc>
        <w:tc>
          <w:tcPr>
            <w:tcW w:w="1500" w:type="dxa"/>
            <w:vAlign w:val="bottom"/>
          </w:tcPr>
          <w:p>
            <w:pPr>
              <w:jc w:val="right"/>
              <w:ind w:right="179"/>
              <w:spacing w:after="0"/>
              <w:rPr>
                <w:sz w:val="20"/>
                <w:szCs w:val="20"/>
                <w:color w:val="auto"/>
              </w:rPr>
            </w:pPr>
            <w:r>
              <w:rPr>
                <w:rFonts w:ascii="Arial" w:cs="Arial" w:eastAsia="Arial" w:hAnsi="Arial"/>
                <w:sz w:val="18"/>
                <w:szCs w:val="18"/>
                <w:color w:val="auto"/>
              </w:rPr>
              <w:t>22,711</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jc w:val="center"/>
              <w:ind w:left="115"/>
              <w:spacing w:after="0"/>
              <w:rPr>
                <w:sz w:val="20"/>
                <w:szCs w:val="20"/>
                <w:color w:val="auto"/>
              </w:rPr>
            </w:pPr>
            <w:r>
              <w:rPr>
                <w:rFonts w:ascii="Arial" w:cs="Arial" w:eastAsia="Arial" w:hAnsi="Arial"/>
                <w:sz w:val="18"/>
                <w:szCs w:val="18"/>
                <w:color w:val="auto"/>
              </w:rPr>
              <w:t>$ 1,800,074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right="22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accordance with the grant policy of the Compensation Committee of the board (described under “Process for equity grants”), the grants became effective on the second trading day after the company released its financial results for the fourth-quarter and year 2016. The company released these results on January 24, 2017.</w:t>
      </w:r>
    </w:p>
    <w:p>
      <w:pPr>
        <w:spacing w:after="0" w:line="108" w:lineRule="exact"/>
        <w:rPr>
          <w:rFonts w:ascii="Arial" w:cs="Arial" w:eastAsia="Arial" w:hAnsi="Arial"/>
          <w:sz w:val="18"/>
          <w:szCs w:val="18"/>
          <w:color w:val="auto"/>
        </w:rPr>
      </w:pPr>
    </w:p>
    <w:p>
      <w:pPr>
        <w:ind w:left="640" w:right="30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stock awards granted to the named executive officers in 2017 were RSU awards. These awards were made under the company’s 2009 Long-Term Incentive Plan. For information on the terms and conditions of these RSU awards, see the discussion following the Outstanding equity awards at fiscal year-end 2017 table.</w:t>
      </w:r>
    </w:p>
    <w:p>
      <w:pPr>
        <w:spacing w:after="0" w:line="108" w:lineRule="exact"/>
        <w:rPr>
          <w:rFonts w:ascii="Arial" w:cs="Arial" w:eastAsia="Arial" w:hAnsi="Arial"/>
          <w:sz w:val="18"/>
          <w:szCs w:val="18"/>
          <w:color w:val="auto"/>
        </w:rPr>
      </w:pPr>
    </w:p>
    <w:p>
      <w:pPr>
        <w:ind w:left="640" w:right="40" w:hanging="436"/>
        <w:spacing w:after="0" w:line="246"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options were granted under the company’s 2009 Long-Term Incentive Plan. For information on the terms and conditions of these options, see the discussion following the Outstanding equity awards at fiscal year-end 2017 table.</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exercise price of the options is the closing price of TI common stock on January 26, 2017.</w:t>
      </w:r>
    </w:p>
    <w:p>
      <w:pPr>
        <w:spacing w:after="0" w:line="117" w:lineRule="exact"/>
        <w:rPr>
          <w:rFonts w:ascii="Arial" w:cs="Arial" w:eastAsia="Arial" w:hAnsi="Arial"/>
          <w:sz w:val="18"/>
          <w:szCs w:val="18"/>
          <w:color w:val="auto"/>
        </w:rPr>
      </w:pPr>
    </w:p>
    <w:p>
      <w:pPr>
        <w:ind w:left="640" w:right="20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Shown is the aggregate grant date fair value computed in accordance with ASC 718 for stock and option awards in 2017. The discussion of the assumptions used for purposes of the valuation appears in Note 4 to the financial statements in TI’s annual report on Form 10-K for the year ended December 31, 2017.</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 of the options or other equity awards granted to the named executive officers was repriced or modified by the company.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additional information regarding TI’s equity compensation grant practices, see the Compensation Discussion and Analysis.</w:t>
      </w:r>
    </w:p>
    <w:p>
      <w:pPr>
        <w:spacing w:after="0" w:line="13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Outstanding equity awards at fiscal year-end 2017</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outstanding equity awards for each of the named executive officers as of December 31,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60" w:type="dxa"/>
            <w:vAlign w:val="bottom"/>
            <w:gridSpan w:val="3"/>
          </w:tcPr>
          <w:p>
            <w:pPr>
              <w:ind w:left="840"/>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gridSpan w:val="5"/>
          </w:tcPr>
          <w:p>
            <w:pPr>
              <w:ind w:left="7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1300" w:type="dxa"/>
            <w:vAlign w:val="bottom"/>
            <w:tcBorders>
              <w:top w:val="single" w:sz="8" w:color="auto"/>
            </w:tcBorders>
          </w:tcPr>
          <w:p>
            <w:pPr>
              <w:jc w:val="center"/>
              <w:ind w:left="253"/>
              <w:spacing w:after="0" w:line="143" w:lineRule="exact"/>
              <w:rPr>
                <w:sz w:val="20"/>
                <w:szCs w:val="20"/>
                <w:color w:val="auto"/>
              </w:rPr>
            </w:pPr>
            <w:r>
              <w:rPr>
                <w:rFonts w:ascii="Arial" w:cs="Arial" w:eastAsia="Arial" w:hAnsi="Arial"/>
                <w:sz w:val="14"/>
                <w:szCs w:val="14"/>
                <w:b w:val="1"/>
                <w:bCs w:val="1"/>
                <w:color w:val="auto"/>
              </w:rPr>
              <w:t>Number of</w:t>
            </w:r>
          </w:p>
        </w:tc>
        <w:tc>
          <w:tcPr>
            <w:tcW w:w="3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left="12"/>
              <w:spacing w:after="0" w:line="143" w:lineRule="exact"/>
              <w:rPr>
                <w:sz w:val="20"/>
                <w:szCs w:val="20"/>
                <w:color w:val="auto"/>
              </w:rPr>
            </w:pPr>
            <w:r>
              <w:rPr>
                <w:rFonts w:ascii="Arial" w:cs="Arial" w:eastAsia="Arial" w:hAnsi="Arial"/>
                <w:sz w:val="14"/>
                <w:szCs w:val="14"/>
                <w:b w:val="1"/>
                <w:bCs w:val="1"/>
                <w:color w:val="auto"/>
              </w:rPr>
              <w:t>Market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300" w:type="dxa"/>
            <w:vAlign w:val="bottom"/>
          </w:tcPr>
          <w:p>
            <w:pPr>
              <w:jc w:val="center"/>
              <w:ind w:left="233"/>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Shares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300" w:type="dxa"/>
            <w:vAlign w:val="bottom"/>
          </w:tcPr>
          <w:p>
            <w:pPr>
              <w:jc w:val="center"/>
              <w:ind w:left="233"/>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34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Units of Stock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4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rPr>
              <w:t>Unexercised</w:t>
            </w:r>
          </w:p>
        </w:tc>
        <w:tc>
          <w:tcPr>
            <w:tcW w:w="1300" w:type="dxa"/>
            <w:vAlign w:val="bottom"/>
          </w:tcPr>
          <w:p>
            <w:pPr>
              <w:jc w:val="center"/>
              <w:ind w:left="233"/>
              <w:spacing w:after="0"/>
              <w:rPr>
                <w:sz w:val="20"/>
                <w:szCs w:val="20"/>
                <w:color w:val="auto"/>
              </w:rPr>
            </w:pPr>
            <w:r>
              <w:rPr>
                <w:rFonts w:ascii="Arial" w:cs="Arial" w:eastAsia="Arial" w:hAnsi="Arial"/>
                <w:sz w:val="14"/>
                <w:szCs w:val="14"/>
                <w:b w:val="1"/>
                <w:bCs w:val="1"/>
                <w:color w:val="auto"/>
              </w:rPr>
              <w:t>Unexercised</w:t>
            </w:r>
          </w:p>
        </w:tc>
        <w:tc>
          <w:tcPr>
            <w:tcW w:w="3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000" w:type="dxa"/>
            <w:vAlign w:val="bottom"/>
          </w:tcPr>
          <w:p>
            <w:pPr>
              <w:ind w:left="340"/>
              <w:spacing w:after="0"/>
              <w:rPr>
                <w:sz w:val="20"/>
                <w:szCs w:val="20"/>
                <w:color w:val="auto"/>
              </w:rPr>
            </w:pPr>
            <w:r>
              <w:rPr>
                <w:rFonts w:ascii="Arial" w:cs="Arial" w:eastAsia="Arial" w:hAnsi="Arial"/>
                <w:sz w:val="14"/>
                <w:szCs w:val="14"/>
                <w:b w:val="1"/>
                <w:bCs w:val="1"/>
                <w:color w:val="auto"/>
              </w:rPr>
              <w:t>Option</w:t>
            </w:r>
          </w:p>
        </w:tc>
        <w:tc>
          <w:tcPr>
            <w:tcW w:w="1300" w:type="dxa"/>
            <w:vAlign w:val="bottom"/>
            <w:gridSpan w:val="2"/>
          </w:tcPr>
          <w:p>
            <w:pPr>
              <w:jc w:val="center"/>
              <w:ind w:left="231"/>
              <w:spacing w:after="0"/>
              <w:rPr>
                <w:sz w:val="20"/>
                <w:szCs w:val="20"/>
                <w:color w:val="auto"/>
              </w:rPr>
            </w:pPr>
            <w:r>
              <w:rPr>
                <w:rFonts w:ascii="Arial" w:cs="Arial" w:eastAsia="Arial" w:hAnsi="Arial"/>
                <w:sz w:val="14"/>
                <w:szCs w:val="14"/>
                <w:b w:val="1"/>
                <w:bCs w:val="1"/>
                <w:color w:val="auto"/>
              </w:rPr>
              <w:t>Units of Stock</w:t>
            </w:r>
          </w:p>
        </w:tc>
        <w:tc>
          <w:tcPr>
            <w:tcW w:w="34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1300" w:type="dxa"/>
            <w:vAlign w:val="bottom"/>
          </w:tcPr>
          <w:p>
            <w:pPr>
              <w:jc w:val="center"/>
              <w:ind w:left="253"/>
              <w:spacing w:after="0"/>
              <w:rPr>
                <w:sz w:val="20"/>
                <w:szCs w:val="20"/>
                <w:color w:val="auto"/>
              </w:rPr>
            </w:pPr>
            <w:r>
              <w:rPr>
                <w:rFonts w:ascii="Arial" w:cs="Arial" w:eastAsia="Arial" w:hAnsi="Arial"/>
                <w:sz w:val="14"/>
                <w:szCs w:val="14"/>
                <w:b w:val="1"/>
                <w:bCs w:val="1"/>
                <w:color w:val="auto"/>
              </w:rPr>
              <w:t>Options (#)</w:t>
            </w:r>
          </w:p>
        </w:tc>
        <w:tc>
          <w:tcPr>
            <w:tcW w:w="3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Expiration</w:t>
            </w:r>
          </w:p>
        </w:tc>
        <w:tc>
          <w:tcPr>
            <w:tcW w:w="1300" w:type="dxa"/>
            <w:vAlign w:val="bottom"/>
            <w:gridSpan w:val="2"/>
          </w:tcPr>
          <w:p>
            <w:pPr>
              <w:jc w:val="center"/>
              <w:ind w:left="231"/>
              <w:spacing w:after="0"/>
              <w:rPr>
                <w:sz w:val="20"/>
                <w:szCs w:val="20"/>
                <w:color w:val="auto"/>
              </w:rPr>
            </w:pPr>
            <w:r>
              <w:rPr>
                <w:rFonts w:ascii="Arial" w:cs="Arial" w:eastAsia="Arial" w:hAnsi="Arial"/>
                <w:sz w:val="14"/>
                <w:szCs w:val="14"/>
                <w:b w:val="1"/>
                <w:bCs w:val="1"/>
                <w:color w:val="auto"/>
              </w:rPr>
              <w:t>That Have Not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1300" w:type="dxa"/>
            <w:vAlign w:val="bottom"/>
          </w:tcPr>
          <w:p>
            <w:pPr>
              <w:jc w:val="center"/>
              <w:ind w:left="233"/>
              <w:spacing w:after="0"/>
              <w:rPr>
                <w:sz w:val="20"/>
                <w:szCs w:val="20"/>
                <w:color w:val="auto"/>
              </w:rPr>
            </w:pPr>
            <w:r>
              <w:rPr>
                <w:rFonts w:ascii="Arial" w:cs="Arial" w:eastAsia="Arial" w:hAnsi="Arial"/>
                <w:sz w:val="14"/>
                <w:szCs w:val="14"/>
                <w:b w:val="1"/>
                <w:bCs w:val="1"/>
                <w:color w:val="auto"/>
              </w:rPr>
              <w:t>Unexercisable</w:t>
            </w:r>
          </w:p>
        </w:tc>
        <w:tc>
          <w:tcPr>
            <w:tcW w:w="3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Price ($)</w:t>
            </w:r>
          </w:p>
        </w:tc>
        <w:tc>
          <w:tcPr>
            <w:tcW w:w="1000" w:type="dxa"/>
            <w:vAlign w:val="bottom"/>
          </w:tcPr>
          <w:p>
            <w:pPr>
              <w:ind w:left="420"/>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Vested (#)</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32"/>
              <w:spacing w:after="0"/>
              <w:rPr>
                <w:sz w:val="20"/>
                <w:szCs w:val="20"/>
                <w:color w:val="auto"/>
              </w:rPr>
            </w:pPr>
            <w:r>
              <w:rPr>
                <w:rFonts w:ascii="Arial" w:cs="Arial" w:eastAsia="Arial" w:hAnsi="Arial"/>
                <w:sz w:val="14"/>
                <w:szCs w:val="14"/>
                <w:b w:val="1"/>
                <w:bCs w:val="1"/>
                <w:color w:val="auto"/>
              </w:rPr>
              <w:t>($) (1)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w:t>
            </w: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14"/>
              <w:spacing w:after="0" w:line="195"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333,615</w:t>
            </w:r>
          </w:p>
        </w:tc>
        <w:tc>
          <w:tcPr>
            <w:tcW w:w="340" w:type="dxa"/>
            <w:vAlign w:val="bottom"/>
            <w:tcBorders>
              <w:top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90"/>
              </w:rPr>
              <w:t>(2)</w:t>
            </w:r>
          </w:p>
        </w:tc>
        <w:tc>
          <w:tcPr>
            <w:tcW w:w="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$ 79.26</w:t>
            </w:r>
          </w:p>
        </w:tc>
        <w:tc>
          <w:tcPr>
            <w:tcW w:w="1000" w:type="dxa"/>
            <w:vAlign w:val="bottom"/>
            <w:tcBorders>
              <w:top w:val="single" w:sz="8" w:color="auto"/>
            </w:tcBorders>
            <w:shd w:val="clear" w:color="auto" w:fill="CCEEFF"/>
          </w:tcPr>
          <w:p>
            <w:pPr>
              <w:ind w:left="200"/>
              <w:spacing w:after="0" w:line="195" w:lineRule="exact"/>
              <w:rPr>
                <w:sz w:val="20"/>
                <w:szCs w:val="20"/>
                <w:color w:val="auto"/>
              </w:rPr>
            </w:pPr>
            <w:r>
              <w:rPr>
                <w:rFonts w:ascii="Arial" w:cs="Arial" w:eastAsia="Arial" w:hAnsi="Arial"/>
                <w:sz w:val="18"/>
                <w:szCs w:val="18"/>
                <w:color w:val="auto"/>
                <w:w w:val="97"/>
              </w:rPr>
              <w:t>1/26/2027</w:t>
            </w:r>
          </w:p>
        </w:tc>
        <w:tc>
          <w:tcPr>
            <w:tcW w:w="1300" w:type="dxa"/>
            <w:vAlign w:val="bottom"/>
            <w:tcBorders>
              <w:top w:val="single" w:sz="8" w:color="auto"/>
            </w:tcBorders>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69,392</w:t>
            </w:r>
          </w:p>
        </w:tc>
        <w:tc>
          <w:tcPr>
            <w:tcW w:w="340" w:type="dxa"/>
            <w:vAlign w:val="bottom"/>
            <w:tcBorders>
              <w:top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90"/>
              </w:rPr>
              <w:t>(6)</w:t>
            </w:r>
          </w:p>
        </w:tc>
        <w:tc>
          <w:tcPr>
            <w:tcW w:w="2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7,247,300</w:t>
            </w:r>
          </w:p>
        </w:tc>
        <w:tc>
          <w:tcPr>
            <w:tcW w:w="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122,389</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367,168</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(3)</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$ 52.93</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7"/>
              </w:rPr>
              <w:t>1/29/2026</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92,576</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9,668,637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258,220</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258,220</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(4)</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$ 53.94</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7"/>
              </w:rPr>
              <w:t>1/28/2025</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90,842</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9,487,538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452,019</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150,673</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(5)</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$ 44.09</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7"/>
              </w:rPr>
              <w:t>1/23/2024</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111,137</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(9)</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$ 11,607,148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525,000</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$ 32.80</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7"/>
              </w:rPr>
              <w:t>1/25/2023</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475,000</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$ 32.36</w:t>
            </w:r>
          </w:p>
        </w:tc>
        <w:tc>
          <w:tcPr>
            <w:tcW w:w="10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w w:val="97"/>
              </w:rPr>
              <w:t>1/26/2022</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460" w:type="dxa"/>
            <w:vAlign w:val="bottom"/>
            <w:gridSpan w:val="2"/>
          </w:tcPr>
          <w:p>
            <w:pPr>
              <w:spacing w:after="0"/>
              <w:rPr>
                <w:sz w:val="20"/>
                <w:szCs w:val="20"/>
                <w:color w:val="auto"/>
              </w:rPr>
            </w:pPr>
            <w:r>
              <w:rPr>
                <w:rFonts w:ascii="Arial" w:cs="Arial" w:eastAsia="Arial" w:hAnsi="Arial"/>
                <w:sz w:val="18"/>
                <w:szCs w:val="18"/>
                <w:color w:val="auto"/>
              </w:rPr>
              <w:t>R. R. Lizardi</w:t>
            </w:r>
          </w:p>
        </w:tc>
        <w:tc>
          <w:tcPr>
            <w:tcW w:w="28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60,658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920" w:type="dxa"/>
            <w:vAlign w:val="bottom"/>
          </w:tcPr>
          <w:p>
            <w:pPr>
              <w:jc w:val="center"/>
              <w:spacing w:after="0"/>
              <w:rPr>
                <w:sz w:val="20"/>
                <w:szCs w:val="20"/>
                <w:color w:val="auto"/>
              </w:rPr>
            </w:pPr>
            <w:r>
              <w:rPr>
                <w:rFonts w:ascii="Arial" w:cs="Arial" w:eastAsia="Arial" w:hAnsi="Arial"/>
                <w:sz w:val="18"/>
                <w:szCs w:val="18"/>
                <w:color w:val="auto"/>
              </w:rPr>
              <w:t>$ 79.26</w:t>
            </w:r>
          </w:p>
        </w:tc>
        <w:tc>
          <w:tcPr>
            <w:tcW w:w="1000" w:type="dxa"/>
            <w:vAlign w:val="bottom"/>
          </w:tcPr>
          <w:p>
            <w:pPr>
              <w:ind w:left="200"/>
              <w:spacing w:after="0"/>
              <w:rPr>
                <w:sz w:val="20"/>
                <w:szCs w:val="20"/>
                <w:color w:val="auto"/>
              </w:rPr>
            </w:pPr>
            <w:r>
              <w:rPr>
                <w:rFonts w:ascii="Arial" w:cs="Arial" w:eastAsia="Arial" w:hAnsi="Arial"/>
                <w:sz w:val="18"/>
                <w:szCs w:val="18"/>
                <w:color w:val="auto"/>
                <w:w w:val="97"/>
              </w:rPr>
              <w:t>1/26/2027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25,234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2,635,439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14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7,493</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22,480</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(3)</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$ 52.93</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7"/>
              </w:rPr>
              <w:t>1/29/2026</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5,668</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591,966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14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11,857</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11,858</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(4)</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$ 53.94</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7"/>
              </w:rPr>
              <w:t>1/28/2025</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4,172</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435,724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20,756</w:t>
            </w:r>
          </w:p>
        </w:tc>
        <w:tc>
          <w:tcPr>
            <w:tcW w:w="1300" w:type="dxa"/>
            <w:vAlign w:val="bottom"/>
          </w:tcPr>
          <w:p>
            <w:pPr>
              <w:jc w:val="right"/>
              <w:spacing w:after="0"/>
              <w:rPr>
                <w:sz w:val="20"/>
                <w:szCs w:val="20"/>
                <w:color w:val="auto"/>
              </w:rPr>
            </w:pPr>
            <w:r>
              <w:rPr>
                <w:rFonts w:ascii="Arial" w:cs="Arial" w:eastAsia="Arial" w:hAnsi="Arial"/>
                <w:sz w:val="18"/>
                <w:szCs w:val="18"/>
                <w:color w:val="auto"/>
              </w:rPr>
              <w:t>6,919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(5)</w:t>
            </w:r>
          </w:p>
        </w:tc>
        <w:tc>
          <w:tcPr>
            <w:tcW w:w="920" w:type="dxa"/>
            <w:vAlign w:val="bottom"/>
          </w:tcPr>
          <w:p>
            <w:pPr>
              <w:jc w:val="center"/>
              <w:spacing w:after="0"/>
              <w:rPr>
                <w:sz w:val="20"/>
                <w:szCs w:val="20"/>
                <w:color w:val="auto"/>
              </w:rPr>
            </w:pPr>
            <w:r>
              <w:rPr>
                <w:rFonts w:ascii="Arial" w:cs="Arial" w:eastAsia="Arial" w:hAnsi="Arial"/>
                <w:sz w:val="18"/>
                <w:szCs w:val="18"/>
                <w:color w:val="auto"/>
              </w:rPr>
              <w:t>$ 44.09</w:t>
            </w:r>
          </w:p>
        </w:tc>
        <w:tc>
          <w:tcPr>
            <w:tcW w:w="1000" w:type="dxa"/>
            <w:vAlign w:val="bottom"/>
          </w:tcPr>
          <w:p>
            <w:pPr>
              <w:ind w:left="200"/>
              <w:spacing w:after="0"/>
              <w:rPr>
                <w:sz w:val="20"/>
                <w:szCs w:val="20"/>
                <w:color w:val="auto"/>
              </w:rPr>
            </w:pPr>
            <w:r>
              <w:rPr>
                <w:rFonts w:ascii="Arial" w:cs="Arial" w:eastAsia="Arial" w:hAnsi="Arial"/>
                <w:sz w:val="18"/>
                <w:szCs w:val="18"/>
                <w:color w:val="auto"/>
                <w:w w:val="97"/>
              </w:rPr>
              <w:t>1/23/2024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5,104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533,062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 P. March</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81,888</w:t>
            </w:r>
          </w:p>
        </w:tc>
        <w:tc>
          <w:tcPr>
            <w:tcW w:w="34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0"/>
              </w:rPr>
              <w:t>(2)</w:t>
            </w: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$ 79.26</w:t>
            </w:r>
          </w:p>
        </w:tc>
        <w:tc>
          <w:tcPr>
            <w:tcW w:w="1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1/26/2027</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17,033</w:t>
            </w:r>
          </w:p>
        </w:tc>
        <w:tc>
          <w:tcPr>
            <w:tcW w:w="34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0"/>
              </w:rPr>
              <w:t>(6)</w:t>
            </w:r>
          </w:p>
        </w:tc>
        <w:tc>
          <w:tcPr>
            <w:tcW w:w="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1,778,927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33,719</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101,159</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(3)</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$ 52.93</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7"/>
              </w:rPr>
              <w:t>1/29/2026</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25,506</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2,663,847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71,142</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71,143</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(4)</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$ 53.94</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7"/>
              </w:rPr>
              <w:t>1/28/2025</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25,028</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2,613,924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124,536</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41,512</w:t>
            </w:r>
          </w:p>
        </w:tc>
        <w:tc>
          <w:tcPr>
            <w:tcW w:w="34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90"/>
              </w:rPr>
              <w:t>(5)</w:t>
            </w:r>
          </w:p>
        </w:tc>
        <w:tc>
          <w:tcPr>
            <w:tcW w:w="9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$ 44.09</w:t>
            </w:r>
          </w:p>
        </w:tc>
        <w:tc>
          <w:tcPr>
            <w:tcW w:w="10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w w:val="97"/>
              </w:rPr>
              <w:t>1/23/2024</w:t>
            </w:r>
          </w:p>
        </w:tc>
        <w:tc>
          <w:tcPr>
            <w:tcW w:w="13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30,620</w:t>
            </w:r>
          </w:p>
        </w:tc>
        <w:tc>
          <w:tcPr>
            <w:tcW w:w="34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90"/>
              </w:rPr>
              <w:t>(9)</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3,197,953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460" w:type="dxa"/>
            <w:vAlign w:val="bottom"/>
            <w:gridSpan w:val="2"/>
          </w:tcPr>
          <w:p>
            <w:pPr>
              <w:spacing w:after="0"/>
              <w:rPr>
                <w:sz w:val="20"/>
                <w:szCs w:val="20"/>
                <w:color w:val="auto"/>
              </w:rPr>
            </w:pPr>
            <w:r>
              <w:rPr>
                <w:rFonts w:ascii="Arial" w:cs="Arial" w:eastAsia="Arial" w:hAnsi="Arial"/>
                <w:sz w:val="18"/>
                <w:szCs w:val="18"/>
                <w:color w:val="auto"/>
              </w:rPr>
              <w:t>B. T. Crutcher</w:t>
            </w:r>
          </w:p>
        </w:tc>
        <w:tc>
          <w:tcPr>
            <w:tcW w:w="28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227,465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920" w:type="dxa"/>
            <w:vAlign w:val="bottom"/>
          </w:tcPr>
          <w:p>
            <w:pPr>
              <w:jc w:val="center"/>
              <w:spacing w:after="0"/>
              <w:rPr>
                <w:sz w:val="20"/>
                <w:szCs w:val="20"/>
                <w:color w:val="auto"/>
              </w:rPr>
            </w:pPr>
            <w:r>
              <w:rPr>
                <w:rFonts w:ascii="Arial" w:cs="Arial" w:eastAsia="Arial" w:hAnsi="Arial"/>
                <w:sz w:val="18"/>
                <w:szCs w:val="18"/>
                <w:color w:val="auto"/>
              </w:rPr>
              <w:t>$ 79.26</w:t>
            </w:r>
          </w:p>
        </w:tc>
        <w:tc>
          <w:tcPr>
            <w:tcW w:w="1000" w:type="dxa"/>
            <w:vAlign w:val="bottom"/>
          </w:tcPr>
          <w:p>
            <w:pPr>
              <w:ind w:left="200"/>
              <w:spacing w:after="0"/>
              <w:rPr>
                <w:sz w:val="20"/>
                <w:szCs w:val="20"/>
                <w:color w:val="auto"/>
              </w:rPr>
            </w:pPr>
            <w:r>
              <w:rPr>
                <w:rFonts w:ascii="Arial" w:cs="Arial" w:eastAsia="Arial" w:hAnsi="Arial"/>
                <w:sz w:val="18"/>
                <w:szCs w:val="18"/>
                <w:color w:val="auto"/>
                <w:w w:val="97"/>
              </w:rPr>
              <w:t>1/26/2027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47,313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4,941,370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206,064</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(3)</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$ 52.93</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7"/>
              </w:rPr>
              <w:t>1/29/2026</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51,956</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5,426,285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144,920</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(4)</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$ 53.94</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7"/>
              </w:rPr>
              <w:t>1/28/2025</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50,983</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5,324,665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69,187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(5)</w:t>
            </w:r>
          </w:p>
        </w:tc>
        <w:tc>
          <w:tcPr>
            <w:tcW w:w="920" w:type="dxa"/>
            <w:vAlign w:val="bottom"/>
          </w:tcPr>
          <w:p>
            <w:pPr>
              <w:jc w:val="center"/>
              <w:spacing w:after="0"/>
              <w:rPr>
                <w:sz w:val="20"/>
                <w:szCs w:val="20"/>
                <w:color w:val="auto"/>
              </w:rPr>
            </w:pPr>
            <w:r>
              <w:rPr>
                <w:rFonts w:ascii="Arial" w:cs="Arial" w:eastAsia="Arial" w:hAnsi="Arial"/>
                <w:sz w:val="18"/>
                <w:szCs w:val="18"/>
                <w:color w:val="auto"/>
              </w:rPr>
              <w:t>$ 44.09</w:t>
            </w:r>
          </w:p>
        </w:tc>
        <w:tc>
          <w:tcPr>
            <w:tcW w:w="1000" w:type="dxa"/>
            <w:vAlign w:val="bottom"/>
          </w:tcPr>
          <w:p>
            <w:pPr>
              <w:ind w:left="200"/>
              <w:spacing w:after="0"/>
              <w:rPr>
                <w:sz w:val="20"/>
                <w:szCs w:val="20"/>
                <w:color w:val="auto"/>
              </w:rPr>
            </w:pPr>
            <w:r>
              <w:rPr>
                <w:rFonts w:ascii="Arial" w:cs="Arial" w:eastAsia="Arial" w:hAnsi="Arial"/>
                <w:sz w:val="18"/>
                <w:szCs w:val="18"/>
                <w:color w:val="auto"/>
                <w:w w:val="97"/>
              </w:rPr>
              <w:t>1/23/2024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51,032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5,329,782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 J. Ritchie</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121,315</w:t>
            </w:r>
          </w:p>
        </w:tc>
        <w:tc>
          <w:tcPr>
            <w:tcW w:w="34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0"/>
              </w:rPr>
              <w:t>(2)</w:t>
            </w: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$ 79.26</w:t>
            </w:r>
          </w:p>
        </w:tc>
        <w:tc>
          <w:tcPr>
            <w:tcW w:w="1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1/26/2027</w:t>
            </w:r>
          </w:p>
        </w:tc>
        <w:tc>
          <w:tcPr>
            <w:tcW w:w="13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25,234</w:t>
            </w:r>
          </w:p>
        </w:tc>
        <w:tc>
          <w:tcPr>
            <w:tcW w:w="34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0"/>
              </w:rPr>
              <w:t>(6)</w:t>
            </w:r>
          </w:p>
        </w:tc>
        <w:tc>
          <w:tcPr>
            <w:tcW w:w="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2,635,439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149,865</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(3)</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$ 52.93</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7"/>
              </w:rPr>
              <w:t>1/29/2026</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37,786</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3,946,370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105,396</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(4)</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$ 53.94</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7"/>
              </w:rPr>
              <w:t>1/28/2025</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37,079</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3,872,531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61,500</w:t>
            </w:r>
          </w:p>
        </w:tc>
        <w:tc>
          <w:tcPr>
            <w:tcW w:w="34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90"/>
              </w:rPr>
              <w:t>(5)</w:t>
            </w:r>
          </w:p>
        </w:tc>
        <w:tc>
          <w:tcPr>
            <w:tcW w:w="9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$ 44.09</w:t>
            </w:r>
          </w:p>
        </w:tc>
        <w:tc>
          <w:tcPr>
            <w:tcW w:w="10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w w:val="97"/>
              </w:rPr>
              <w:t>1/23/2024</w:t>
            </w:r>
          </w:p>
        </w:tc>
        <w:tc>
          <w:tcPr>
            <w:tcW w:w="13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45,362</w:t>
            </w:r>
          </w:p>
        </w:tc>
        <w:tc>
          <w:tcPr>
            <w:tcW w:w="34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90"/>
              </w:rPr>
              <w:t>(9)</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4,737,607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460" w:type="dxa"/>
            <w:vAlign w:val="bottom"/>
            <w:gridSpan w:val="2"/>
          </w:tcPr>
          <w:p>
            <w:pPr>
              <w:spacing w:after="0"/>
              <w:rPr>
                <w:sz w:val="20"/>
                <w:szCs w:val="20"/>
                <w:color w:val="auto"/>
              </w:rPr>
            </w:pPr>
            <w:r>
              <w:rPr>
                <w:rFonts w:ascii="Arial" w:cs="Arial" w:eastAsia="Arial" w:hAnsi="Arial"/>
                <w:sz w:val="18"/>
                <w:szCs w:val="18"/>
                <w:color w:val="auto"/>
              </w:rPr>
              <w:t>R. G. Delagi</w:t>
            </w:r>
          </w:p>
        </w:tc>
        <w:tc>
          <w:tcPr>
            <w:tcW w:w="28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109,184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920" w:type="dxa"/>
            <w:vAlign w:val="bottom"/>
          </w:tcPr>
          <w:p>
            <w:pPr>
              <w:jc w:val="center"/>
              <w:spacing w:after="0"/>
              <w:rPr>
                <w:sz w:val="20"/>
                <w:szCs w:val="20"/>
                <w:color w:val="auto"/>
              </w:rPr>
            </w:pPr>
            <w:r>
              <w:rPr>
                <w:rFonts w:ascii="Arial" w:cs="Arial" w:eastAsia="Arial" w:hAnsi="Arial"/>
                <w:sz w:val="18"/>
                <w:szCs w:val="18"/>
                <w:color w:val="auto"/>
              </w:rPr>
              <w:t>$ 79.26</w:t>
            </w:r>
          </w:p>
        </w:tc>
        <w:tc>
          <w:tcPr>
            <w:tcW w:w="1000" w:type="dxa"/>
            <w:vAlign w:val="bottom"/>
          </w:tcPr>
          <w:p>
            <w:pPr>
              <w:ind w:left="200"/>
              <w:spacing w:after="0"/>
              <w:rPr>
                <w:sz w:val="20"/>
                <w:szCs w:val="20"/>
                <w:color w:val="auto"/>
              </w:rPr>
            </w:pPr>
            <w:r>
              <w:rPr>
                <w:rFonts w:ascii="Arial" w:cs="Arial" w:eastAsia="Arial" w:hAnsi="Arial"/>
                <w:sz w:val="18"/>
                <w:szCs w:val="18"/>
                <w:color w:val="auto"/>
                <w:w w:val="97"/>
              </w:rPr>
              <w:t>1/26/2027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22,711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2,371,937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14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44,959</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134,879</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(3)</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$ 52.93</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7"/>
              </w:rPr>
              <w:t>1/29/2026</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34,008</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3,551,796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14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94,856</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94,857</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(4)</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$ 53.94</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7"/>
              </w:rPr>
              <w:t>1/28/2025</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33,371</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3,485,267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14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166,047</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55,350</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(5)</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$ 44.09</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7"/>
              </w:rPr>
              <w:t>1/23/2024</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40,826</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4,263,867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14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200,000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$ 32.80</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7"/>
              </w:rPr>
              <w:t>1/25/2023</w:t>
            </w: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14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175,000</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$ 32.36</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7"/>
              </w:rPr>
              <w:t>1/26/2022</w:t>
            </w: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162,500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$ 34.63</w:t>
            </w:r>
          </w:p>
        </w:tc>
        <w:tc>
          <w:tcPr>
            <w:tcW w:w="1000" w:type="dxa"/>
            <w:vAlign w:val="bottom"/>
          </w:tcPr>
          <w:p>
            <w:pPr>
              <w:ind w:left="200"/>
              <w:spacing w:after="0"/>
              <w:rPr>
                <w:sz w:val="20"/>
                <w:szCs w:val="20"/>
                <w:color w:val="auto"/>
              </w:rPr>
            </w:pPr>
            <w:r>
              <w:rPr>
                <w:rFonts w:ascii="Arial" w:cs="Arial" w:eastAsia="Arial" w:hAnsi="Arial"/>
                <w:sz w:val="18"/>
                <w:szCs w:val="18"/>
                <w:color w:val="auto"/>
                <w:w w:val="97"/>
              </w:rPr>
              <w:t>1/27/2021</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43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Calculated by multiplying the number of RSUs by the closing price of TI common stock on December 29, 2017 ($104.44).</w:t>
      </w:r>
    </w:p>
    <w:p>
      <w:pPr>
        <w:spacing w:after="0" w:line="117" w:lineRule="exact"/>
        <w:rPr>
          <w:rFonts w:ascii="Arial" w:cs="Arial" w:eastAsia="Arial" w:hAnsi="Arial"/>
          <w:sz w:val="18"/>
          <w:szCs w:val="18"/>
          <w:color w:val="auto"/>
        </w:rPr>
      </w:pPr>
    </w:p>
    <w:p>
      <w:pPr>
        <w:ind w:left="640" w:right="200" w:hanging="436"/>
        <w:spacing w:after="0" w:line="246"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One-quarter of the shares became exercisable on January 26, 2018, and one-third of the remaining shares become exercisable on each of January 26, 2019, January 26, 2020, and January 26, 2021.</w:t>
      </w:r>
    </w:p>
    <w:p>
      <w:pPr>
        <w:spacing w:after="0" w:line="102" w:lineRule="exact"/>
        <w:rPr>
          <w:rFonts w:ascii="Arial" w:cs="Arial" w:eastAsia="Arial" w:hAnsi="Arial"/>
          <w:sz w:val="18"/>
          <w:szCs w:val="18"/>
          <w:color w:val="auto"/>
        </w:rPr>
      </w:pPr>
    </w:p>
    <w:p>
      <w:pPr>
        <w:ind w:left="640" w:right="40" w:hanging="436"/>
        <w:spacing w:after="0" w:line="246"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One-third of the shares became exercisable on January 29, 2018, and one-half of the remaining shares become exercisable on each of January 29, 2019, and January 29, 2020.</w:t>
      </w:r>
    </w:p>
    <w:p>
      <w:pPr>
        <w:spacing w:after="0" w:line="102" w:lineRule="exact"/>
        <w:rPr>
          <w:rFonts w:ascii="Arial" w:cs="Arial" w:eastAsia="Arial" w:hAnsi="Arial"/>
          <w:sz w:val="18"/>
          <w:szCs w:val="18"/>
          <w:color w:val="auto"/>
        </w:rPr>
      </w:pPr>
    </w:p>
    <w:p>
      <w:pPr>
        <w:ind w:left="640" w:right="340" w:hanging="436"/>
        <w:spacing w:after="0" w:line="246"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One-half of the shares became exercisable on January 28, 2018, and the remaining one-half become exercisable on January 28, 2019.</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Became fully exercisable on January 23, 2018.</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Vesting date is February 1, 2021.</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Vesting date is January 31, 2020.</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Vesting date is January 31, 2019.</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Vested on January 31, 2018.</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33</w:t>
            </w:r>
          </w:p>
        </w:tc>
      </w:tr>
    </w:tbl>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10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stock options outstanding as of December 31, 2017. The Compensation Committee of the board of directors established these termination provisions to promote employee retention while offering competitive terms.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Employment</w:t>
            </w:r>
          </w:p>
        </w:tc>
        <w:tc>
          <w:tcPr>
            <w:tcW w:w="4280" w:type="dxa"/>
            <w:vAlign w:val="bottom"/>
          </w:tcPr>
          <w:p>
            <w:pPr>
              <w:jc w:val="center"/>
              <w:ind w:right="181"/>
              <w:spacing w:after="0"/>
              <w:rPr>
                <w:sz w:val="20"/>
                <w:szCs w:val="20"/>
                <w:color w:val="auto"/>
              </w:rPr>
            </w:pPr>
            <w:r>
              <w:rPr>
                <w:rFonts w:ascii="Arial" w:cs="Arial" w:eastAsia="Arial" w:hAnsi="Arial"/>
                <w:sz w:val="14"/>
                <w:szCs w:val="14"/>
                <w:b w:val="1"/>
                <w:bCs w:val="1"/>
                <w:color w:val="auto"/>
              </w:rPr>
              <w:t>Employment Termination</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160" w:type="dxa"/>
            <w:vAlign w:val="bottom"/>
          </w:tcPr>
          <w:p>
            <w:pPr>
              <w:jc w:val="center"/>
              <w:ind w:right="24"/>
              <w:spacing w:after="0"/>
              <w:rPr>
                <w:sz w:val="20"/>
                <w:szCs w:val="20"/>
                <w:color w:val="auto"/>
              </w:rPr>
            </w:pPr>
            <w:r>
              <w:rPr>
                <w:rFonts w:ascii="Arial" w:cs="Arial" w:eastAsia="Arial" w:hAnsi="Arial"/>
                <w:sz w:val="14"/>
                <w:szCs w:val="14"/>
                <w:b w:val="1"/>
                <w:bCs w:val="1"/>
                <w:color w:val="auto"/>
              </w:rPr>
              <w:t>Employment</w:t>
            </w:r>
          </w:p>
        </w:tc>
        <w:tc>
          <w:tcPr>
            <w:tcW w:w="1700" w:type="dxa"/>
            <w:vAlign w:val="bottom"/>
          </w:tcPr>
          <w:p>
            <w:pPr>
              <w:ind w:left="140"/>
              <w:spacing w:after="0"/>
              <w:rPr>
                <w:sz w:val="20"/>
                <w:szCs w:val="20"/>
                <w:color w:val="auto"/>
              </w:rPr>
            </w:pPr>
            <w:r>
              <w:rPr>
                <w:rFonts w:ascii="Arial" w:cs="Arial" w:eastAsia="Arial" w:hAnsi="Arial"/>
                <w:sz w:val="14"/>
                <w:szCs w:val="14"/>
                <w:b w:val="1"/>
                <w:bCs w:val="1"/>
                <w:color w:val="auto"/>
              </w:rPr>
              <w:t>Termination (at Least</w:t>
            </w:r>
          </w:p>
        </w:tc>
        <w:tc>
          <w:tcPr>
            <w:tcW w:w="4280" w:type="dxa"/>
            <w:vAlign w:val="bottom"/>
          </w:tcPr>
          <w:p>
            <w:pPr>
              <w:jc w:val="center"/>
              <w:ind w:right="181"/>
              <w:spacing w:after="0"/>
              <w:rPr>
                <w:sz w:val="20"/>
                <w:szCs w:val="20"/>
                <w:color w:val="auto"/>
              </w:rPr>
            </w:pPr>
            <w:r>
              <w:rPr>
                <w:rFonts w:ascii="Arial" w:cs="Arial" w:eastAsia="Arial" w:hAnsi="Arial"/>
                <w:sz w:val="14"/>
                <w:szCs w:val="14"/>
                <w:b w:val="1"/>
                <w:bCs w:val="1"/>
                <w:color w:val="auto"/>
              </w:rPr>
              <w:t>(at Least 6 Months after Grant)</w:t>
            </w:r>
          </w:p>
        </w:tc>
        <w:tc>
          <w:tcPr>
            <w:tcW w:w="1520" w:type="dxa"/>
            <w:vAlign w:val="bottom"/>
          </w:tcPr>
          <w:p>
            <w:pPr>
              <w:spacing w:after="0"/>
              <w:rPr>
                <w:sz w:val="14"/>
                <w:szCs w:val="14"/>
                <w:color w:val="auto"/>
              </w:rPr>
            </w:pPr>
          </w:p>
        </w:tc>
        <w:tc>
          <w:tcPr>
            <w:tcW w:w="1360" w:type="dxa"/>
            <w:vAlign w:val="bottom"/>
          </w:tcPr>
          <w:p>
            <w:pPr>
              <w:jc w:val="center"/>
              <w:ind w:left="20"/>
              <w:spacing w:after="0"/>
              <w:rPr>
                <w:sz w:val="20"/>
                <w:szCs w:val="20"/>
                <w:color w:val="auto"/>
              </w:rPr>
            </w:pPr>
            <w:r>
              <w:rPr>
                <w:rFonts w:ascii="Arial" w:cs="Arial" w:eastAsia="Arial" w:hAnsi="Arial"/>
                <w:sz w:val="14"/>
                <w:szCs w:val="14"/>
                <w:b w:val="1"/>
                <w:bCs w:val="1"/>
                <w:color w:val="auto"/>
              </w:rPr>
              <w:t>Other</w:t>
            </w:r>
          </w:p>
        </w:tc>
      </w:tr>
      <w:tr>
        <w:trPr>
          <w:trHeight w:val="162"/>
        </w:trPr>
        <w:tc>
          <w:tcPr>
            <w:tcW w:w="20" w:type="dxa"/>
            <w:vAlign w:val="bottom"/>
          </w:tcPr>
          <w:p>
            <w:pPr>
              <w:spacing w:after="0"/>
              <w:rPr>
                <w:sz w:val="14"/>
                <w:szCs w:val="14"/>
                <w:color w:val="auto"/>
              </w:rPr>
            </w:pPr>
          </w:p>
        </w:tc>
        <w:tc>
          <w:tcPr>
            <w:tcW w:w="2160" w:type="dxa"/>
            <w:vAlign w:val="bottom"/>
          </w:tcPr>
          <w:p>
            <w:pPr>
              <w:jc w:val="center"/>
              <w:ind w:right="24"/>
              <w:spacing w:after="0"/>
              <w:rPr>
                <w:sz w:val="20"/>
                <w:szCs w:val="20"/>
                <w:color w:val="auto"/>
              </w:rPr>
            </w:pPr>
            <w:r>
              <w:rPr>
                <w:rFonts w:ascii="Arial" w:cs="Arial" w:eastAsia="Arial" w:hAnsi="Arial"/>
                <w:sz w:val="14"/>
                <w:szCs w:val="14"/>
                <w:b w:val="1"/>
                <w:bCs w:val="1"/>
                <w:color w:val="auto"/>
              </w:rPr>
              <w:t>Termination Due to</w:t>
            </w:r>
          </w:p>
        </w:tc>
        <w:tc>
          <w:tcPr>
            <w:tcW w:w="1700" w:type="dxa"/>
            <w:vAlign w:val="bottom"/>
          </w:tcPr>
          <w:p>
            <w:pPr>
              <w:ind w:left="120"/>
              <w:spacing w:after="0"/>
              <w:rPr>
                <w:sz w:val="20"/>
                <w:szCs w:val="20"/>
                <w:color w:val="auto"/>
              </w:rPr>
            </w:pPr>
            <w:r>
              <w:rPr>
                <w:rFonts w:ascii="Arial" w:cs="Arial" w:eastAsia="Arial" w:hAnsi="Arial"/>
                <w:sz w:val="14"/>
                <w:szCs w:val="14"/>
                <w:b w:val="1"/>
                <w:bCs w:val="1"/>
                <w:color w:val="auto"/>
              </w:rPr>
              <w:t>6 Months after Grant)</w:t>
            </w:r>
          </w:p>
        </w:tc>
        <w:tc>
          <w:tcPr>
            <w:tcW w:w="4280" w:type="dxa"/>
            <w:vAlign w:val="bottom"/>
          </w:tcPr>
          <w:p>
            <w:pPr>
              <w:jc w:val="center"/>
              <w:ind w:right="181"/>
              <w:spacing w:after="0"/>
              <w:rPr>
                <w:sz w:val="20"/>
                <w:szCs w:val="20"/>
                <w:color w:val="auto"/>
              </w:rPr>
            </w:pPr>
            <w:r>
              <w:rPr>
                <w:rFonts w:ascii="Arial" w:cs="Arial" w:eastAsia="Arial" w:hAnsi="Arial"/>
                <w:sz w:val="14"/>
                <w:szCs w:val="14"/>
                <w:b w:val="1"/>
                <w:bCs w:val="1"/>
                <w:color w:val="auto"/>
              </w:rPr>
              <w:t>with 20 Years of Credited</w:t>
            </w:r>
          </w:p>
        </w:tc>
        <w:tc>
          <w:tcPr>
            <w:tcW w:w="1520" w:type="dxa"/>
            <w:vAlign w:val="bottom"/>
          </w:tcPr>
          <w:p>
            <w:pPr>
              <w:jc w:val="center"/>
              <w:ind w:left="44"/>
              <w:spacing w:after="0"/>
              <w:rPr>
                <w:sz w:val="20"/>
                <w:szCs w:val="20"/>
                <w:color w:val="auto"/>
              </w:rPr>
            </w:pPr>
            <w:r>
              <w:rPr>
                <w:rFonts w:ascii="Arial" w:cs="Arial" w:eastAsia="Arial" w:hAnsi="Arial"/>
                <w:sz w:val="14"/>
                <w:szCs w:val="14"/>
                <w:b w:val="1"/>
                <w:bCs w:val="1"/>
                <w:color w:val="auto"/>
              </w:rPr>
              <w:t>Employment</w:t>
            </w:r>
          </w:p>
        </w:tc>
        <w:tc>
          <w:tcPr>
            <w:tcW w:w="1360" w:type="dxa"/>
            <w:vAlign w:val="bottom"/>
          </w:tcPr>
          <w:p>
            <w:pPr>
              <w:jc w:val="center"/>
              <w:ind w:left="20"/>
              <w:spacing w:after="0"/>
              <w:rPr>
                <w:sz w:val="20"/>
                <w:szCs w:val="20"/>
                <w:color w:val="auto"/>
              </w:rPr>
            </w:pPr>
            <w:r>
              <w:rPr>
                <w:rFonts w:ascii="Arial" w:cs="Arial" w:eastAsia="Arial" w:hAnsi="Arial"/>
                <w:sz w:val="14"/>
                <w:szCs w:val="14"/>
                <w:b w:val="1"/>
                <w:bCs w:val="1"/>
                <w:color w:val="auto"/>
              </w:rPr>
              <w:t>Circumstances</w:t>
            </w:r>
          </w:p>
        </w:tc>
      </w:tr>
      <w:tr>
        <w:trPr>
          <w:trHeight w:val="162"/>
        </w:trPr>
        <w:tc>
          <w:tcPr>
            <w:tcW w:w="20" w:type="dxa"/>
            <w:vAlign w:val="bottom"/>
          </w:tcPr>
          <w:p>
            <w:pPr>
              <w:spacing w:after="0"/>
              <w:rPr>
                <w:sz w:val="14"/>
                <w:szCs w:val="14"/>
                <w:color w:val="auto"/>
              </w:rPr>
            </w:pPr>
          </w:p>
        </w:tc>
        <w:tc>
          <w:tcPr>
            <w:tcW w:w="2160" w:type="dxa"/>
            <w:vAlign w:val="bottom"/>
          </w:tcPr>
          <w:p>
            <w:pPr>
              <w:jc w:val="center"/>
              <w:ind w:right="44"/>
              <w:spacing w:after="0"/>
              <w:rPr>
                <w:sz w:val="20"/>
                <w:szCs w:val="20"/>
                <w:color w:val="auto"/>
              </w:rPr>
            </w:pPr>
            <w:r>
              <w:rPr>
                <w:rFonts w:ascii="Arial" w:cs="Arial" w:eastAsia="Arial" w:hAnsi="Arial"/>
                <w:sz w:val="14"/>
                <w:szCs w:val="14"/>
                <w:b w:val="1"/>
                <w:bCs w:val="1"/>
                <w:color w:val="auto"/>
              </w:rPr>
              <w:t>Death or Permanent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When Retirement</w:t>
            </w:r>
          </w:p>
        </w:tc>
        <w:tc>
          <w:tcPr>
            <w:tcW w:w="4280" w:type="dxa"/>
            <w:vAlign w:val="bottom"/>
          </w:tcPr>
          <w:p>
            <w:pPr>
              <w:jc w:val="center"/>
              <w:ind w:right="181"/>
              <w:spacing w:after="0"/>
              <w:rPr>
                <w:sz w:val="20"/>
                <w:szCs w:val="20"/>
                <w:color w:val="auto"/>
              </w:rPr>
            </w:pPr>
            <w:r>
              <w:rPr>
                <w:rFonts w:ascii="Arial" w:cs="Arial" w:eastAsia="Arial" w:hAnsi="Arial"/>
                <w:sz w:val="14"/>
                <w:szCs w:val="14"/>
                <w:b w:val="1"/>
                <w:bCs w:val="1"/>
                <w:color w:val="auto"/>
              </w:rPr>
              <w:t>Service, but Not Retirement</w:t>
            </w:r>
          </w:p>
        </w:tc>
        <w:tc>
          <w:tcPr>
            <w:tcW w:w="1520" w:type="dxa"/>
            <w:vAlign w:val="bottom"/>
          </w:tcPr>
          <w:p>
            <w:pPr>
              <w:jc w:val="center"/>
              <w:ind w:left="44"/>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tcPr>
          <w:p>
            <w:pPr>
              <w:jc w:val="center"/>
              <w:ind w:left="20"/>
              <w:spacing w:after="0"/>
              <w:rPr>
                <w:sz w:val="20"/>
                <w:szCs w:val="20"/>
                <w:color w:val="auto"/>
              </w:rPr>
            </w:pPr>
            <w:r>
              <w:rPr>
                <w:rFonts w:ascii="Arial" w:cs="Arial" w:eastAsia="Arial" w:hAnsi="Arial"/>
                <w:sz w:val="14"/>
                <w:szCs w:val="14"/>
                <w:b w:val="1"/>
                <w:bCs w:val="1"/>
                <w:color w:val="auto"/>
              </w:rPr>
              <w:t>of Employment</w:t>
            </w:r>
          </w:p>
        </w:tc>
      </w:tr>
      <w:tr>
        <w:trPr>
          <w:trHeight w:val="189"/>
        </w:trPr>
        <w:tc>
          <w:tcPr>
            <w:tcW w:w="20" w:type="dxa"/>
            <w:vAlign w:val="bottom"/>
          </w:tcPr>
          <w:p>
            <w:pPr>
              <w:spacing w:after="0"/>
              <w:rPr>
                <w:sz w:val="16"/>
                <w:szCs w:val="16"/>
                <w:color w:val="auto"/>
              </w:rPr>
            </w:pPr>
          </w:p>
        </w:tc>
        <w:tc>
          <w:tcPr>
            <w:tcW w:w="21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Disability</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Eligible*</w:t>
            </w:r>
          </w:p>
        </w:tc>
        <w:tc>
          <w:tcPr>
            <w:tcW w:w="42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Eligible**</w:t>
            </w:r>
          </w:p>
        </w:tc>
        <w:tc>
          <w:tcPr>
            <w:tcW w:w="152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rPr>
              <w:t>for Cause</w:t>
            </w:r>
          </w:p>
        </w:tc>
        <w:tc>
          <w:tcPr>
            <w:tcW w:w="136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rPr>
              <w:t>Termination</w:t>
            </w:r>
          </w:p>
        </w:tc>
      </w:tr>
      <w:tr>
        <w:trPr>
          <w:trHeight w:val="195"/>
        </w:trPr>
        <w:tc>
          <w:tcPr>
            <w:tcW w:w="20" w:type="dxa"/>
            <w:vAlign w:val="bottom"/>
          </w:tcPr>
          <w:p>
            <w:pPr>
              <w:spacing w:after="0"/>
              <w:rPr>
                <w:sz w:val="16"/>
                <w:szCs w:val="16"/>
                <w:color w:val="auto"/>
              </w:rPr>
            </w:pPr>
          </w:p>
        </w:tc>
        <w:tc>
          <w:tcPr>
            <w:tcW w:w="2160" w:type="dxa"/>
            <w:vAlign w:val="bottom"/>
          </w:tcPr>
          <w:p>
            <w:pPr>
              <w:spacing w:after="0" w:line="195" w:lineRule="exact"/>
              <w:rPr>
                <w:sz w:val="20"/>
                <w:szCs w:val="20"/>
                <w:color w:val="auto"/>
              </w:rPr>
            </w:pPr>
            <w:r>
              <w:rPr>
                <w:rFonts w:ascii="Arial" w:cs="Arial" w:eastAsia="Arial" w:hAnsi="Arial"/>
                <w:sz w:val="18"/>
                <w:szCs w:val="18"/>
                <w:color w:val="auto"/>
              </w:rPr>
              <w:t>Vesting continues; option</w:t>
            </w:r>
          </w:p>
        </w:tc>
        <w:tc>
          <w:tcPr>
            <w:tcW w:w="1700" w:type="dxa"/>
            <w:vAlign w:val="bottom"/>
          </w:tcPr>
          <w:p>
            <w:pPr>
              <w:ind w:left="120"/>
              <w:spacing w:after="0" w:line="195" w:lineRule="exact"/>
              <w:rPr>
                <w:sz w:val="20"/>
                <w:szCs w:val="20"/>
                <w:color w:val="auto"/>
              </w:rPr>
            </w:pPr>
            <w:r>
              <w:rPr>
                <w:rFonts w:ascii="Arial" w:cs="Arial" w:eastAsia="Arial" w:hAnsi="Arial"/>
                <w:sz w:val="18"/>
                <w:szCs w:val="18"/>
                <w:color w:val="auto"/>
              </w:rPr>
              <w:t>Vesting continues;</w:t>
            </w:r>
          </w:p>
        </w:tc>
        <w:tc>
          <w:tcPr>
            <w:tcW w:w="4280" w:type="dxa"/>
            <w:vAlign w:val="bottom"/>
          </w:tcPr>
          <w:p>
            <w:pPr>
              <w:ind w:left="100"/>
              <w:spacing w:after="0" w:line="195" w:lineRule="exact"/>
              <w:rPr>
                <w:sz w:val="20"/>
                <w:szCs w:val="20"/>
                <w:color w:val="auto"/>
              </w:rPr>
            </w:pPr>
            <w:r>
              <w:rPr>
                <w:rFonts w:ascii="Arial" w:cs="Arial" w:eastAsia="Arial" w:hAnsi="Arial"/>
                <w:sz w:val="18"/>
                <w:szCs w:val="18"/>
                <w:color w:val="auto"/>
              </w:rPr>
              <w:t>Option remains in effect to end of</w:t>
            </w:r>
          </w:p>
        </w:tc>
        <w:tc>
          <w:tcPr>
            <w:tcW w:w="1520" w:type="dxa"/>
            <w:vAlign w:val="bottom"/>
          </w:tcPr>
          <w:p>
            <w:pPr>
              <w:jc w:val="center"/>
              <w:ind w:left="24"/>
              <w:spacing w:after="0" w:line="195" w:lineRule="exact"/>
              <w:rPr>
                <w:sz w:val="20"/>
                <w:szCs w:val="20"/>
                <w:color w:val="auto"/>
              </w:rPr>
            </w:pPr>
            <w:r>
              <w:rPr>
                <w:rFonts w:ascii="Arial" w:cs="Arial" w:eastAsia="Arial" w:hAnsi="Arial"/>
                <w:sz w:val="18"/>
                <w:szCs w:val="18"/>
                <w:color w:val="auto"/>
                <w:w w:val="99"/>
              </w:rPr>
              <w:t>Option cancels</w:t>
            </w:r>
          </w:p>
        </w:tc>
        <w:tc>
          <w:tcPr>
            <w:tcW w:w="1360" w:type="dxa"/>
            <w:vAlign w:val="bottom"/>
          </w:tcPr>
          <w:p>
            <w:pPr>
              <w:jc w:val="center"/>
              <w:ind w:left="20"/>
              <w:spacing w:after="0" w:line="195" w:lineRule="exact"/>
              <w:rPr>
                <w:sz w:val="20"/>
                <w:szCs w:val="20"/>
                <w:color w:val="auto"/>
              </w:rPr>
            </w:pPr>
            <w:r>
              <w:rPr>
                <w:rFonts w:ascii="Arial" w:cs="Arial" w:eastAsia="Arial" w:hAnsi="Arial"/>
                <w:sz w:val="18"/>
                <w:szCs w:val="18"/>
                <w:color w:val="auto"/>
                <w:w w:val="99"/>
              </w:rPr>
              <w:t>Option remains</w:t>
            </w:r>
          </w:p>
        </w:tc>
      </w:tr>
      <w:tr>
        <w:trPr>
          <w:trHeight w:val="203"/>
        </w:trPr>
        <w:tc>
          <w:tcPr>
            <w:tcW w:w="2180" w:type="dxa"/>
            <w:vAlign w:val="bottom"/>
            <w:gridSpan w:val="2"/>
          </w:tcPr>
          <w:p>
            <w:pPr>
              <w:jc w:val="center"/>
              <w:ind w:right="24"/>
              <w:spacing w:after="0" w:line="202" w:lineRule="exact"/>
              <w:rPr>
                <w:sz w:val="20"/>
                <w:szCs w:val="20"/>
                <w:color w:val="auto"/>
              </w:rPr>
            </w:pPr>
            <w:r>
              <w:rPr>
                <w:rFonts w:ascii="Arial" w:cs="Arial" w:eastAsia="Arial" w:hAnsi="Arial"/>
                <w:sz w:val="18"/>
                <w:szCs w:val="18"/>
                <w:color w:val="auto"/>
              </w:rPr>
              <w:t>remains in effect to end of</w:t>
            </w:r>
          </w:p>
        </w:tc>
        <w:tc>
          <w:tcPr>
            <w:tcW w:w="1700" w:type="dxa"/>
            <w:vAlign w:val="bottom"/>
          </w:tcPr>
          <w:p>
            <w:pPr>
              <w:ind w:left="120"/>
              <w:spacing w:after="0" w:line="202" w:lineRule="exact"/>
              <w:rPr>
                <w:sz w:val="20"/>
                <w:szCs w:val="20"/>
                <w:color w:val="auto"/>
              </w:rPr>
            </w:pPr>
            <w:r>
              <w:rPr>
                <w:rFonts w:ascii="Arial" w:cs="Arial" w:eastAsia="Arial" w:hAnsi="Arial"/>
                <w:sz w:val="18"/>
                <w:szCs w:val="18"/>
                <w:color w:val="auto"/>
              </w:rPr>
              <w:t>option remains</w:t>
            </w:r>
          </w:p>
        </w:tc>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term; vesting does not continue after employment</w:t>
            </w:r>
          </w:p>
        </w:tc>
        <w:tc>
          <w:tcPr>
            <w:tcW w:w="1520" w:type="dxa"/>
            <w:vAlign w:val="bottom"/>
          </w:tcPr>
          <w:p>
            <w:pPr>
              <w:spacing w:after="0"/>
              <w:rPr>
                <w:sz w:val="17"/>
                <w:szCs w:val="17"/>
                <w:color w:val="auto"/>
              </w:rPr>
            </w:pPr>
          </w:p>
        </w:tc>
        <w:tc>
          <w:tcPr>
            <w:tcW w:w="1360" w:type="dxa"/>
            <w:vAlign w:val="bottom"/>
          </w:tcPr>
          <w:p>
            <w:pPr>
              <w:ind w:left="120"/>
              <w:spacing w:after="0" w:line="202" w:lineRule="exact"/>
              <w:rPr>
                <w:sz w:val="20"/>
                <w:szCs w:val="20"/>
                <w:color w:val="auto"/>
              </w:rPr>
            </w:pPr>
            <w:r>
              <w:rPr>
                <w:rFonts w:ascii="Arial" w:cs="Arial" w:eastAsia="Arial" w:hAnsi="Arial"/>
                <w:sz w:val="18"/>
                <w:szCs w:val="18"/>
                <w:color w:val="auto"/>
              </w:rPr>
              <w:t>exercisable for</w:t>
            </w:r>
          </w:p>
        </w:tc>
      </w:tr>
      <w:tr>
        <w:trPr>
          <w:trHeight w:val="203"/>
        </w:trPr>
        <w:tc>
          <w:tcPr>
            <w:tcW w:w="2180" w:type="dxa"/>
            <w:vAlign w:val="bottom"/>
            <w:gridSpan w:val="2"/>
          </w:tcPr>
          <w:p>
            <w:pPr>
              <w:spacing w:after="0" w:line="202" w:lineRule="exact"/>
              <w:rPr>
                <w:sz w:val="20"/>
                <w:szCs w:val="20"/>
                <w:color w:val="auto"/>
              </w:rPr>
            </w:pPr>
            <w:r>
              <w:rPr>
                <w:rFonts w:ascii="Arial" w:cs="Arial" w:eastAsia="Arial" w:hAnsi="Arial"/>
                <w:sz w:val="18"/>
                <w:szCs w:val="18"/>
                <w:color w:val="auto"/>
              </w:rPr>
              <w:t>term</w:t>
            </w:r>
          </w:p>
        </w:tc>
        <w:tc>
          <w:tcPr>
            <w:tcW w:w="1700" w:type="dxa"/>
            <w:vAlign w:val="bottom"/>
          </w:tcPr>
          <w:p>
            <w:pPr>
              <w:ind w:left="120"/>
              <w:spacing w:after="0" w:line="202" w:lineRule="exact"/>
              <w:rPr>
                <w:sz w:val="20"/>
                <w:szCs w:val="20"/>
                <w:color w:val="auto"/>
              </w:rPr>
            </w:pPr>
            <w:r>
              <w:rPr>
                <w:rFonts w:ascii="Arial" w:cs="Arial" w:eastAsia="Arial" w:hAnsi="Arial"/>
                <w:sz w:val="18"/>
                <w:szCs w:val="18"/>
                <w:color w:val="auto"/>
              </w:rPr>
              <w:t>in effect to end</w:t>
            </w:r>
          </w:p>
        </w:tc>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termination</w:t>
            </w:r>
          </w:p>
        </w:tc>
        <w:tc>
          <w:tcPr>
            <w:tcW w:w="1520" w:type="dxa"/>
            <w:vAlign w:val="bottom"/>
          </w:tcPr>
          <w:p>
            <w:pPr>
              <w:spacing w:after="0"/>
              <w:rPr>
                <w:sz w:val="17"/>
                <w:szCs w:val="17"/>
                <w:color w:val="auto"/>
              </w:rPr>
            </w:pPr>
          </w:p>
        </w:tc>
        <w:tc>
          <w:tcPr>
            <w:tcW w:w="1360" w:type="dxa"/>
            <w:vAlign w:val="bottom"/>
          </w:tcPr>
          <w:p>
            <w:pPr>
              <w:ind w:left="120"/>
              <w:spacing w:after="0" w:line="202" w:lineRule="exact"/>
              <w:rPr>
                <w:sz w:val="20"/>
                <w:szCs w:val="20"/>
                <w:color w:val="auto"/>
              </w:rPr>
            </w:pPr>
            <w:r>
              <w:rPr>
                <w:rFonts w:ascii="Arial" w:cs="Arial" w:eastAsia="Arial" w:hAnsi="Arial"/>
                <w:sz w:val="18"/>
                <w:szCs w:val="18"/>
                <w:color w:val="auto"/>
              </w:rPr>
              <w:t>30 days</w:t>
            </w: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of term</w:t>
            </w:r>
          </w:p>
        </w:tc>
        <w:tc>
          <w:tcPr>
            <w:tcW w:w="4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121" w:lineRule="exact"/>
        <w:rPr>
          <w:sz w:val="20"/>
          <w:szCs w:val="20"/>
          <w:color w:val="auto"/>
        </w:rPr>
      </w:pPr>
    </w:p>
    <w:p>
      <w:pPr>
        <w:ind w:left="420" w:right="100" w:hanging="216"/>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Defined for purposes of equity awards made after 2012 as at least age 55 with 10 or more years of TI service or at least age 65. For awards made before 2013, the definition of normal or early retirement eligibility in the relevant pension plan applies (see “2017 pension benefits”).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This provision is not applicable to grants made after 2012.</w:t>
      </w:r>
    </w:p>
    <w:p>
      <w:pPr>
        <w:spacing w:after="0" w:line="212"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Options may be cancelled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203" w:lineRule="exact"/>
        <w:rPr>
          <w:sz w:val="20"/>
          <w:szCs w:val="20"/>
          <w:color w:val="auto"/>
        </w:rPr>
      </w:pPr>
    </w:p>
    <w:p>
      <w:pPr>
        <w:ind w:left="200" w:right="280"/>
        <w:spacing w:after="0" w:line="234" w:lineRule="auto"/>
        <w:rPr>
          <w:sz w:val="20"/>
          <w:szCs w:val="20"/>
          <w:color w:val="auto"/>
        </w:rPr>
      </w:pPr>
      <w:r>
        <w:rPr>
          <w:rFonts w:ascii="Arial" w:cs="Arial" w:eastAsia="Arial" w:hAnsi="Arial"/>
          <w:sz w:val="18"/>
          <w:szCs w:val="18"/>
          <w:color w:val="auto"/>
        </w:rPr>
        <w:t>Options granted after 2009 become fully vested if the grantee is involuntarily terminated from employment with TI (other than for cause) within 24 months after a change in control of TI. “Change in control” is defined as provided in the Texas Instruments 2009 Long-Term Incentive Plan and occurs upon (1) acquisition of more than 50 percent of the voting stock or at least 80 percent of the assets of TI or</w:t>
      </w:r>
    </w:p>
    <w:p>
      <w:pPr>
        <w:spacing w:after="0" w:line="2" w:lineRule="exact"/>
        <w:rPr>
          <w:sz w:val="20"/>
          <w:szCs w:val="20"/>
          <w:color w:val="auto"/>
        </w:rPr>
      </w:pPr>
    </w:p>
    <w:p>
      <w:pPr>
        <w:ind w:left="200" w:right="40" w:firstLine="4"/>
        <w:spacing w:after="0" w:line="236" w:lineRule="auto"/>
        <w:tabs>
          <w:tab w:leader="none" w:pos="4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 For options granted before 2010, the stock option terms provide that upon a change in control of TI, the option becomes fully vested to the extent it is then outstanding; and if employment termination (except for cause) has occurred within 30 days before the change in control, the change in control is deemed to have occurred first. “Change in control” is defined in these pre-2010 options as (1) acquisition of 20 percent of TI common stock other than through a transaction approved by the board of directors, or (2) change of a majority of the board of directors in a 24-month period unless a majority of the directors then in office have elected or nominated the new directors (together, the “pre-2010 definition”).</w:t>
      </w:r>
    </w:p>
    <w:p>
      <w:pPr>
        <w:spacing w:after="0" w:line="208"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The “Stock Awards” column in the table of outstanding equity awards at fiscal year-end 2017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shows the termination provisions of RSUs outstanding as of December 31, 2017.</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2840" w:type="dxa"/>
            <w:vAlign w:val="bottom"/>
          </w:tcPr>
          <w:p>
            <w:pPr>
              <w:jc w:val="center"/>
              <w:ind w:right="48"/>
              <w:spacing w:after="0"/>
              <w:rPr>
                <w:sz w:val="20"/>
                <w:szCs w:val="20"/>
                <w:color w:val="auto"/>
              </w:rPr>
            </w:pPr>
            <w:r>
              <w:rPr>
                <w:rFonts w:ascii="Arial" w:cs="Arial" w:eastAsia="Arial" w:hAnsi="Arial"/>
                <w:sz w:val="14"/>
                <w:szCs w:val="14"/>
                <w:b w:val="1"/>
                <w:bCs w:val="1"/>
                <w:color w:val="auto"/>
              </w:rPr>
              <w:t>Employment Termination</w:t>
            </w:r>
          </w:p>
        </w:tc>
        <w:tc>
          <w:tcPr>
            <w:tcW w:w="26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2"/>
        </w:trPr>
        <w:tc>
          <w:tcPr>
            <w:tcW w:w="2840" w:type="dxa"/>
            <w:vAlign w:val="bottom"/>
          </w:tcPr>
          <w:p>
            <w:pPr>
              <w:jc w:val="center"/>
              <w:ind w:right="228"/>
              <w:spacing w:after="0"/>
              <w:rPr>
                <w:sz w:val="20"/>
                <w:szCs w:val="20"/>
                <w:color w:val="auto"/>
              </w:rPr>
            </w:pPr>
            <w:r>
              <w:rPr>
                <w:rFonts w:ascii="Arial" w:cs="Arial" w:eastAsia="Arial" w:hAnsi="Arial"/>
                <w:sz w:val="14"/>
                <w:szCs w:val="14"/>
                <w:b w:val="1"/>
                <w:bCs w:val="1"/>
                <w:color w:val="auto"/>
              </w:rPr>
              <w:t>Employment Termination</w:t>
            </w:r>
          </w:p>
        </w:tc>
        <w:tc>
          <w:tcPr>
            <w:tcW w:w="2840" w:type="dxa"/>
            <w:vAlign w:val="bottom"/>
          </w:tcPr>
          <w:p>
            <w:pPr>
              <w:jc w:val="center"/>
              <w:ind w:right="48"/>
              <w:spacing w:after="0"/>
              <w:rPr>
                <w:sz w:val="20"/>
                <w:szCs w:val="20"/>
                <w:color w:val="auto"/>
              </w:rPr>
            </w:pPr>
            <w:r>
              <w:rPr>
                <w:rFonts w:ascii="Arial" w:cs="Arial" w:eastAsia="Arial" w:hAnsi="Arial"/>
                <w:sz w:val="14"/>
                <w:szCs w:val="14"/>
                <w:b w:val="1"/>
                <w:bCs w:val="1"/>
                <w:color w:val="auto"/>
              </w:rPr>
              <w:t>(at Least 6 Months after Grant)</w:t>
            </w:r>
          </w:p>
        </w:tc>
        <w:tc>
          <w:tcPr>
            <w:tcW w:w="2640" w:type="dxa"/>
            <w:vAlign w:val="bottom"/>
          </w:tcPr>
          <w:p>
            <w:pPr>
              <w:jc w:val="center"/>
              <w:ind w:right="8"/>
              <w:spacing w:after="0"/>
              <w:rPr>
                <w:sz w:val="20"/>
                <w:szCs w:val="20"/>
                <w:color w:val="auto"/>
              </w:rPr>
            </w:pPr>
            <w:r>
              <w:rPr>
                <w:rFonts w:ascii="Arial" w:cs="Arial" w:eastAsia="Arial" w:hAnsi="Arial"/>
                <w:sz w:val="14"/>
                <w:szCs w:val="14"/>
                <w:b w:val="1"/>
                <w:bCs w:val="1"/>
                <w:color w:val="auto"/>
              </w:rPr>
              <w:t>Employment Termination</w:t>
            </w:r>
          </w:p>
        </w:tc>
        <w:tc>
          <w:tcPr>
            <w:tcW w:w="2240" w:type="dxa"/>
            <w:vAlign w:val="bottom"/>
          </w:tcPr>
          <w:p>
            <w:pPr>
              <w:jc w:val="center"/>
              <w:ind w:left="448"/>
              <w:spacing w:after="0"/>
              <w:rPr>
                <w:sz w:val="20"/>
                <w:szCs w:val="20"/>
                <w:color w:val="auto"/>
              </w:rPr>
            </w:pPr>
            <w:r>
              <w:rPr>
                <w:rFonts w:ascii="Arial" w:cs="Arial" w:eastAsia="Arial" w:hAnsi="Arial"/>
                <w:sz w:val="14"/>
                <w:szCs w:val="14"/>
                <w:b w:val="1"/>
                <w:bCs w:val="1"/>
                <w:color w:val="auto"/>
              </w:rPr>
              <w:t>Other Circumstances of</w:t>
            </w:r>
          </w:p>
        </w:tc>
      </w:tr>
      <w:tr>
        <w:trPr>
          <w:trHeight w:val="201"/>
        </w:trPr>
        <w:tc>
          <w:tcPr>
            <w:tcW w:w="2840" w:type="dxa"/>
            <w:vAlign w:val="bottom"/>
          </w:tcPr>
          <w:p>
            <w:pPr>
              <w:jc w:val="center"/>
              <w:ind w:right="228"/>
              <w:spacing w:after="0"/>
              <w:rPr>
                <w:sz w:val="20"/>
                <w:szCs w:val="20"/>
                <w:color w:val="auto"/>
              </w:rPr>
            </w:pPr>
            <w:r>
              <w:rPr>
                <w:rFonts w:ascii="Arial" w:cs="Arial" w:eastAsia="Arial" w:hAnsi="Arial"/>
                <w:sz w:val="14"/>
                <w:szCs w:val="14"/>
                <w:b w:val="1"/>
                <w:bCs w:val="1"/>
                <w:color w:val="auto"/>
              </w:rPr>
              <w:t>Due to Death or Permanent Disability</w:t>
            </w:r>
          </w:p>
        </w:tc>
        <w:tc>
          <w:tcPr>
            <w:tcW w:w="2840" w:type="dxa"/>
            <w:vAlign w:val="bottom"/>
          </w:tcPr>
          <w:p>
            <w:pPr>
              <w:jc w:val="center"/>
              <w:ind w:right="28"/>
              <w:spacing w:after="0"/>
              <w:rPr>
                <w:sz w:val="20"/>
                <w:szCs w:val="20"/>
                <w:color w:val="auto"/>
              </w:rPr>
            </w:pPr>
            <w:r>
              <w:rPr>
                <w:rFonts w:ascii="Arial" w:cs="Arial" w:eastAsia="Arial" w:hAnsi="Arial"/>
                <w:sz w:val="14"/>
                <w:szCs w:val="14"/>
                <w:b w:val="1"/>
                <w:bCs w:val="1"/>
                <w:color w:val="auto"/>
              </w:rPr>
              <w:t>When Retirement Eligible</w:t>
            </w:r>
          </w:p>
        </w:tc>
        <w:tc>
          <w:tcPr>
            <w:tcW w:w="2640" w:type="dxa"/>
            <w:vAlign w:val="bottom"/>
          </w:tcPr>
          <w:p>
            <w:pPr>
              <w:jc w:val="center"/>
              <w:ind w:right="28"/>
              <w:spacing w:after="0"/>
              <w:rPr>
                <w:sz w:val="20"/>
                <w:szCs w:val="20"/>
                <w:color w:val="auto"/>
              </w:rPr>
            </w:pPr>
            <w:r>
              <w:rPr>
                <w:rFonts w:ascii="Arial" w:cs="Arial" w:eastAsia="Arial" w:hAnsi="Arial"/>
                <w:sz w:val="14"/>
                <w:szCs w:val="14"/>
                <w:b w:val="1"/>
                <w:bCs w:val="1"/>
                <w:color w:val="auto"/>
              </w:rPr>
              <w:t>For Cause</w:t>
            </w:r>
          </w:p>
        </w:tc>
        <w:tc>
          <w:tcPr>
            <w:tcW w:w="2240" w:type="dxa"/>
            <w:vAlign w:val="bottom"/>
          </w:tcPr>
          <w:p>
            <w:pPr>
              <w:jc w:val="center"/>
              <w:ind w:left="448"/>
              <w:spacing w:after="0"/>
              <w:rPr>
                <w:sz w:val="20"/>
                <w:szCs w:val="20"/>
                <w:color w:val="auto"/>
              </w:rPr>
            </w:pPr>
            <w:r>
              <w:rPr>
                <w:rFonts w:ascii="Arial" w:cs="Arial" w:eastAsia="Arial" w:hAnsi="Arial"/>
                <w:sz w:val="14"/>
                <w:szCs w:val="14"/>
                <w:b w:val="1"/>
                <w:bCs w:val="1"/>
                <w:color w:val="auto"/>
              </w:rPr>
              <w:t>Employment Termination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ind w:left="200"/>
        <w:spacing w:after="0" w:line="246" w:lineRule="auto"/>
        <w:rPr>
          <w:sz w:val="20"/>
          <w:szCs w:val="20"/>
          <w:color w:val="auto"/>
        </w:rPr>
      </w:pPr>
      <w:r>
        <w:rPr>
          <w:rFonts w:ascii="Arial" w:cs="Arial" w:eastAsia="Arial" w:hAnsi="Arial"/>
          <w:sz w:val="18"/>
          <w:szCs w:val="18"/>
          <w:color w:val="auto"/>
        </w:rPr>
        <w:t>Vesting continues; shares are paid at the scheduled vesting date</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auto"/>
        </w:rPr>
        <w:t>Vesting continues; shares are paid at the scheduled vesting date</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8"/>
          <w:szCs w:val="18"/>
          <w:color w:val="auto"/>
        </w:rPr>
        <w:t>Grant cancels; no shares are issued</w:t>
      </w:r>
    </w:p>
    <w:p>
      <w:pPr>
        <w:spacing w:after="0" w:line="20" w:lineRule="exact"/>
        <w:rPr>
          <w:sz w:val="20"/>
          <w:szCs w:val="20"/>
          <w:color w:val="auto"/>
        </w:rPr>
      </w:pPr>
      <w:r>
        <w:rPr>
          <w:sz w:val="20"/>
          <w:szCs w:val="20"/>
          <w:color w:val="auto"/>
        </w:rPr>
        <w:br w:type="column"/>
      </w:r>
    </w:p>
    <w:p>
      <w:pPr>
        <w:ind w:right="120"/>
        <w:spacing w:after="0" w:line="246" w:lineRule="auto"/>
        <w:rPr>
          <w:sz w:val="20"/>
          <w:szCs w:val="20"/>
          <w:color w:val="auto"/>
        </w:rPr>
      </w:pPr>
      <w:r>
        <w:rPr>
          <w:rFonts w:ascii="Arial" w:cs="Arial" w:eastAsia="Arial" w:hAnsi="Arial"/>
          <w:sz w:val="18"/>
          <w:szCs w:val="18"/>
          <w:color w:val="auto"/>
        </w:rPr>
        <w:t>Grant cancels; no shares are issued</w:t>
      </w:r>
    </w:p>
    <w:p>
      <w:pPr>
        <w:spacing w:after="0" w:line="326" w:lineRule="exact"/>
        <w:rPr>
          <w:sz w:val="20"/>
          <w:szCs w:val="20"/>
          <w:color w:val="auto"/>
        </w:rPr>
      </w:pPr>
    </w:p>
    <w:p>
      <w:pPr>
        <w:sectPr>
          <w:pgSz w:w="11900" w:h="16838" w:orient="portrait"/>
          <w:cols w:equalWidth="0" w:num="4">
            <w:col w:w="2960" w:space="360"/>
            <w:col w:w="2040" w:space="700"/>
            <w:col w:w="2320" w:space="420"/>
            <w:col w:w="2440"/>
          </w:cols>
          <w:pgMar w:left="240" w:top="459" w:right="419" w:bottom="1440" w:gutter="0" w:footer="0" w:header="0"/>
          <w:type w:val="continuous"/>
        </w:sect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40"/>
          </w:cols>
          <w:pgMar w:left="240" w:top="459" w:right="41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change-in-control terms are intended to conform RSU terms with those of stock options (to the extent permitted by the IRC) and to achieve the objectives described above in the discussion of stock options.</w:t>
      </w:r>
    </w:p>
    <w:p>
      <w:pPr>
        <w:spacing w:after="0" w:line="203"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In addition to the “Stock Awards” shown in the outstanding equity awards at fiscal year-end 2017 table,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2017 non-qualified deferred compensation table.</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2017 option exercises and stock vested</w:t>
      </w:r>
    </w:p>
    <w:p>
      <w:pPr>
        <w:spacing w:after="0" w:line="205"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The following table lists the number of shares acquired and the value realized as a result of option exercises by the named executive officers in 2017 and the value of any RSUs that vested in 2017.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80" w:type="dxa"/>
            <w:vAlign w:val="bottom"/>
            <w:gridSpan w:val="2"/>
          </w:tcPr>
          <w:p>
            <w:pPr>
              <w:ind w:left="840"/>
              <w:spacing w:after="0"/>
              <w:rPr>
                <w:sz w:val="20"/>
                <w:szCs w:val="20"/>
                <w:color w:val="auto"/>
              </w:rPr>
            </w:pPr>
            <w:r>
              <w:rPr>
                <w:rFonts w:ascii="Arial" w:cs="Arial" w:eastAsia="Arial" w:hAnsi="Arial"/>
                <w:sz w:val="14"/>
                <w:szCs w:val="14"/>
                <w:b w:val="1"/>
                <w:bCs w:val="1"/>
                <w:color w:val="auto"/>
              </w:rPr>
              <w:t>Option Awards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80" w:type="dxa"/>
            <w:vAlign w:val="bottom"/>
            <w:gridSpan w:val="4"/>
          </w:tcPr>
          <w:p>
            <w:pPr>
              <w:ind w:left="940"/>
              <w:spacing w:after="0"/>
              <w:rPr>
                <w:sz w:val="20"/>
                <w:szCs w:val="20"/>
                <w:color w:val="auto"/>
              </w:rPr>
            </w:pPr>
            <w:r>
              <w:rPr>
                <w:rFonts w:ascii="Arial" w:cs="Arial" w:eastAsia="Arial" w:hAnsi="Arial"/>
                <w:sz w:val="14"/>
                <w:szCs w:val="14"/>
                <w:b w:val="1"/>
                <w:bCs w:val="1"/>
                <w:color w:val="auto"/>
              </w:rPr>
              <w:t>Stock Awards</w:t>
            </w: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80" w:type="dxa"/>
            <w:vAlign w:val="bottom"/>
            <w:tcBorders>
              <w:top w:val="single" w:sz="8" w:color="auto"/>
            </w:tcBorders>
          </w:tcPr>
          <w:p>
            <w:pPr>
              <w:jc w:val="center"/>
              <w:ind w:right="188"/>
              <w:spacing w:after="0" w:line="143" w:lineRule="exact"/>
              <w:rPr>
                <w:sz w:val="20"/>
                <w:szCs w:val="20"/>
                <w:color w:val="auto"/>
              </w:rPr>
            </w:pPr>
            <w:r>
              <w:rPr>
                <w:rFonts w:ascii="Arial" w:cs="Arial" w:eastAsia="Arial" w:hAnsi="Arial"/>
                <w:sz w:val="14"/>
                <w:szCs w:val="14"/>
                <w:b w:val="1"/>
                <w:bCs w:val="1"/>
                <w:color w:val="auto"/>
              </w:rPr>
              <w:t>Number of</w:t>
            </w:r>
          </w:p>
        </w:tc>
        <w:tc>
          <w:tcPr>
            <w:tcW w:w="5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Borders>
              <w:top w:val="single" w:sz="8" w:color="auto"/>
            </w:tcBorders>
          </w:tcPr>
          <w:p>
            <w:pPr>
              <w:jc w:val="center"/>
              <w:ind w:right="168"/>
              <w:spacing w:after="0" w:line="143" w:lineRule="exact"/>
              <w:rPr>
                <w:sz w:val="20"/>
                <w:szCs w:val="20"/>
                <w:color w:val="auto"/>
              </w:rPr>
            </w:pPr>
            <w:r>
              <w:rPr>
                <w:rFonts w:ascii="Arial" w:cs="Arial" w:eastAsia="Arial" w:hAnsi="Arial"/>
                <w:sz w:val="14"/>
                <w:szCs w:val="14"/>
                <w:b w:val="1"/>
                <w:bCs w:val="1"/>
                <w:color w:val="auto"/>
              </w:rPr>
              <w:t>Number of</w:t>
            </w: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220" w:type="dxa"/>
            <w:vAlign w:val="bottom"/>
            <w:gridSpan w:val="2"/>
          </w:tcPr>
          <w:p>
            <w:pPr>
              <w:jc w:val="center"/>
              <w:ind w:left="1513"/>
              <w:spacing w:after="0"/>
              <w:rPr>
                <w:sz w:val="20"/>
                <w:szCs w:val="20"/>
                <w:color w:val="auto"/>
              </w:rPr>
            </w:pPr>
            <w:r>
              <w:rPr>
                <w:rFonts w:ascii="Arial" w:cs="Arial" w:eastAsia="Arial" w:hAnsi="Arial"/>
                <w:sz w:val="14"/>
                <w:szCs w:val="14"/>
                <w:b w:val="1"/>
                <w:bCs w:val="1"/>
                <w:color w:val="auto"/>
              </w:rPr>
              <w:t>Shares Acquired</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 Realized</w:t>
            </w:r>
          </w:p>
        </w:tc>
        <w:tc>
          <w:tcPr>
            <w:tcW w:w="1900" w:type="dxa"/>
            <w:vAlign w:val="bottom"/>
            <w:gridSpan w:val="2"/>
          </w:tcPr>
          <w:p>
            <w:pPr>
              <w:jc w:val="center"/>
              <w:ind w:left="153"/>
              <w:spacing w:after="0"/>
              <w:rPr>
                <w:sz w:val="20"/>
                <w:szCs w:val="20"/>
                <w:color w:val="auto"/>
              </w:rPr>
            </w:pPr>
            <w:r>
              <w:rPr>
                <w:rFonts w:ascii="Arial" w:cs="Arial" w:eastAsia="Arial" w:hAnsi="Arial"/>
                <w:sz w:val="14"/>
                <w:szCs w:val="14"/>
                <w:b w:val="1"/>
                <w:bCs w:val="1"/>
                <w:color w:val="auto"/>
              </w:rPr>
              <w:t>Shares Acquired</w:t>
            </w:r>
          </w:p>
        </w:tc>
        <w:tc>
          <w:tcPr>
            <w:tcW w:w="1480" w:type="dxa"/>
            <w:vAlign w:val="bottom"/>
            <w:gridSpan w:val="3"/>
          </w:tcPr>
          <w:p>
            <w:pPr>
              <w:jc w:val="center"/>
              <w:ind w:left="73"/>
              <w:spacing w:after="0"/>
              <w:rPr>
                <w:sz w:val="20"/>
                <w:szCs w:val="20"/>
                <w:color w:val="auto"/>
              </w:rPr>
            </w:pPr>
            <w:r>
              <w:rPr>
                <w:rFonts w:ascii="Arial" w:cs="Arial" w:eastAsia="Arial" w:hAnsi="Arial"/>
                <w:sz w:val="14"/>
                <w:szCs w:val="14"/>
                <w:b w:val="1"/>
                <w:bCs w:val="1"/>
                <w:color w:val="auto"/>
              </w:rPr>
              <w:t>Value Realized</w:t>
            </w:r>
          </w:p>
        </w:tc>
      </w:tr>
      <w:tr>
        <w:trPr>
          <w:trHeight w:val="175"/>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spacing w:after="0"/>
              <w:rPr>
                <w:sz w:val="15"/>
                <w:szCs w:val="15"/>
                <w:color w:val="auto"/>
              </w:rPr>
            </w:pPr>
          </w:p>
        </w:tc>
        <w:tc>
          <w:tcPr>
            <w:tcW w:w="1380" w:type="dxa"/>
            <w:vAlign w:val="bottom"/>
          </w:tcPr>
          <w:p>
            <w:pPr>
              <w:jc w:val="center"/>
              <w:ind w:right="188"/>
              <w:spacing w:after="0"/>
              <w:rPr>
                <w:sz w:val="20"/>
                <w:szCs w:val="20"/>
                <w:color w:val="auto"/>
              </w:rPr>
            </w:pPr>
            <w:r>
              <w:rPr>
                <w:rFonts w:ascii="Arial" w:cs="Arial" w:eastAsia="Arial" w:hAnsi="Arial"/>
                <w:sz w:val="14"/>
                <w:szCs w:val="14"/>
                <w:b w:val="1"/>
                <w:bCs w:val="1"/>
                <w:color w:val="auto"/>
              </w:rPr>
              <w:t>on Exercise (#)</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on Exercise ($)</w:t>
            </w:r>
          </w:p>
        </w:tc>
        <w:tc>
          <w:tcPr>
            <w:tcW w:w="500" w:type="dxa"/>
            <w:vAlign w:val="bottom"/>
          </w:tcPr>
          <w:p>
            <w:pPr>
              <w:spacing w:after="0"/>
              <w:rPr>
                <w:sz w:val="15"/>
                <w:szCs w:val="15"/>
                <w:color w:val="auto"/>
              </w:rPr>
            </w:pPr>
          </w:p>
        </w:tc>
        <w:tc>
          <w:tcPr>
            <w:tcW w:w="1400" w:type="dxa"/>
            <w:vAlign w:val="bottom"/>
          </w:tcPr>
          <w:p>
            <w:pPr>
              <w:jc w:val="center"/>
              <w:ind w:right="188"/>
              <w:spacing w:after="0"/>
              <w:rPr>
                <w:sz w:val="20"/>
                <w:szCs w:val="20"/>
                <w:color w:val="auto"/>
              </w:rPr>
            </w:pPr>
            <w:r>
              <w:rPr>
                <w:rFonts w:ascii="Arial" w:cs="Arial" w:eastAsia="Arial" w:hAnsi="Arial"/>
                <w:sz w:val="14"/>
                <w:szCs w:val="14"/>
                <w:b w:val="1"/>
                <w:bCs w:val="1"/>
                <w:color w:val="auto"/>
              </w:rPr>
              <w:t>on Vesting (#)</w:t>
            </w:r>
          </w:p>
        </w:tc>
        <w:tc>
          <w:tcPr>
            <w:tcW w:w="36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on Vesting ($)</w:t>
            </w:r>
          </w:p>
        </w:tc>
      </w:tr>
      <w:tr>
        <w:trPr>
          <w:trHeight w:val="196"/>
        </w:trPr>
        <w:tc>
          <w:tcPr>
            <w:tcW w:w="20" w:type="dxa"/>
            <w:vAlign w:val="bottom"/>
          </w:tcPr>
          <w:p>
            <w:pPr>
              <w:spacing w:after="0"/>
              <w:rPr>
                <w:sz w:val="17"/>
                <w:szCs w:val="17"/>
                <w:color w:val="auto"/>
              </w:rPr>
            </w:pPr>
          </w:p>
        </w:tc>
        <w:tc>
          <w:tcPr>
            <w:tcW w:w="3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 K. Templeton</w:t>
            </w:r>
          </w:p>
        </w:tc>
        <w:tc>
          <w:tcPr>
            <w:tcW w:w="3220" w:type="dxa"/>
            <w:vAlign w:val="bottom"/>
            <w:tcBorders>
              <w:top w:val="single" w:sz="8" w:color="auto"/>
            </w:tcBorders>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990,000</w:t>
            </w:r>
          </w:p>
        </w:tc>
        <w:tc>
          <w:tcPr>
            <w:tcW w:w="13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$ 57,796,600</w:t>
            </w:r>
          </w:p>
        </w:tc>
        <w:tc>
          <w:tcPr>
            <w:tcW w:w="1900" w:type="dxa"/>
            <w:vAlign w:val="bottom"/>
            <w:tcBorders>
              <w:top w:val="single" w:sz="8" w:color="auto"/>
            </w:tcBorders>
            <w:gridSpan w:val="2"/>
            <w:shd w:val="clear" w:color="auto" w:fill="CCEEFF"/>
          </w:tcPr>
          <w:p>
            <w:pPr>
              <w:jc w:val="right"/>
              <w:ind w:right="188"/>
              <w:spacing w:after="0" w:line="196" w:lineRule="exact"/>
              <w:rPr>
                <w:sz w:val="20"/>
                <w:szCs w:val="20"/>
                <w:color w:val="auto"/>
              </w:rPr>
            </w:pPr>
            <w:r>
              <w:rPr>
                <w:rFonts w:ascii="Arial" w:cs="Arial" w:eastAsia="Arial" w:hAnsi="Arial"/>
                <w:sz w:val="18"/>
                <w:szCs w:val="18"/>
                <w:color w:val="auto"/>
              </w:rPr>
              <w:t>175,000</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13,632,500</w:t>
            </w:r>
          </w:p>
        </w:tc>
        <w:tc>
          <w:tcPr>
            <w:tcW w:w="6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R. R. Lizardi</w:t>
            </w:r>
          </w:p>
        </w:tc>
        <w:tc>
          <w:tcPr>
            <w:tcW w:w="32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5,625</w:t>
            </w:r>
          </w:p>
        </w:tc>
        <w:tc>
          <w:tcPr>
            <w:tcW w:w="5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257,047</w:t>
            </w:r>
          </w:p>
        </w:tc>
        <w:tc>
          <w:tcPr>
            <w:tcW w:w="190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7,500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584,250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P. March</w:t>
            </w:r>
          </w:p>
        </w:tc>
        <w:tc>
          <w:tcPr>
            <w:tcW w:w="32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300,000</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$ 16,750,191</w:t>
            </w:r>
          </w:p>
        </w:tc>
        <w:tc>
          <w:tcPr>
            <w:tcW w:w="190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50,000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3,895,000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B. T. Crutcher</w:t>
            </w:r>
          </w:p>
        </w:tc>
        <w:tc>
          <w:tcPr>
            <w:tcW w:w="32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339,043</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$ 14,093,292</w:t>
            </w:r>
          </w:p>
        </w:tc>
        <w:tc>
          <w:tcPr>
            <w:tcW w:w="190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75,000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5,842,500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J. Ritchie</w:t>
            </w:r>
          </w:p>
        </w:tc>
        <w:tc>
          <w:tcPr>
            <w:tcW w:w="32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266,849</w:t>
            </w:r>
          </w:p>
        </w:tc>
        <w:tc>
          <w:tcPr>
            <w:tcW w:w="5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9,480,310</w:t>
            </w:r>
          </w:p>
        </w:tc>
        <w:tc>
          <w:tcPr>
            <w:tcW w:w="190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66,667</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5,193,359</w:t>
            </w:r>
          </w:p>
        </w:tc>
        <w:tc>
          <w:tcPr>
            <w:tcW w:w="6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 G. Delagi</w:t>
            </w:r>
          </w:p>
        </w:tc>
        <w:tc>
          <w:tcPr>
            <w:tcW w:w="3220" w:type="dxa"/>
            <w:vAlign w:val="bottom"/>
            <w:gridSpan w:val="2"/>
          </w:tcPr>
          <w:p>
            <w:pPr>
              <w:jc w:val="right"/>
              <w:ind w:right="168"/>
              <w:spacing w:after="0"/>
              <w:rPr>
                <w:sz w:val="20"/>
                <w:szCs w:val="20"/>
                <w:color w:val="auto"/>
              </w:rPr>
            </w:pPr>
            <w:r>
              <w:rPr>
                <w:rFonts w:ascii="Arial" w:cs="Arial" w:eastAsia="Arial" w:hAnsi="Arial"/>
                <w:sz w:val="18"/>
                <w:szCs w:val="18"/>
                <w:color w:val="auto"/>
              </w:rPr>
              <w:t>238,750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$ 18,206,506</w:t>
            </w:r>
          </w:p>
        </w:tc>
        <w:tc>
          <w:tcPr>
            <w:tcW w:w="1900" w:type="dxa"/>
            <w:vAlign w:val="bottom"/>
            <w:gridSpan w:val="2"/>
          </w:tcPr>
          <w:p>
            <w:pPr>
              <w:jc w:val="right"/>
              <w:ind w:right="188"/>
              <w:spacing w:after="0"/>
              <w:rPr>
                <w:sz w:val="20"/>
                <w:szCs w:val="20"/>
                <w:color w:val="auto"/>
              </w:rPr>
            </w:pPr>
            <w:r>
              <w:rPr>
                <w:rFonts w:ascii="Arial" w:cs="Arial" w:eastAsia="Arial" w:hAnsi="Arial"/>
                <w:sz w:val="18"/>
                <w:szCs w:val="18"/>
                <w:color w:val="auto"/>
              </w:rPr>
              <w:t>66,667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5,193,359</w:t>
            </w:r>
          </w:p>
        </w:tc>
        <w:tc>
          <w:tcPr>
            <w:tcW w:w="60" w:type="dxa"/>
            <w:vAlign w:val="bottom"/>
          </w:tcPr>
          <w:p>
            <w:pPr>
              <w:spacing w:after="0"/>
              <w:rPr>
                <w:sz w:val="18"/>
                <w:szCs w:val="18"/>
                <w:color w:val="auto"/>
              </w:rPr>
            </w:pP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2017 pension benefits</w:t>
      </w:r>
    </w:p>
    <w:p>
      <w:pPr>
        <w:spacing w:after="0" w:line="205"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The following table shows the present value as of December 31, 2017,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2017.</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60" w:type="dxa"/>
            <w:vAlign w:val="bottom"/>
          </w:tcPr>
          <w:p>
            <w:pPr>
              <w:jc w:val="center"/>
              <w:ind w:left="73"/>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Present Value of</w:t>
            </w:r>
          </w:p>
        </w:tc>
        <w:tc>
          <w:tcPr>
            <w:tcW w:w="400" w:type="dxa"/>
            <w:vAlign w:val="bottom"/>
          </w:tcPr>
          <w:p>
            <w:pPr>
              <w:spacing w:after="0"/>
              <w:rPr>
                <w:sz w:val="14"/>
                <w:szCs w:val="14"/>
                <w:color w:val="auto"/>
              </w:rPr>
            </w:pPr>
          </w:p>
        </w:tc>
        <w:tc>
          <w:tcPr>
            <w:tcW w:w="1460" w:type="dxa"/>
            <w:vAlign w:val="bottom"/>
          </w:tcPr>
          <w:p>
            <w:pPr>
              <w:jc w:val="center"/>
              <w:ind w:right="13"/>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60" w:type="dxa"/>
            <w:vAlign w:val="bottom"/>
          </w:tcPr>
          <w:p>
            <w:pPr>
              <w:jc w:val="center"/>
              <w:ind w:left="73"/>
              <w:spacing w:after="0"/>
              <w:rPr>
                <w:sz w:val="20"/>
                <w:szCs w:val="20"/>
                <w:color w:val="auto"/>
              </w:rPr>
            </w:pPr>
            <w:r>
              <w:rPr>
                <w:rFonts w:ascii="Arial" w:cs="Arial" w:eastAsia="Arial" w:hAnsi="Arial"/>
                <w:sz w:val="14"/>
                <w:szCs w:val="14"/>
                <w:b w:val="1"/>
                <w:bCs w:val="1"/>
                <w:color w:val="auto"/>
              </w:rPr>
              <w:t>Years Credited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460" w:type="dxa"/>
            <w:vAlign w:val="bottom"/>
          </w:tcPr>
          <w:p>
            <w:pPr>
              <w:jc w:val="center"/>
              <w:ind w:right="13"/>
              <w:spacing w:after="0"/>
              <w:rPr>
                <w:sz w:val="20"/>
                <w:szCs w:val="20"/>
                <w:color w:val="auto"/>
              </w:rPr>
            </w:pPr>
            <w:r>
              <w:rPr>
                <w:rFonts w:ascii="Arial" w:cs="Arial" w:eastAsia="Arial" w:hAnsi="Arial"/>
                <w:sz w:val="14"/>
                <w:szCs w:val="14"/>
                <w:b w:val="1"/>
                <w:bCs w:val="1"/>
                <w:color w:val="auto"/>
              </w:rPr>
              <w:t>During Last</w:t>
            </w:r>
          </w:p>
        </w:tc>
        <w:tc>
          <w:tcPr>
            <w:tcW w:w="0" w:type="dxa"/>
            <w:vAlign w:val="bottom"/>
          </w:tcPr>
          <w:p>
            <w:pPr>
              <w:spacing w:after="0"/>
              <w:rPr>
                <w:sz w:val="1"/>
                <w:szCs w:val="1"/>
                <w:color w:val="auto"/>
              </w:rPr>
            </w:pPr>
          </w:p>
        </w:tc>
      </w:tr>
      <w:tr>
        <w:trPr>
          <w:trHeight w:val="189"/>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Name (1)</w:t>
            </w:r>
          </w:p>
        </w:tc>
        <w:tc>
          <w:tcPr>
            <w:tcW w:w="4200" w:type="dxa"/>
            <w:vAlign w:val="bottom"/>
          </w:tcPr>
          <w:p>
            <w:pPr>
              <w:ind w:left="1940"/>
              <w:spacing w:after="0"/>
              <w:rPr>
                <w:sz w:val="20"/>
                <w:szCs w:val="20"/>
                <w:color w:val="auto"/>
              </w:rPr>
            </w:pPr>
            <w:r>
              <w:rPr>
                <w:rFonts w:ascii="Arial" w:cs="Arial" w:eastAsia="Arial" w:hAnsi="Arial"/>
                <w:sz w:val="14"/>
                <w:szCs w:val="14"/>
                <w:b w:val="1"/>
                <w:bCs w:val="1"/>
                <w:color w:val="auto"/>
              </w:rPr>
              <w:t>Plan Name</w:t>
            </w:r>
          </w:p>
        </w:tc>
        <w:tc>
          <w:tcPr>
            <w:tcW w:w="1160" w:type="dxa"/>
            <w:vAlign w:val="bottom"/>
          </w:tcPr>
          <w:p>
            <w:pPr>
              <w:jc w:val="center"/>
              <w:ind w:left="73"/>
              <w:spacing w:after="0"/>
              <w:rPr>
                <w:sz w:val="20"/>
                <w:szCs w:val="20"/>
                <w:color w:val="auto"/>
              </w:rPr>
            </w:pPr>
            <w:r>
              <w:rPr>
                <w:rFonts w:ascii="Arial" w:cs="Arial" w:eastAsia="Arial" w:hAnsi="Arial"/>
                <w:sz w:val="14"/>
                <w:szCs w:val="14"/>
                <w:b w:val="1"/>
                <w:bCs w:val="1"/>
                <w:color w:val="auto"/>
              </w:rPr>
              <w:t>Service (#)</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b w:val="1"/>
                <w:bCs w:val="1"/>
                <w:color w:val="auto"/>
              </w:rPr>
              <w:t>Benefit ($)</w:t>
            </w:r>
          </w:p>
        </w:tc>
        <w:tc>
          <w:tcPr>
            <w:tcW w:w="4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Fiscal Year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 K. Templeton (2)</w:t>
            </w:r>
          </w:p>
        </w:tc>
        <w:tc>
          <w:tcPr>
            <w:tcW w:w="4200" w:type="dxa"/>
            <w:vAlign w:val="bottom"/>
            <w:tcBorders>
              <w:top w:val="single" w:sz="8" w:color="auto"/>
            </w:tcBorders>
            <w:shd w:val="clear" w:color="auto" w:fill="CCEEFF"/>
          </w:tcPr>
          <w:p>
            <w:pPr>
              <w:ind w:left="540"/>
              <w:spacing w:after="0" w:line="195" w:lineRule="exact"/>
              <w:rPr>
                <w:sz w:val="20"/>
                <w:szCs w:val="20"/>
                <w:color w:val="auto"/>
              </w:rPr>
            </w:pPr>
            <w:r>
              <w:rPr>
                <w:rFonts w:ascii="Arial" w:cs="Arial" w:eastAsia="Arial" w:hAnsi="Arial"/>
                <w:sz w:val="18"/>
                <w:szCs w:val="18"/>
                <w:color w:val="auto"/>
              </w:rPr>
              <w:t>TI Employees Pension Plan</w:t>
            </w:r>
          </w:p>
        </w:tc>
        <w:tc>
          <w:tcPr>
            <w:tcW w:w="1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w:t>
            </w:r>
          </w:p>
        </w:tc>
        <w:tc>
          <w:tcPr>
            <w:tcW w:w="420" w:type="dxa"/>
            <w:vAlign w:val="bottom"/>
            <w:tcBorders>
              <w:top w:val="single" w:sz="8" w:color="auto"/>
            </w:tcBorders>
            <w:shd w:val="clear" w:color="auto" w:fill="CCEEFF"/>
          </w:tcPr>
          <w:p>
            <w:pPr>
              <w:jc w:val="right"/>
              <w:ind w:right="110"/>
              <w:spacing w:after="0" w:line="195" w:lineRule="exact"/>
              <w:rPr>
                <w:sz w:val="20"/>
                <w:szCs w:val="20"/>
                <w:color w:val="auto"/>
              </w:rPr>
            </w:pPr>
            <w:r>
              <w:rPr>
                <w:rFonts w:ascii="Arial" w:cs="Arial" w:eastAsia="Arial" w:hAnsi="Arial"/>
                <w:sz w:val="18"/>
                <w:szCs w:val="18"/>
                <w:color w:val="auto"/>
                <w:w w:val="90"/>
              </w:rPr>
              <w:t>(3)</w:t>
            </w:r>
          </w:p>
        </w:tc>
        <w:tc>
          <w:tcPr>
            <w:tcW w:w="300" w:type="dxa"/>
            <w:vAlign w:val="bottom"/>
            <w:tcBorders>
              <w:top w:val="single" w:sz="8" w:color="auto"/>
            </w:tcBorders>
            <w:shd w:val="clear" w:color="auto" w:fill="CCEEFF"/>
          </w:tcPr>
          <w:p>
            <w:pPr>
              <w:ind w:left="20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820,318</w:t>
            </w:r>
          </w:p>
        </w:tc>
        <w:tc>
          <w:tcPr>
            <w:tcW w:w="400" w:type="dxa"/>
            <w:vAlign w:val="bottom"/>
            <w:tcBorders>
              <w:top w:val="single" w:sz="8" w:color="auto"/>
            </w:tcBorders>
            <w:shd w:val="clear" w:color="auto" w:fill="CCEEFF"/>
          </w:tcPr>
          <w:p>
            <w:pPr>
              <w:jc w:val="right"/>
              <w:ind w:right="90"/>
              <w:spacing w:after="0" w:line="195" w:lineRule="exact"/>
              <w:rPr>
                <w:sz w:val="20"/>
                <w:szCs w:val="20"/>
                <w:color w:val="auto"/>
              </w:rPr>
            </w:pPr>
            <w:r>
              <w:rPr>
                <w:rFonts w:ascii="Arial" w:cs="Arial" w:eastAsia="Arial" w:hAnsi="Arial"/>
                <w:sz w:val="18"/>
                <w:szCs w:val="18"/>
                <w:color w:val="auto"/>
                <w:w w:val="90"/>
              </w:rPr>
              <w:t>(6)</w:t>
            </w:r>
          </w:p>
        </w:tc>
        <w:tc>
          <w:tcPr>
            <w:tcW w:w="1460" w:type="dxa"/>
            <w:vAlign w:val="bottom"/>
            <w:tcBorders>
              <w:top w:val="single" w:sz="8" w:color="auto"/>
            </w:tcBorders>
            <w:shd w:val="clear" w:color="auto" w:fill="CCEEFF"/>
          </w:tcPr>
          <w:p>
            <w:pPr>
              <w:jc w:val="right"/>
              <w:ind w:right="193"/>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4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TI Employees Non-Qualified Pension Plan</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0"/>
              </w:rPr>
              <w:t>(3)</w:t>
            </w:r>
          </w:p>
        </w:tc>
        <w:tc>
          <w:tcPr>
            <w:tcW w:w="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373,837</w:t>
            </w:r>
          </w:p>
        </w:tc>
        <w:tc>
          <w:tcPr>
            <w:tcW w:w="4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0"/>
              </w:rPr>
              <w:t>(6)</w:t>
            </w:r>
          </w:p>
        </w:tc>
        <w:tc>
          <w:tcPr>
            <w:tcW w:w="146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42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TI Employees Non-Qualified Pension Plan II</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90"/>
              </w:rPr>
              <w:t>(5)</w:t>
            </w:r>
          </w:p>
        </w:tc>
        <w:tc>
          <w:tcPr>
            <w:tcW w:w="3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230,434</w:t>
            </w:r>
          </w:p>
        </w:tc>
        <w:tc>
          <w:tcPr>
            <w:tcW w:w="40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90"/>
              </w:rPr>
              <w:t>(6)</w:t>
            </w:r>
          </w:p>
        </w:tc>
        <w:tc>
          <w:tcPr>
            <w:tcW w:w="1460" w:type="dxa"/>
            <w:vAlign w:val="bottom"/>
            <w:shd w:val="clear" w:color="auto" w:fill="CCEEFF"/>
          </w:tcPr>
          <w:p>
            <w:pPr>
              <w:jc w:val="right"/>
              <w:ind w:right="193"/>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080" w:type="dxa"/>
            <w:vAlign w:val="bottom"/>
            <w:gridSpan w:val="2"/>
          </w:tcPr>
          <w:p>
            <w:pPr>
              <w:spacing w:after="0"/>
              <w:rPr>
                <w:sz w:val="20"/>
                <w:szCs w:val="20"/>
                <w:color w:val="auto"/>
              </w:rPr>
            </w:pPr>
            <w:r>
              <w:rPr>
                <w:rFonts w:ascii="Arial" w:cs="Arial" w:eastAsia="Arial" w:hAnsi="Arial"/>
                <w:sz w:val="18"/>
                <w:szCs w:val="18"/>
                <w:color w:val="auto"/>
              </w:rPr>
              <w:t>K. P. March</w:t>
            </w:r>
          </w:p>
        </w:tc>
        <w:tc>
          <w:tcPr>
            <w:tcW w:w="4200" w:type="dxa"/>
            <w:vAlign w:val="bottom"/>
          </w:tcPr>
          <w:p>
            <w:pPr>
              <w:ind w:left="540"/>
              <w:spacing w:after="0"/>
              <w:rPr>
                <w:sz w:val="20"/>
                <w:szCs w:val="20"/>
                <w:color w:val="auto"/>
              </w:rPr>
            </w:pPr>
            <w:r>
              <w:rPr>
                <w:rFonts w:ascii="Arial" w:cs="Arial" w:eastAsia="Arial" w:hAnsi="Arial"/>
                <w:sz w:val="18"/>
                <w:szCs w:val="18"/>
                <w:color w:val="auto"/>
              </w:rPr>
              <w:t>TI Employees Pension Plan</w:t>
            </w: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(3)</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$ 1,559,211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00" w:type="dxa"/>
            <w:vAlign w:val="bottom"/>
          </w:tcPr>
          <w:p>
            <w:pPr>
              <w:ind w:left="540"/>
              <w:spacing w:after="0" w:line="202" w:lineRule="exact"/>
              <w:rPr>
                <w:sz w:val="20"/>
                <w:szCs w:val="20"/>
                <w:color w:val="auto"/>
              </w:rPr>
            </w:pPr>
            <w:r>
              <w:rPr>
                <w:rFonts w:ascii="Arial" w:cs="Arial" w:eastAsia="Arial" w:hAnsi="Arial"/>
                <w:sz w:val="18"/>
                <w:szCs w:val="18"/>
                <w:color w:val="auto"/>
              </w:rPr>
              <w:t>TI Employees Non-Qualified Pension Plan</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4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0"/>
              </w:rPr>
              <w:t>(4)</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46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  259,758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00" w:type="dxa"/>
            <w:vAlign w:val="bottom"/>
          </w:tcPr>
          <w:p>
            <w:pPr>
              <w:ind w:left="540"/>
              <w:spacing w:after="0"/>
              <w:rPr>
                <w:sz w:val="20"/>
                <w:szCs w:val="20"/>
                <w:color w:val="auto"/>
              </w:rPr>
            </w:pPr>
            <w:r>
              <w:rPr>
                <w:rFonts w:ascii="Arial" w:cs="Arial" w:eastAsia="Arial" w:hAnsi="Arial"/>
                <w:sz w:val="18"/>
                <w:szCs w:val="18"/>
                <w:color w:val="auto"/>
              </w:rPr>
              <w:t>TI Employees Non-Qualified Pension Plan II</w:t>
            </w: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(5)</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9,453,650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(7)</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 (2)</w:t>
            </w:r>
          </w:p>
        </w:tc>
        <w:tc>
          <w:tcPr>
            <w:tcW w:w="4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TI Employees Pension Plan</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0"/>
              </w:rPr>
              <w:t>(3)</w:t>
            </w:r>
          </w:p>
        </w:tc>
        <w:tc>
          <w:tcPr>
            <w:tcW w:w="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5,809</w:t>
            </w:r>
          </w:p>
        </w:tc>
        <w:tc>
          <w:tcPr>
            <w:tcW w:w="4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0"/>
              </w:rPr>
              <w:t>(6)</w:t>
            </w:r>
          </w:p>
        </w:tc>
        <w:tc>
          <w:tcPr>
            <w:tcW w:w="146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080" w:type="dxa"/>
            <w:vAlign w:val="bottom"/>
            <w:gridSpan w:val="2"/>
          </w:tcPr>
          <w:p>
            <w:pPr>
              <w:spacing w:after="0"/>
              <w:rPr>
                <w:sz w:val="20"/>
                <w:szCs w:val="20"/>
                <w:color w:val="auto"/>
              </w:rPr>
            </w:pPr>
            <w:r>
              <w:rPr>
                <w:rFonts w:ascii="Arial" w:cs="Arial" w:eastAsia="Arial" w:hAnsi="Arial"/>
                <w:sz w:val="18"/>
                <w:szCs w:val="18"/>
                <w:color w:val="auto"/>
              </w:rPr>
              <w:t>K. J. Ritchie</w:t>
            </w:r>
          </w:p>
        </w:tc>
        <w:tc>
          <w:tcPr>
            <w:tcW w:w="4200" w:type="dxa"/>
            <w:vAlign w:val="bottom"/>
          </w:tcPr>
          <w:p>
            <w:pPr>
              <w:ind w:left="540"/>
              <w:spacing w:after="0"/>
              <w:rPr>
                <w:sz w:val="20"/>
                <w:szCs w:val="20"/>
                <w:color w:val="auto"/>
              </w:rPr>
            </w:pPr>
            <w:r>
              <w:rPr>
                <w:rFonts w:ascii="Arial" w:cs="Arial" w:eastAsia="Arial" w:hAnsi="Arial"/>
                <w:sz w:val="18"/>
                <w:szCs w:val="18"/>
                <w:color w:val="auto"/>
              </w:rPr>
              <w:t>TI Employees Pension Plan</w:t>
            </w: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(3)</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1,787,262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(6)</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00" w:type="dxa"/>
            <w:vAlign w:val="bottom"/>
          </w:tcPr>
          <w:p>
            <w:pPr>
              <w:ind w:left="540"/>
              <w:spacing w:after="0" w:line="202" w:lineRule="exact"/>
              <w:rPr>
                <w:sz w:val="20"/>
                <w:szCs w:val="20"/>
                <w:color w:val="auto"/>
              </w:rPr>
            </w:pPr>
            <w:r>
              <w:rPr>
                <w:rFonts w:ascii="Arial" w:cs="Arial" w:eastAsia="Arial" w:hAnsi="Arial"/>
                <w:sz w:val="18"/>
                <w:szCs w:val="18"/>
                <w:color w:val="auto"/>
              </w:rPr>
              <w:t>TI Employees Non-Qualified Pension Plan</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4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0"/>
              </w:rPr>
              <w:t>(4)</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667,115</w:t>
            </w:r>
          </w:p>
        </w:tc>
        <w:tc>
          <w:tcPr>
            <w:tcW w:w="4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0"/>
              </w:rPr>
              <w:t>(6)</w:t>
            </w:r>
          </w:p>
        </w:tc>
        <w:tc>
          <w:tcPr>
            <w:tcW w:w="146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00" w:type="dxa"/>
            <w:vAlign w:val="bottom"/>
          </w:tcPr>
          <w:p>
            <w:pPr>
              <w:ind w:left="540"/>
              <w:spacing w:after="0"/>
              <w:rPr>
                <w:sz w:val="20"/>
                <w:szCs w:val="20"/>
                <w:color w:val="auto"/>
              </w:rPr>
            </w:pPr>
            <w:r>
              <w:rPr>
                <w:rFonts w:ascii="Arial" w:cs="Arial" w:eastAsia="Arial" w:hAnsi="Arial"/>
                <w:sz w:val="18"/>
                <w:szCs w:val="18"/>
                <w:color w:val="auto"/>
              </w:rPr>
              <w:t>TI Employees Non-Qualified Pension Plan II</w:t>
            </w: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(5)</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10,465,884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(6)</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 G. Delagi</w:t>
            </w:r>
          </w:p>
        </w:tc>
        <w:tc>
          <w:tcPr>
            <w:tcW w:w="42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TI Employees Pension Plan</w:t>
            </w:r>
          </w:p>
        </w:tc>
        <w:tc>
          <w:tcPr>
            <w:tcW w:w="1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w w:val="90"/>
              </w:rPr>
              <w:t>(3)</w:t>
            </w:r>
          </w:p>
        </w:tc>
        <w:tc>
          <w:tcPr>
            <w:tcW w:w="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1,167,992</w:t>
            </w:r>
          </w:p>
        </w:tc>
        <w:tc>
          <w:tcPr>
            <w:tcW w:w="40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w w:val="90"/>
              </w:rPr>
              <w:t>(6)</w:t>
            </w:r>
          </w:p>
        </w:tc>
        <w:tc>
          <w:tcPr>
            <w:tcW w:w="1460" w:type="dxa"/>
            <w:vAlign w:val="bottom"/>
            <w:shd w:val="clear" w:color="auto" w:fill="CCEEFF"/>
          </w:tcPr>
          <w:p>
            <w:pPr>
              <w:jc w:val="right"/>
              <w:ind w:right="193"/>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4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TI Employees Non-Qualified Pension Plan</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0"/>
              </w:rPr>
              <w:t>(4)</w:t>
            </w:r>
          </w:p>
        </w:tc>
        <w:tc>
          <w:tcPr>
            <w:tcW w:w="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335,334</w:t>
            </w:r>
          </w:p>
        </w:tc>
        <w:tc>
          <w:tcPr>
            <w:tcW w:w="4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0"/>
              </w:rPr>
              <w:t>(6)</w:t>
            </w:r>
          </w:p>
        </w:tc>
        <w:tc>
          <w:tcPr>
            <w:tcW w:w="146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42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TI Employees Non-Qualified Pension Plan II</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90"/>
              </w:rPr>
              <w:t>(5)</w:t>
            </w:r>
          </w:p>
        </w:tc>
        <w:tc>
          <w:tcPr>
            <w:tcW w:w="3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6,021,538</w:t>
            </w:r>
          </w:p>
        </w:tc>
        <w:tc>
          <w:tcPr>
            <w:tcW w:w="40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90"/>
              </w:rPr>
              <w:t>(6)</w:t>
            </w:r>
          </w:p>
        </w:tc>
        <w:tc>
          <w:tcPr>
            <w:tcW w:w="1460" w:type="dxa"/>
            <w:vAlign w:val="bottom"/>
            <w:shd w:val="clear" w:color="auto" w:fill="CCEEFF"/>
          </w:tcPr>
          <w:p>
            <w:pPr>
              <w:jc w:val="right"/>
              <w:ind w:right="193"/>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40" w:right="280" w:hanging="436"/>
        <w:spacing w:after="0" w:line="246"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Lizardi does not participate in any of the company’s defined benefit pension plans because he joined TI after these plans were closed to new participants.</w:t>
      </w:r>
    </w:p>
    <w:p>
      <w:pPr>
        <w:sectPr>
          <w:pgSz w:w="11900" w:h="16838" w:orient="portrait"/>
          <w:cols w:equalWidth="0" w:num="1">
            <w:col w:w="11240"/>
          </w:cols>
          <w:pgMar w:left="240" w:top="459" w:right="419" w:bottom="1440" w:gutter="0" w:footer="0" w:header="0"/>
        </w:sectPr>
      </w:pPr>
    </w:p>
    <w:p>
      <w:pPr>
        <w:spacing w:after="0" w:line="124" w:lineRule="exact"/>
        <w:rPr>
          <w:sz w:val="20"/>
          <w:szCs w:val="20"/>
          <w:color w:val="auto"/>
        </w:rPr>
      </w:pPr>
    </w:p>
    <w:p>
      <w:pPr>
        <w:ind w:left="4120"/>
        <w:spacing w:after="0"/>
        <w:tabs>
          <w:tab w:leader="none" w:pos="5600" w:val="left"/>
          <w:tab w:leader="none" w:pos="5780" w:val="left"/>
          <w:tab w:leader="none" w:pos="11060" w:val="left"/>
        </w:tabs>
        <w:rPr>
          <w:sz w:val="20"/>
          <w:szCs w:val="20"/>
          <w:color w:val="auto"/>
        </w:rPr>
      </w:pPr>
      <w:r>
        <w:rPr>
          <w:rFonts w:ascii="Arial" w:cs="Arial" w:eastAsia="Arial" w:hAnsi="Arial"/>
          <w:sz w:val="13"/>
          <w:szCs w:val="13"/>
          <w:color w:val="666666"/>
        </w:rPr>
        <w:t>TEXAS INSTRUMENTS</w:t>
        <w:tab/>
        <w:t>•</w:t>
        <w:tab/>
        <w:t>2018 PROXY STATEMENT</w:t>
      </w:r>
      <w:r>
        <w:rPr>
          <w:sz w:val="20"/>
          <w:szCs w:val="20"/>
          <w:color w:val="auto"/>
        </w:rPr>
        <w:tab/>
      </w:r>
      <w:r>
        <w:rPr>
          <w:rFonts w:ascii="Arial" w:cs="Arial" w:eastAsia="Arial" w:hAnsi="Arial"/>
          <w:sz w:val="12"/>
          <w:szCs w:val="12"/>
          <w:color w:val="666666"/>
        </w:rPr>
        <w:t>35</w:t>
      </w:r>
    </w:p>
    <w:p>
      <w:pPr>
        <w:sectPr>
          <w:pgSz w:w="11900" w:h="16838" w:orient="portrait"/>
          <w:cols w:equalWidth="0" w:num="1">
            <w:col w:w="11240"/>
          </w:cols>
          <w:pgMar w:left="240" w:top="459" w:right="41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640" w:hanging="43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1997, TI’s U.S. employees were given the choice between continuing to participate in the defined benefit pension plans</w:t>
      </w:r>
    </w:p>
    <w:p>
      <w:pPr>
        <w:ind w:left="640" w:right="180"/>
        <w:spacing w:after="0" w:line="234" w:lineRule="auto"/>
        <w:rPr>
          <w:rFonts w:ascii="Arial" w:cs="Arial" w:eastAsia="Arial" w:hAnsi="Arial"/>
          <w:sz w:val="18"/>
          <w:szCs w:val="18"/>
          <w:color w:val="auto"/>
        </w:rPr>
      </w:pPr>
      <w:r>
        <w:rPr>
          <w:rFonts w:ascii="Arial" w:cs="Arial" w:eastAsia="Arial" w:hAnsi="Arial"/>
          <w:sz w:val="18"/>
          <w:szCs w:val="18"/>
          <w:color w:val="auto"/>
        </w:rPr>
        <w:t>or participating in a new enhanced defined contribution retirement plan. Messrs. Templeton and Crutcher chose to participate in the defined contribution plan. Accordingly, their accrued pension benefits under the qualified and non-qualified plans were frozen (i.e., they will experience no increase attributable to years of service or change in eligible earnings) as of December 31, 1997.</w:t>
      </w:r>
    </w:p>
    <w:p>
      <w:pPr>
        <w:spacing w:after="0" w:line="2" w:lineRule="exact"/>
        <w:rPr>
          <w:rFonts w:ascii="Arial" w:cs="Arial" w:eastAsia="Arial" w:hAnsi="Arial"/>
          <w:sz w:val="18"/>
          <w:szCs w:val="18"/>
          <w:color w:val="auto"/>
        </w:rPr>
      </w:pPr>
    </w:p>
    <w:p>
      <w:pPr>
        <w:ind w:left="640" w:right="480"/>
        <w:spacing w:after="0" w:line="246" w:lineRule="auto"/>
        <w:rPr>
          <w:rFonts w:ascii="Arial" w:cs="Arial" w:eastAsia="Arial" w:hAnsi="Arial"/>
          <w:sz w:val="18"/>
          <w:szCs w:val="18"/>
          <w:color w:val="auto"/>
        </w:rPr>
      </w:pPr>
      <w:r>
        <w:rPr>
          <w:rFonts w:ascii="Arial" w:cs="Arial" w:eastAsia="Arial" w:hAnsi="Arial"/>
          <w:sz w:val="18"/>
          <w:szCs w:val="18"/>
          <w:color w:val="auto"/>
        </w:rPr>
        <w:t>Contributions to the defined contribution plan for Mr. Templeton’s and Mr. Crutcher’s benefits are included in the 2017 summary compensation table.</w:t>
      </w:r>
    </w:p>
    <w:p>
      <w:pPr>
        <w:spacing w:after="0" w:line="102" w:lineRule="exact"/>
        <w:rPr>
          <w:rFonts w:ascii="Arial" w:cs="Arial" w:eastAsia="Arial" w:hAnsi="Arial"/>
          <w:sz w:val="18"/>
          <w:szCs w:val="18"/>
          <w:color w:val="auto"/>
        </w:rPr>
      </w:pPr>
    </w:p>
    <w:p>
      <w:pPr>
        <w:ind w:left="640" w:hanging="436"/>
        <w:spacing w:after="0" w:line="238"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each of the named executive officers, credited service began on the date the officer became eligible to participate in the plan. For Mr. Crutcher, eligibility to participate began on the first day of the month following completion of one year of employment. For each of the other named executive officers, eligibility to participate began on the earlier of 18 months of employment, or January 1 following the completion of one year of employment. Accordingly, each of the named executive officers has been employed by TI for longer than the years of credited service shown above.</w:t>
      </w:r>
    </w:p>
    <w:p>
      <w:pPr>
        <w:spacing w:after="0" w:line="108" w:lineRule="exact"/>
        <w:rPr>
          <w:rFonts w:ascii="Arial" w:cs="Arial" w:eastAsia="Arial" w:hAnsi="Arial"/>
          <w:sz w:val="18"/>
          <w:szCs w:val="18"/>
          <w:color w:val="auto"/>
        </w:rPr>
      </w:pPr>
    </w:p>
    <w:p>
      <w:pPr>
        <w:ind w:left="640" w:right="160" w:hanging="436"/>
        <w:spacing w:after="0" w:line="246"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 above and ceased at December 31, 2004.</w:t>
      </w:r>
    </w:p>
    <w:p>
      <w:pPr>
        <w:spacing w:after="0" w:line="102" w:lineRule="exact"/>
        <w:rPr>
          <w:rFonts w:ascii="Arial" w:cs="Arial" w:eastAsia="Arial" w:hAnsi="Arial"/>
          <w:sz w:val="18"/>
          <w:szCs w:val="18"/>
          <w:color w:val="auto"/>
        </w:rPr>
      </w:pPr>
    </w:p>
    <w:p>
      <w:pPr>
        <w:ind w:left="640" w:right="160" w:hanging="436"/>
        <w:spacing w:after="0" w:line="246"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 above.</w:t>
      </w:r>
    </w:p>
    <w:p>
      <w:pPr>
        <w:spacing w:after="0" w:line="102" w:lineRule="exact"/>
        <w:rPr>
          <w:rFonts w:ascii="Arial" w:cs="Arial" w:eastAsia="Arial" w:hAnsi="Arial"/>
          <w:sz w:val="18"/>
          <w:szCs w:val="18"/>
          <w:color w:val="auto"/>
        </w:rPr>
      </w:pPr>
    </w:p>
    <w:p>
      <w:pPr>
        <w:ind w:left="640" w:right="80" w:hanging="436"/>
        <w:spacing w:after="0" w:line="236"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TI for financial reporting purposes and are described in Note 10 to the financial statements contained in Item 8 in TI’s annual report on Form 10-K for the year ended December 31, 2017, except that a named executive officer’s retirement is assumed (in accordance with SEC rules) for purposes of this table to occur at age 65 and no assumption for termination prior to that date is used. The amount of the lump-sum benefit earned as of December 31, 2017, is determined using either (i) the Pension Benefit Guaranty Corporation (PBGC) interest assumption of 1.00 percent or (ii) the Pension Protection Act of 2006 (PPA) corporate bond yield interest assumption of 3.75 percent for the TI Employees Pension Plan and 3.77 percent for the TI Employees Non-Qualified Pension Plans, whichever rate produces the higher lump-sum amount. A discount rate assumption of 3.75 percent for the TI Employees Pension Plan and 3.77 percent for the non-qualified pension plans was used to determine the present value of each lump sum.</w:t>
      </w:r>
    </w:p>
    <w:p>
      <w:pPr>
        <w:spacing w:after="0" w:line="111" w:lineRule="exact"/>
        <w:rPr>
          <w:rFonts w:ascii="Arial" w:cs="Arial" w:eastAsia="Arial" w:hAnsi="Arial"/>
          <w:sz w:val="18"/>
          <w:szCs w:val="18"/>
          <w:color w:val="auto"/>
        </w:rPr>
      </w:pPr>
    </w:p>
    <w:p>
      <w:pPr>
        <w:ind w:left="640" w:right="300" w:hanging="43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March retired from the company on November 1, 2017. His TI Employees Non-Qualified Pension Plan II benefit will be paid to him on June 1, 2018, as required by Section 409A of the IRC. The benefit is calculated using the Plan’s assumptions in effect on December 1, 2017.</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TI Employees Pension Plan</w:t>
      </w:r>
    </w:p>
    <w:p>
      <w:pPr>
        <w:spacing w:after="0" w:line="212"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TI Employees Pension Plan is a qualified defined benefit pension plan. See “Benefits – Retirement plans” for a discussion of the origin and purpose of the plan. Employees who joined the U.S. payroll after November 30, 1997, are not eligible to participate in this plan.</w:t>
      </w:r>
    </w:p>
    <w:p>
      <w:pPr>
        <w:spacing w:after="0" w:line="197" w:lineRule="exact"/>
        <w:rPr>
          <w:sz w:val="20"/>
          <w:szCs w:val="20"/>
          <w:color w:val="auto"/>
        </w:rPr>
      </w:pPr>
    </w:p>
    <w:p>
      <w:pPr>
        <w:ind w:left="200" w:right="300"/>
        <w:spacing w:after="0"/>
        <w:rPr>
          <w:sz w:val="20"/>
          <w:szCs w:val="20"/>
          <w:color w:val="auto"/>
        </w:rPr>
      </w:pPr>
      <w:r>
        <w:rPr>
          <w:rFonts w:ascii="Arial" w:cs="Arial" w:eastAsia="Arial" w:hAnsi="Arial"/>
          <w:sz w:val="18"/>
          <w:szCs w:val="18"/>
          <w:color w:val="auto"/>
        </w:rPr>
        <w:t>A plan participant is eligible for normal retirement under the terms of the plan if he is at least 65 years of age with one year of credited service. A participant is eligible for early retirement if he is at least 55 years of age with 20 years of employment or 60 years of age with five years of employment. As of December 31, 2017, Mr. Templeton and Mr. Ritchie were eligible for early or normal retirement.</w:t>
      </w:r>
    </w:p>
    <w:p>
      <w:pPr>
        <w:spacing w:after="0" w:line="203" w:lineRule="exact"/>
        <w:rPr>
          <w:sz w:val="20"/>
          <w:szCs w:val="20"/>
          <w:color w:val="auto"/>
        </w:rPr>
      </w:pPr>
    </w:p>
    <w:p>
      <w:pPr>
        <w:ind w:left="200" w:right="420"/>
        <w:spacing w:after="0" w:line="248" w:lineRule="auto"/>
        <w:rPr>
          <w:sz w:val="20"/>
          <w:szCs w:val="20"/>
          <w:color w:val="auto"/>
        </w:rPr>
      </w:pPr>
      <w:r>
        <w:rPr>
          <w:rFonts w:ascii="Arial" w:cs="Arial" w:eastAsia="Arial" w:hAnsi="Arial"/>
          <w:sz w:val="17"/>
          <w:szCs w:val="17"/>
          <w:color w:val="auto"/>
        </w:rPr>
        <w:t>A participant may request payment of his accrued benefit at termination or any time thereafter. Participants may choose a lump-sum payment or one of six forms of annuity. In order of largest to smallest periodic payment, the forms of annuity are: (i) single life annuity,</w:t>
      </w:r>
    </w:p>
    <w:p>
      <w:pPr>
        <w:spacing w:after="0" w:line="1" w:lineRule="exact"/>
        <w:rPr>
          <w:sz w:val="20"/>
          <w:szCs w:val="20"/>
          <w:color w:val="auto"/>
        </w:rPr>
      </w:pPr>
    </w:p>
    <w:p>
      <w:pPr>
        <w:jc w:val="both"/>
        <w:ind w:left="200" w:right="320" w:firstLine="4"/>
        <w:spacing w:after="0" w:line="243" w:lineRule="auto"/>
        <w:tabs>
          <w:tab w:leader="none" w:pos="4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5-year certain and life annuity, (iii) 10-year certain and life annuity, (iv) joint and 50 percent survivor annuity, (v) joint and 75 percent survivor annuity, and (vi) joint and 100 percent survivor annuity. If the participant does not request payment, he will begin to receive his benefit in April of the year after he reaches the age of 70</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in the form of annuity required under the IRC.</w:t>
      </w:r>
    </w:p>
    <w:p>
      <w:pPr>
        <w:spacing w:after="0" w:line="195"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pension formula for the qualified plan is intended to provide a participant with an annual retirement benefit equal to 1.5 percent multiplied by the product of (i) years of credited service and (ii) the average of the five highest consecutive years of his base salary plus bonus up to a limit imposed by the IRS, less a percentage (based on his year of birth, when he elects to retire and his years of service with TI) of the amount of compensation on which his Social Security benefit is based.</w:t>
      </w:r>
    </w:p>
    <w:p>
      <w:pPr>
        <w:spacing w:after="0" w:line="202"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If an individual takes early retirement and chooses to begin receiving his annual retirement benefit at that time, such benefit is reduced by an early retirement factor. As a result, the annual benefit is lower than the one he would have received at age 65.</w:t>
      </w:r>
    </w:p>
    <w:p>
      <w:pPr>
        <w:spacing w:after="0" w:line="124"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If the participant’s employment terminates due to disability, the participant may choose to receive his accrued benefit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he not become disabled and disabled status.</w:t>
      </w:r>
    </w:p>
    <w:p>
      <w:pPr>
        <w:spacing w:after="0" w:line="202"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203" w:lineRule="exact"/>
        <w:rPr>
          <w:sz w:val="20"/>
          <w:szCs w:val="20"/>
          <w:color w:val="auto"/>
        </w:rPr>
      </w:pPr>
    </w:p>
    <w:p>
      <w:pPr>
        <w:ind w:left="200" w:right="160"/>
        <w:spacing w:after="0" w:line="246" w:lineRule="auto"/>
        <w:rPr>
          <w:sz w:val="20"/>
          <w:szCs w:val="20"/>
          <w:color w:val="auto"/>
        </w:rPr>
      </w:pPr>
      <w:r>
        <w:rPr>
          <w:rFonts w:ascii="Arial" w:cs="Arial" w:eastAsia="Arial" w:hAnsi="Arial"/>
          <w:sz w:val="18"/>
          <w:szCs w:val="18"/>
          <w:color w:val="auto"/>
        </w:rPr>
        <w:t>Leaves of absence, including a bridge to retirement, are credited to years of service under the qualified pension plan. See the discussion of leaves of absence under “Potential payments upon termination or change in control – Termination – Perquisites.”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TI employees non-qualified pension plans</w:t>
      </w:r>
    </w:p>
    <w:p>
      <w:pPr>
        <w:spacing w:after="0" w:line="212"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See “Benefits – Retirement plans”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(see above). Benefits are paid in a lump sum.</w:t>
      </w:r>
    </w:p>
    <w:p>
      <w:pPr>
        <w:spacing w:after="0" w:line="20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205"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lump-sum distribution payment under Plan II before the first day of the seventh month following termination of employment.</w:t>
      </w:r>
    </w:p>
    <w:p>
      <w:pPr>
        <w:spacing w:after="0" w:line="202" w:lineRule="exact"/>
        <w:rPr>
          <w:sz w:val="20"/>
          <w:szCs w:val="20"/>
          <w:color w:val="auto"/>
        </w:rPr>
      </w:pPr>
    </w:p>
    <w:p>
      <w:pPr>
        <w:jc w:val="both"/>
        <w:ind w:left="200" w:right="340"/>
        <w:spacing w:after="0"/>
        <w:rPr>
          <w:sz w:val="20"/>
          <w:szCs w:val="20"/>
          <w:color w:val="auto"/>
        </w:rPr>
      </w:pPr>
      <w:r>
        <w:rPr>
          <w:rFonts w:ascii="Arial" w:cs="Arial" w:eastAsia="Arial" w:hAnsi="Arial"/>
          <w:sz w:val="18"/>
          <w:szCs w:val="18"/>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203" w:lineRule="exact"/>
        <w:rPr>
          <w:sz w:val="20"/>
          <w:szCs w:val="20"/>
          <w:color w:val="auto"/>
        </w:rPr>
      </w:pPr>
    </w:p>
    <w:p>
      <w:pPr>
        <w:jc w:val="both"/>
        <w:ind w:left="200" w:right="100"/>
        <w:spacing w:after="0" w:line="246" w:lineRule="auto"/>
        <w:rPr>
          <w:sz w:val="20"/>
          <w:szCs w:val="20"/>
          <w:color w:val="auto"/>
        </w:rPr>
      </w:pPr>
      <w:r>
        <w:rPr>
          <w:rFonts w:ascii="Arial" w:cs="Arial" w:eastAsia="Arial" w:hAnsi="Arial"/>
          <w:sz w:val="18"/>
          <w:szCs w:val="18"/>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97"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the pre-2010 definition of a change in control (see the discussion following the Outstanding equity awards at fiscal year-end 2017 table) applies.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205" w:lineRule="exact"/>
        <w:rPr>
          <w:sz w:val="20"/>
          <w:szCs w:val="20"/>
          <w:color w:val="auto"/>
        </w:rPr>
      </w:pPr>
    </w:p>
    <w:p>
      <w:pPr>
        <w:ind w:left="200" w:right="800"/>
        <w:spacing w:after="0" w:line="246" w:lineRule="auto"/>
        <w:rPr>
          <w:sz w:val="20"/>
          <w:szCs w:val="20"/>
          <w:color w:val="auto"/>
        </w:rPr>
      </w:pPr>
      <w:r>
        <w:rPr>
          <w:rFonts w:ascii="Arial" w:cs="Arial" w:eastAsia="Arial" w:hAnsi="Arial"/>
          <w:sz w:val="18"/>
          <w:szCs w:val="18"/>
          <w:color w:val="auto"/>
        </w:rPr>
        <w:t>Leaves of absence, including a bridge to retirement, are credited to years of service under the non-qualified pension plans. For a discussion of leaves of absence, see “Potential payments upon termination or change in control – Termination – Perquisites.”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TI Employees Survivor Benefit Plan</w:t>
      </w:r>
    </w:p>
    <w:p>
      <w:pPr>
        <w:spacing w:after="0" w:line="212"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TI’s qualified and non-qualified pension plans provide that upon the death of a retirement-eligible employee, the employee’s beneficiary receives a payment equal to half of the benefit to which the employee would have been entitled under the pension plans had he retired instead of died. We have a survivor benefit plan that pays the beneficiary a lump sum that, when added to the reduced amounts the beneficiary receives under the pension plans, equals the benefit the employee would have been entitled to receive had he retired instead of died. Because Messrs. Templeton and Ritchie were eligible for early retirement in 2017, their beneficiaries would be eligible for benefits under the survivor benefit plan if they were to die.</w:t>
      </w:r>
    </w:p>
    <w:p>
      <w:pPr>
        <w:spacing w:after="0" w:line="133"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37</w:t>
            </w:r>
          </w:p>
        </w:tc>
      </w:tr>
    </w:tbl>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2017 non-qualified deferred compensation</w:t>
      </w:r>
    </w:p>
    <w:p>
      <w:pPr>
        <w:spacing w:after="0" w:line="205"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The following table shows contributions to each named executive officer’s deferred compensation account in 2017 and the aggregate amount of his deferred compensation as of December 31, 2017.</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353"/>
              <w:spacing w:after="0"/>
              <w:rPr>
                <w:sz w:val="20"/>
                <w:szCs w:val="20"/>
                <w:color w:val="auto"/>
              </w:rPr>
            </w:pPr>
            <w:r>
              <w:rPr>
                <w:rFonts w:ascii="Arial" w:cs="Arial" w:eastAsia="Arial" w:hAnsi="Arial"/>
                <w:sz w:val="14"/>
                <w:szCs w:val="14"/>
                <w:b w:val="1"/>
                <w:bCs w:val="1"/>
                <w:color w:val="auto"/>
              </w:rPr>
              <w:t>Executive</w:t>
            </w:r>
          </w:p>
        </w:tc>
        <w:tc>
          <w:tcPr>
            <w:tcW w:w="360" w:type="dxa"/>
            <w:vAlign w:val="bottom"/>
          </w:tcPr>
          <w:p>
            <w:pPr>
              <w:spacing w:after="0"/>
              <w:rPr>
                <w:sz w:val="14"/>
                <w:szCs w:val="14"/>
                <w:color w:val="auto"/>
              </w:rPr>
            </w:pPr>
          </w:p>
        </w:tc>
        <w:tc>
          <w:tcPr>
            <w:tcW w:w="1180" w:type="dxa"/>
            <w:vAlign w:val="bottom"/>
          </w:tcPr>
          <w:p>
            <w:pPr>
              <w:jc w:val="right"/>
              <w:ind w:right="333"/>
              <w:spacing w:after="0"/>
              <w:rPr>
                <w:sz w:val="20"/>
                <w:szCs w:val="20"/>
                <w:color w:val="auto"/>
              </w:rPr>
            </w:pPr>
            <w:r>
              <w:rPr>
                <w:rFonts w:ascii="Arial" w:cs="Arial" w:eastAsia="Arial" w:hAnsi="Arial"/>
                <w:sz w:val="14"/>
                <w:szCs w:val="14"/>
                <w:b w:val="1"/>
                <w:bCs w:val="1"/>
                <w:color w:val="auto"/>
              </w:rPr>
              <w:t>Registrant</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rPr>
              <w:t>Aggregate</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b w:val="1"/>
                <w:bCs w:val="1"/>
                <w:color w:val="auto"/>
              </w:rPr>
              <w:t>Aggregate</w:t>
            </w:r>
          </w:p>
        </w:tc>
        <w:tc>
          <w:tcPr>
            <w:tcW w:w="3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Contributions</w:t>
            </w:r>
          </w:p>
        </w:tc>
        <w:tc>
          <w:tcPr>
            <w:tcW w:w="154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Contributions</w:t>
            </w: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Aggregate Earnings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rPr>
              <w:t>Withdrawals/</w:t>
            </w:r>
          </w:p>
        </w:tc>
        <w:tc>
          <w:tcPr>
            <w:tcW w:w="3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 at Last</w:t>
            </w:r>
          </w:p>
        </w:tc>
        <w:tc>
          <w:tcPr>
            <w:tcW w:w="320" w:type="dxa"/>
            <w:vAlign w:val="bottom"/>
          </w:tcPr>
          <w:p>
            <w:pPr>
              <w:spacing w:after="0"/>
              <w:rPr>
                <w:sz w:val="14"/>
                <w:szCs w:val="14"/>
                <w:color w:val="auto"/>
              </w:rPr>
            </w:pPr>
          </w:p>
        </w:tc>
      </w:tr>
      <w:tr>
        <w:trPr>
          <w:trHeight w:val="189"/>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gridSpan w:val="2"/>
          </w:tcPr>
          <w:p>
            <w:pPr>
              <w:ind w:left="860"/>
              <w:spacing w:after="0"/>
              <w:rPr>
                <w:sz w:val="20"/>
                <w:szCs w:val="20"/>
                <w:color w:val="auto"/>
              </w:rPr>
            </w:pPr>
            <w:r>
              <w:rPr>
                <w:rFonts w:ascii="Arial" w:cs="Arial" w:eastAsia="Arial" w:hAnsi="Arial"/>
                <w:sz w:val="14"/>
                <w:szCs w:val="14"/>
                <w:b w:val="1"/>
                <w:bCs w:val="1"/>
                <w:color w:val="auto"/>
              </w:rPr>
              <w:t>in Last FY ($) (1)</w:t>
            </w: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Last FY ($) (2)</w:t>
            </w:r>
          </w:p>
        </w:tc>
        <w:tc>
          <w:tcPr>
            <w:tcW w:w="38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b w:val="1"/>
                <w:bCs w:val="1"/>
                <w:color w:val="auto"/>
              </w:rPr>
              <w:t>in Last FY ($)</w:t>
            </w:r>
          </w:p>
        </w:tc>
        <w:tc>
          <w:tcPr>
            <w:tcW w:w="400" w:type="dxa"/>
            <w:vAlign w:val="bottom"/>
          </w:tcPr>
          <w:p>
            <w:pPr>
              <w:spacing w:after="0"/>
              <w:rPr>
                <w:sz w:val="16"/>
                <w:szCs w:val="16"/>
                <w:color w:val="auto"/>
              </w:rPr>
            </w:pPr>
          </w:p>
        </w:tc>
        <w:tc>
          <w:tcPr>
            <w:tcW w:w="128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rPr>
              <w:t>Distributions ($)</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b w:val="1"/>
                <w:bCs w:val="1"/>
                <w:color w:val="auto"/>
              </w:rPr>
              <w:t>FYE ($) (5)</w:t>
            </w:r>
          </w:p>
        </w:tc>
        <w:tc>
          <w:tcPr>
            <w:tcW w:w="3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 K. Templeton</w:t>
            </w:r>
          </w:p>
        </w:tc>
        <w:tc>
          <w:tcPr>
            <w:tcW w:w="1020" w:type="dxa"/>
            <w:vAlign w:val="bottom"/>
            <w:tcBorders>
              <w:top w:val="single" w:sz="8" w:color="auto"/>
            </w:tcBorders>
            <w:shd w:val="clear" w:color="auto" w:fill="CCEEFF"/>
          </w:tcPr>
          <w:p>
            <w:pPr>
              <w:ind w:left="86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173,640</w:t>
            </w:r>
          </w:p>
        </w:tc>
        <w:tc>
          <w:tcPr>
            <w:tcW w:w="360" w:type="dxa"/>
            <w:vAlign w:val="bottom"/>
            <w:tcBorders>
              <w:top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261,352</w:t>
            </w:r>
          </w:p>
        </w:tc>
        <w:tc>
          <w:tcPr>
            <w:tcW w:w="380" w:type="dxa"/>
            <w:vAlign w:val="bottom"/>
            <w:tcBorders>
              <w:top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4,211,140</w:t>
            </w:r>
          </w:p>
        </w:tc>
        <w:tc>
          <w:tcPr>
            <w:tcW w:w="40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(3)</w:t>
            </w:r>
          </w:p>
        </w:tc>
        <w:tc>
          <w:tcPr>
            <w:tcW w:w="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254,400</w:t>
            </w:r>
          </w:p>
        </w:tc>
        <w:tc>
          <w:tcPr>
            <w:tcW w:w="36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(4)</w:t>
            </w:r>
          </w:p>
        </w:tc>
        <w:tc>
          <w:tcPr>
            <w:tcW w:w="240" w:type="dxa"/>
            <w:vAlign w:val="bottom"/>
            <w:tcBorders>
              <w:top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14,576,748</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3"/>
        </w:trPr>
        <w:tc>
          <w:tcPr>
            <w:tcW w:w="20" w:type="dxa"/>
            <w:vAlign w:val="bottom"/>
          </w:tcPr>
          <w:p>
            <w:pPr>
              <w:spacing w:after="0"/>
              <w:rPr>
                <w:sz w:val="17"/>
                <w:szCs w:val="17"/>
                <w:color w:val="auto"/>
              </w:rPr>
            </w:pPr>
          </w:p>
        </w:tc>
        <w:tc>
          <w:tcPr>
            <w:tcW w:w="2100" w:type="dxa"/>
            <w:vAlign w:val="bottom"/>
          </w:tcPr>
          <w:p>
            <w:pPr>
              <w:spacing w:after="0" w:line="202" w:lineRule="exact"/>
              <w:rPr>
                <w:sz w:val="20"/>
                <w:szCs w:val="20"/>
                <w:color w:val="auto"/>
              </w:rPr>
            </w:pPr>
            <w:r>
              <w:rPr>
                <w:rFonts w:ascii="Arial" w:cs="Arial" w:eastAsia="Arial" w:hAnsi="Arial"/>
                <w:sz w:val="18"/>
                <w:szCs w:val="18"/>
                <w:color w:val="auto"/>
              </w:rPr>
              <w:t>R. R. Lizardi</w:t>
            </w:r>
          </w:p>
        </w:tc>
        <w:tc>
          <w:tcPr>
            <w:tcW w:w="102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48,833</w:t>
            </w:r>
          </w:p>
        </w:tc>
        <w:tc>
          <w:tcPr>
            <w:tcW w:w="3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34,120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60,827</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368,475</w:t>
            </w:r>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P. March</w:t>
            </w:r>
          </w:p>
        </w:tc>
        <w:tc>
          <w:tcPr>
            <w:tcW w:w="10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100" w:type="dxa"/>
            <w:vAlign w:val="bottom"/>
          </w:tcPr>
          <w:p>
            <w:pPr>
              <w:spacing w:after="0" w:line="202" w:lineRule="exact"/>
              <w:rPr>
                <w:sz w:val="20"/>
                <w:szCs w:val="20"/>
                <w:color w:val="auto"/>
              </w:rPr>
            </w:pPr>
            <w:r>
              <w:rPr>
                <w:rFonts w:ascii="Arial" w:cs="Arial" w:eastAsia="Arial" w:hAnsi="Arial"/>
                <w:sz w:val="18"/>
                <w:szCs w:val="18"/>
                <w:color w:val="auto"/>
              </w:rPr>
              <w:t>B. T. Crutcher</w:t>
            </w:r>
          </w:p>
        </w:tc>
        <w:tc>
          <w:tcPr>
            <w:tcW w:w="1020" w:type="dxa"/>
            <w:vAlign w:val="bottom"/>
          </w:tcPr>
          <w:p>
            <w:pPr>
              <w:ind w:left="8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120,000</w:t>
            </w:r>
          </w:p>
        </w:tc>
        <w:tc>
          <w:tcPr>
            <w:tcW w:w="3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144,604</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225,479</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1,932,834</w:t>
            </w:r>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J. Ritchie</w:t>
            </w:r>
          </w:p>
        </w:tc>
        <w:tc>
          <w:tcPr>
            <w:tcW w:w="10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R. G. Delagi</w:t>
            </w:r>
          </w:p>
        </w:tc>
        <w:tc>
          <w:tcPr>
            <w:tcW w:w="1020" w:type="dxa"/>
            <w:vAlign w:val="bottom"/>
          </w:tcPr>
          <w:p>
            <w:pPr>
              <w:spacing w:after="0"/>
              <w:rPr>
                <w:sz w:val="18"/>
                <w:szCs w:val="18"/>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r>
    </w:tbl>
    <w:p>
      <w:pPr>
        <w:spacing w:after="0" w:line="106" w:lineRule="exact"/>
        <w:rPr>
          <w:sz w:val="20"/>
          <w:szCs w:val="20"/>
          <w:color w:val="auto"/>
        </w:rPr>
      </w:pPr>
    </w:p>
    <w:p>
      <w:pPr>
        <w:ind w:left="640" w:right="300" w:hanging="436"/>
        <w:spacing w:after="0" w:line="246"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 shown for Mr. Templeton includes a portion of his salary and bonus paid in 2017; for Mr. Crutcher includes a portion of his salary and bonus paid in 2017; and for Mr. Lizardi includes a portion of his salary paid in 2017.</w:t>
      </w:r>
    </w:p>
    <w:p>
      <w:pPr>
        <w:spacing w:after="0" w:line="102" w:lineRule="exact"/>
        <w:rPr>
          <w:rFonts w:ascii="Arial" w:cs="Arial" w:eastAsia="Arial" w:hAnsi="Arial"/>
          <w:sz w:val="18"/>
          <w:szCs w:val="18"/>
          <w:color w:val="auto"/>
        </w:rPr>
      </w:pPr>
    </w:p>
    <w:p>
      <w:pPr>
        <w:ind w:left="640" w:right="1100" w:hanging="436"/>
        <w:spacing w:after="0" w:line="246"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Company matching contributions pursuant to the defined contribution plan. These amounts are included in the All Other Compensation column of the 2017 summary compensation table.</w:t>
      </w:r>
    </w:p>
    <w:p>
      <w:pPr>
        <w:spacing w:after="0" w:line="102" w:lineRule="exact"/>
        <w:rPr>
          <w:rFonts w:ascii="Arial" w:cs="Arial" w:eastAsia="Arial" w:hAnsi="Arial"/>
          <w:sz w:val="18"/>
          <w:szCs w:val="18"/>
          <w:color w:val="auto"/>
        </w:rPr>
      </w:pPr>
    </w:p>
    <w:p>
      <w:pPr>
        <w:ind w:left="640" w:right="40" w:hanging="436"/>
        <w:spacing w:after="0" w:line="234"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(a) $254,400 in dividend equivalents paid under the 120,000-share 1995 RSU award previously discussed, settlement of which has been deferred until after termination of employment; (b) a $3,776,400 increase in the value of the RSU award (calculated by subtracting the value of the award at year-end 2016 from the value of the award at year-end 2017 (in both cases, the number of RSUs is multiplied by the closing price of TI common stock on the last trading date of the year)); and (c) a $180,340 gain in</w:t>
      </w:r>
    </w:p>
    <w:p>
      <w:pPr>
        <w:spacing w:after="0" w:line="3" w:lineRule="exact"/>
        <w:rPr>
          <w:rFonts w:ascii="Arial" w:cs="Arial" w:eastAsia="Arial" w:hAnsi="Arial"/>
          <w:sz w:val="18"/>
          <w:szCs w:val="18"/>
          <w:color w:val="auto"/>
        </w:rPr>
      </w:pPr>
    </w:p>
    <w:p>
      <w:pPr>
        <w:ind w:left="640" w:right="80"/>
        <w:spacing w:after="0" w:line="246" w:lineRule="auto"/>
        <w:rPr>
          <w:rFonts w:ascii="Arial" w:cs="Arial" w:eastAsia="Arial" w:hAnsi="Arial"/>
          <w:sz w:val="18"/>
          <w:szCs w:val="18"/>
          <w:color w:val="auto"/>
        </w:rPr>
      </w:pPr>
      <w:r>
        <w:rPr>
          <w:rFonts w:ascii="Arial" w:cs="Arial" w:eastAsia="Arial" w:hAnsi="Arial"/>
          <w:sz w:val="18"/>
          <w:szCs w:val="18"/>
          <w:color w:val="auto"/>
        </w:rPr>
        <w:t>Mr. Templeton’s deferred compensation account in 2017. Dividend equivalents are paid at the same rate as dividends on TI common stock.</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dividend equivalents paid on the RSU award discussed in note 3.</w:t>
      </w:r>
    </w:p>
    <w:p>
      <w:pPr>
        <w:spacing w:after="0" w:line="117" w:lineRule="exact"/>
        <w:rPr>
          <w:rFonts w:ascii="Arial" w:cs="Arial" w:eastAsia="Arial" w:hAnsi="Arial"/>
          <w:sz w:val="18"/>
          <w:szCs w:val="18"/>
          <w:color w:val="auto"/>
        </w:rPr>
      </w:pPr>
    </w:p>
    <w:p>
      <w:pPr>
        <w:ind w:left="640" w:right="600" w:hanging="43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amounts contributed by a named executive officer and by the company in prior years have been reported in the Summary Compensation Table in previously filed proxy statements in the year earned to the extent he was a named executive officer for purposes of the SEC’s executive compensation disclosure.</w:t>
      </w:r>
    </w:p>
    <w:p>
      <w:pPr>
        <w:spacing w:after="0" w:line="108" w:lineRule="exact"/>
        <w:rPr>
          <w:rFonts w:ascii="Arial" w:cs="Arial" w:eastAsia="Arial" w:hAnsi="Arial"/>
          <w:sz w:val="18"/>
          <w:szCs w:val="18"/>
          <w:color w:val="auto"/>
        </w:rPr>
      </w:pPr>
    </w:p>
    <w:p>
      <w:pPr>
        <w:ind w:left="640" w:right="120" w:hanging="436"/>
        <w:spacing w:after="0" w:line="246"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this amount, $12,532,800 is attributable to Mr. Templeton’s 1995 RSU award, calculated as described in note 3. The remainder is the balance of his deferred compensation account.</w:t>
      </w:r>
    </w:p>
    <w:p>
      <w:pPr>
        <w:spacing w:after="0" w:line="197" w:lineRule="exact"/>
        <w:rPr>
          <w:sz w:val="20"/>
          <w:szCs w:val="20"/>
          <w:color w:val="auto"/>
        </w:rPr>
      </w:pPr>
    </w:p>
    <w:p>
      <w:pPr>
        <w:ind w:left="200" w:right="380"/>
        <w:spacing w:after="0" w:line="248" w:lineRule="auto"/>
        <w:rPr>
          <w:sz w:val="20"/>
          <w:szCs w:val="20"/>
          <w:color w:val="auto"/>
        </w:rPr>
      </w:pPr>
      <w:r>
        <w:rPr>
          <w:rFonts w:ascii="Arial" w:cs="Arial" w:eastAsia="Arial" w:hAnsi="Arial"/>
          <w:sz w:val="17"/>
          <w:szCs w:val="17"/>
          <w:color w:val="auto"/>
        </w:rPr>
        <w:t>See “Benefits – Retirement plans” for a discussion of the purpose of the plan. An employee’s deferred compensation account contains eligible compensation the employee has elected to defer and contributions by the company that are in excess of the IRS limits on</w:t>
      </w:r>
    </w:p>
    <w:p>
      <w:pPr>
        <w:spacing w:after="0" w:line="1" w:lineRule="exact"/>
        <w:rPr>
          <w:sz w:val="20"/>
          <w:szCs w:val="20"/>
          <w:color w:val="auto"/>
        </w:rPr>
      </w:pPr>
    </w:p>
    <w:p>
      <w:pPr>
        <w:ind w:left="200" w:right="80" w:firstLine="4"/>
        <w:spacing w:after="0" w:line="246" w:lineRule="auto"/>
        <w:tabs>
          <w:tab w:leader="none" w:pos="4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contributions the company may make to the enhanced defined contribution plan and (ii) matching contributions the company may make related to compensation the executive officer deferred into his deferred compensation account.</w:t>
      </w:r>
    </w:p>
    <w:p>
      <w:pPr>
        <w:spacing w:after="0" w:line="197"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Participants in the deferred compensation plan may choose to defer up to (i) 25 percent of their base salary, (ii) 90 percent of their performance bonus, and (iii) 90 percent of profit sharing. Elections to defer compensation must be made in the calendar year prior to the year in which the compensation will be earned.</w:t>
      </w:r>
    </w:p>
    <w:p>
      <w:pPr>
        <w:spacing w:after="0" w:line="20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During 2017, participants could choose to have their deferred compensation mirror the performance of one or more of the following mutual funds, each of which is managed by a third party (these alternatives, which may be changed at any time, are the same as those offered to participants in the defined contribution plans): BlackRock MSCI ACWI ex-U.S. IMI Index Non-Lendable Fund F and BlackRock MSCI ACWI ex-U.S. IMI Index 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Fidelity Puritan Fund, BlackRock Equity Index Fund F, BlackRock (EAFE) (Europe, Australia, Far East) Equity Index Fund F, BlackRock Lifepath Index 2020 Fund F, BlackRock Lifepath Index 2030 Fund F, BlackRock Lifepath Index 2040 Fund F, BlackRock Lifepath Index 2050 Fund F and BlackRock Lifepath Index Retirement Fund F. From among the available investment alternatives, participants may change their instructions relating to their deferred compensation daily.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205"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A participant may request distribution from the plan in the case of an unforeseeable emergency. To obtain an unforeseeable emergency withdrawal, a participant must meet the requirements of Section 409A of the IRC. Otherwise, a participant’s balance is paid pursuant to his distribution election and is subject to applicable IRC limitations.</w:t>
      </w:r>
    </w:p>
    <w:p>
      <w:pPr>
        <w:spacing w:after="0" w:line="130"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38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203" w:lineRule="exact"/>
        <w:rPr>
          <w:sz w:val="20"/>
          <w:szCs w:val="20"/>
          <w:color w:val="auto"/>
        </w:rPr>
      </w:pPr>
    </w:p>
    <w:p>
      <w:pPr>
        <w:jc w:val="both"/>
        <w:ind w:left="200" w:right="280"/>
        <w:spacing w:after="0"/>
        <w:rPr>
          <w:sz w:val="20"/>
          <w:szCs w:val="20"/>
          <w:color w:val="auto"/>
        </w:rPr>
      </w:pPr>
      <w:r>
        <w:rPr>
          <w:rFonts w:ascii="Arial" w:cs="Arial" w:eastAsia="Arial" w:hAnsi="Arial"/>
          <w:sz w:val="18"/>
          <w:szCs w:val="18"/>
          <w:color w:val="auto"/>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20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Potential payments upon termination or change in control</w:t>
      </w:r>
    </w:p>
    <w:p>
      <w:pPr>
        <w:spacing w:after="0" w:line="205" w:lineRule="exact"/>
        <w:rPr>
          <w:sz w:val="20"/>
          <w:szCs w:val="20"/>
          <w:color w:val="auto"/>
        </w:rPr>
      </w:pPr>
    </w:p>
    <w:p>
      <w:pPr>
        <w:ind w:left="200" w:right="120"/>
        <w:spacing w:after="0" w:line="255" w:lineRule="auto"/>
        <w:rPr>
          <w:sz w:val="20"/>
          <w:szCs w:val="20"/>
          <w:color w:val="auto"/>
        </w:rPr>
      </w:pPr>
      <w:r>
        <w:rPr>
          <w:rFonts w:ascii="Arial" w:cs="Arial" w:eastAsia="Arial" w:hAnsi="Arial"/>
          <w:sz w:val="17"/>
          <w:szCs w:val="17"/>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 programs on the compensation decisions for 2017, see “Analysis of compensation determinations for 2017 – Total compensation” and “Compensation following employment termination or change in control.”</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Termination</w:t>
      </w:r>
    </w:p>
    <w:p>
      <w:pPr>
        <w:spacing w:after="0" w:line="212"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The following programs may result in payments to a named executive officer whose employment terminates. Most of these programs have been discussed above.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Bonus</w:t>
      </w:r>
    </w:p>
    <w:p>
      <w:pPr>
        <w:spacing w:after="0" w:line="122"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Qualified and non-qualified defined benefit pension plans</w:t>
      </w:r>
    </w:p>
    <w:p>
      <w:pPr>
        <w:spacing w:after="0" w:line="122"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The purposes of these plans are described under “Benefits – Retirement plans.” The formula for determining benefits, the forms of benefit and the timing of payments are described under “2017 pension benefits.” The amounts disbursed under the qualified and non-qualified plans are paid, respectively, by the TI Employees Pension Trust and the company.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Survivor benefit plan</w:t>
      </w:r>
    </w:p>
    <w:p>
      <w:pPr>
        <w:spacing w:after="0" w:line="122" w:lineRule="exact"/>
        <w:rPr>
          <w:sz w:val="20"/>
          <w:szCs w:val="20"/>
          <w:color w:val="auto"/>
        </w:rPr>
      </w:pPr>
    </w:p>
    <w:p>
      <w:pPr>
        <w:jc w:val="both"/>
        <w:ind w:left="200" w:right="100"/>
        <w:spacing w:after="0"/>
        <w:rPr>
          <w:sz w:val="20"/>
          <w:szCs w:val="20"/>
          <w:color w:val="auto"/>
        </w:rPr>
      </w:pPr>
      <w:r>
        <w:rPr>
          <w:rFonts w:ascii="Arial" w:cs="Arial" w:eastAsia="Arial" w:hAnsi="Arial"/>
          <w:sz w:val="18"/>
          <w:szCs w:val="18"/>
          <w:color w:val="auto"/>
        </w:rPr>
        <w:t>The purpose of this plan, along with the formula for determining the amount of benefit, the form of benefit and the timing of payments, are described under “2017 pension benefits – TI Employees Survivor Benefit Plan.” Amounts distributed are paid by the TI Employees Health Benefit Trust.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compensation plan</w:t>
      </w:r>
    </w:p>
    <w:p>
      <w:pPr>
        <w:spacing w:after="0" w:line="122"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purpose of this plan is described under “Benefits – Deferred Compensation.” The amounts payable under this program depend solely on the performance of investments that the participant has chosen for his plan balance. The timing of payments is discussed under “2017 non-qualified deferred compensation” and except in the case of death, payments are made according to the participant’s distribution election. Amounts distributed are paid by the company.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compensation</w:t>
      </w:r>
    </w:p>
    <w:p>
      <w:pPr>
        <w:spacing w:after="0" w:line="122"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2017 table. RSU awards include a right to receive dividend equivalents. The dividend equivalents are paid annually by the company in a single cash payment after the last dividend payment of the year.</w:t>
      </w:r>
    </w:p>
    <w:p>
      <w:pPr>
        <w:spacing w:after="0" w:line="12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39</w:t>
            </w:r>
          </w:p>
        </w:tc>
      </w:tr>
    </w:tbl>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Perquisites</w:t>
      </w:r>
    </w:p>
    <w:p>
      <w:pPr>
        <w:spacing w:after="0" w:line="122"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Financial counseling is provided to executive officers for a transition period following retirement. Otherwise, no perquisites continue after termination of employment.</w:t>
      </w:r>
    </w:p>
    <w:p>
      <w:pPr>
        <w:spacing w:after="0" w:line="197"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In the case of a resignation pursuant to a separation arrangement, an executive officer (like other employees above a certain job 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RSUs will continue to vest. Amounts paid to an individual during a paid leave of absence are not counted when calculating benefits under the qualified and non-qualified pension plans.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case of a separation arrangement in which the executive officer will be at least 50 years old and have at least 15 years</w:t>
      </w:r>
    </w:p>
    <w:p>
      <w:pPr>
        <w:ind w:left="200" w:right="180"/>
        <w:spacing w:after="0" w:line="238" w:lineRule="auto"/>
        <w:rPr>
          <w:sz w:val="20"/>
          <w:szCs w:val="20"/>
          <w:color w:val="auto"/>
        </w:rPr>
      </w:pPr>
      <w:r>
        <w:rPr>
          <w:rFonts w:ascii="Arial" w:cs="Arial" w:eastAsia="Arial" w:hAnsi="Arial"/>
          <w:sz w:val="18"/>
          <w:szCs w:val="18"/>
          <w:color w:val="auto"/>
        </w:rPr>
        <w:t>of employment with the company on his or her last day of active employment before beginning the paid leave of absence, the separation arrangement will typically include an unpaid leave of absence, to commence at the end of the paid leave and end when the executive officer has reached age 55 (bridge to retirement). During the bridge to retirement, years of service will continue to accrue under the qualified and non-qualified pension plans described above. Stock options will continue to become exercisable and RSUs will remain in effect.</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Change in control</w:t>
      </w:r>
    </w:p>
    <w:p>
      <w:pPr>
        <w:spacing w:after="0" w:line="212"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Our only program, plan or arrangement providing benefits triggered by a change in control is the TI Employees Non-Qualified Pension Plan. A change in control at December 31, 2017, would have accelerated payment of the balance under that plan. See “2017 pension benefits – TI employees non-qualified pension plans” for a discussion of the purpose of change in control provisions of that plan as well as the circumstances and the timing of payment.</w:t>
      </w:r>
    </w:p>
    <w:p>
      <w:pPr>
        <w:spacing w:after="0" w:line="20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See the discussion following the Outstanding equity awards at fiscal year-end 2017 table for further information concerning change in control provisions relating to stock options and RSUs.</w:t>
      </w:r>
    </w:p>
    <w:p>
      <w:pPr>
        <w:spacing w:after="0" w:line="12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shows the potential payments upon termination or change in control for each of the named executive officers.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Resignation;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Involuntary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rPr>
              <w:t>(not for</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Form of Compensation</w:t>
            </w:r>
          </w:p>
        </w:tc>
        <w:tc>
          <w:tcPr>
            <w:tcW w:w="1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Disability</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Death</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for Cause</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rPr>
              <w:t>Cause)</w:t>
            </w:r>
          </w:p>
        </w:tc>
        <w:tc>
          <w:tcPr>
            <w:tcW w:w="340" w:type="dxa"/>
            <w:vAlign w:val="bottom"/>
          </w:tcPr>
          <w:p>
            <w:pPr>
              <w:spacing w:after="0"/>
              <w:rPr>
                <w:sz w:val="16"/>
                <w:szCs w:val="16"/>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Retirement</w:t>
            </w:r>
          </w:p>
        </w:tc>
        <w:tc>
          <w:tcPr>
            <w:tcW w:w="340" w:type="dxa"/>
            <w:vAlign w:val="bottom"/>
          </w:tcPr>
          <w:p>
            <w:pPr>
              <w:spacing w:after="0"/>
              <w:rPr>
                <w:sz w:val="16"/>
                <w:szCs w:val="16"/>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in Control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 K. Templeton (1)</w:t>
            </w: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Qualified Defined Benefit Pension Plan</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1,011,331</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487,120</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962,396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962,396</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962,396</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Non-Qual. Defined Benefit Pension Plan</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609,677</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220,490</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435,375</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435,375</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435,375</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435,375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Non-Qual. Defined Benefit Pension Plan II</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224,202</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135,713</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268,366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268,366</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268,366</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Survivor Benefit Plan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822,814</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Compensation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2,043,948</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RSUs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50,543,425</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50,543,425</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(8)</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shd w:val="clear" w:color="auto" w:fill="CCEEFF"/>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12,532,800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(9)</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50,543,425</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50,543,425</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12,532,800 (9)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167,919,189</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167,919,189</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167,919,189</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167,919,189</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R. K. Templeton Total</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220,307,824</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222,172,699</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14,198,937</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220,128,751</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220,128,751</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99"/>
              </w:rPr>
              <w:t>12,968,175</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R. R. Lizardi</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Qualified Defined Benefit Pension Plan</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Non-Qual. Defined Benefit Pension Plan</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Non-Qual. Defined Benefit Pension Plan II</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Survivor Benefit Plan</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Deferred Compensation</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368,475</w:t>
            </w:r>
          </w:p>
        </w:tc>
        <w:tc>
          <w:tcPr>
            <w:tcW w:w="340" w:type="dxa"/>
            <w:vAlign w:val="bottom"/>
          </w:tcPr>
          <w:p>
            <w:pPr>
              <w:ind w:left="4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RSUs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4,196,190</w:t>
            </w:r>
          </w:p>
        </w:tc>
        <w:tc>
          <w:tcPr>
            <w:tcW w:w="340" w:type="dxa"/>
            <w:vAlign w:val="bottom"/>
          </w:tcPr>
          <w:p>
            <w:pPr>
              <w:ind w:left="40"/>
              <w:spacing w:after="0"/>
              <w:rPr>
                <w:sz w:val="20"/>
                <w:szCs w:val="20"/>
                <w:color w:val="auto"/>
              </w:rPr>
            </w:pPr>
            <w:r>
              <w:rPr>
                <w:rFonts w:ascii="Arial" w:cs="Arial" w:eastAsia="Arial" w:hAnsi="Arial"/>
                <w:sz w:val="14"/>
                <w:szCs w:val="14"/>
                <w:color w:val="auto"/>
              </w:rPr>
              <w:t>(8)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4,196,190</w:t>
            </w:r>
          </w:p>
        </w:tc>
        <w:tc>
          <w:tcPr>
            <w:tcW w:w="340" w:type="dxa"/>
            <w:vAlign w:val="bottom"/>
          </w:tcPr>
          <w:p>
            <w:pPr>
              <w:ind w:left="4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120"/>
              <w:spacing w:after="0" w:line="144" w:lineRule="exact"/>
              <w:rPr>
                <w:sz w:val="20"/>
                <w:szCs w:val="20"/>
                <w:color w:val="auto"/>
              </w:rPr>
            </w:pPr>
            <w:r>
              <w:rPr>
                <w:rFonts w:ascii="Arial" w:cs="Arial" w:eastAsia="Arial" w:hAnsi="Arial"/>
                <w:sz w:val="14"/>
                <w:szCs w:val="14"/>
                <w:color w:val="auto"/>
              </w:rPr>
              <w:t>Stock Options</w:t>
            </w:r>
          </w:p>
        </w:tc>
        <w:tc>
          <w:tcPr>
            <w:tcW w:w="18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4" w:lineRule="exact"/>
              <w:rPr>
                <w:sz w:val="20"/>
                <w:szCs w:val="20"/>
                <w:color w:val="auto"/>
              </w:rPr>
            </w:pPr>
            <w:r>
              <w:rPr>
                <w:rFonts w:ascii="Arial" w:cs="Arial" w:eastAsia="Arial" w:hAnsi="Arial"/>
                <w:sz w:val="14"/>
                <w:szCs w:val="14"/>
                <w:color w:val="auto"/>
              </w:rPr>
              <w:t>5,939,071</w:t>
            </w:r>
          </w:p>
        </w:tc>
        <w:tc>
          <w:tcPr>
            <w:tcW w:w="340" w:type="dxa"/>
            <w:vAlign w:val="bottom"/>
          </w:tcPr>
          <w:p>
            <w:pPr>
              <w:ind w:left="40"/>
              <w:spacing w:after="0" w:line="144" w:lineRule="exact"/>
              <w:rPr>
                <w:sz w:val="20"/>
                <w:szCs w:val="20"/>
                <w:color w:val="auto"/>
              </w:rPr>
            </w:pPr>
            <w:r>
              <w:rPr>
                <w:rFonts w:ascii="Arial" w:cs="Arial" w:eastAsia="Arial" w:hAnsi="Arial"/>
                <w:sz w:val="14"/>
                <w:szCs w:val="14"/>
                <w:color w:val="auto"/>
              </w:rPr>
              <w:t>(11)</w:t>
            </w: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4" w:lineRule="exact"/>
              <w:rPr>
                <w:sz w:val="20"/>
                <w:szCs w:val="20"/>
                <w:color w:val="auto"/>
              </w:rPr>
            </w:pPr>
            <w:r>
              <w:rPr>
                <w:rFonts w:ascii="Arial" w:cs="Arial" w:eastAsia="Arial" w:hAnsi="Arial"/>
                <w:sz w:val="14"/>
                <w:szCs w:val="14"/>
                <w:color w:val="auto"/>
              </w:rPr>
              <w:t>5,939,071</w:t>
            </w:r>
          </w:p>
        </w:tc>
        <w:tc>
          <w:tcPr>
            <w:tcW w:w="340" w:type="dxa"/>
            <w:vAlign w:val="bottom"/>
          </w:tcPr>
          <w:p>
            <w:pPr>
              <w:ind w:left="40"/>
              <w:spacing w:after="0" w:line="144"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tcPr>
          <w:p>
            <w:pPr>
              <w:ind w:left="80"/>
              <w:spacing w:after="0" w:line="144"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4" w:lineRule="exact"/>
              <w:rPr>
                <w:sz w:val="20"/>
                <w:szCs w:val="20"/>
                <w:color w:val="auto"/>
              </w:rPr>
            </w:pPr>
            <w:r>
              <w:rPr>
                <w:rFonts w:ascii="Arial" w:cs="Arial" w:eastAsia="Arial" w:hAnsi="Arial"/>
                <w:sz w:val="14"/>
                <w:szCs w:val="14"/>
                <w:color w:val="auto"/>
              </w:rPr>
              <w:t>2,237,368</w:t>
            </w:r>
          </w:p>
        </w:tc>
        <w:tc>
          <w:tcPr>
            <w:tcW w:w="340" w:type="dxa"/>
            <w:vAlign w:val="bottom"/>
          </w:tcPr>
          <w:p>
            <w:pPr>
              <w:ind w:left="20"/>
              <w:spacing w:after="0" w:line="144"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08"/>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80" w:type="dxa"/>
            <w:vAlign w:val="bottom"/>
          </w:tcPr>
          <w:p>
            <w:pPr>
              <w:ind w:left="280"/>
              <w:spacing w:after="0"/>
              <w:rPr>
                <w:sz w:val="20"/>
                <w:szCs w:val="20"/>
                <w:color w:val="auto"/>
              </w:rPr>
            </w:pPr>
            <w:r>
              <w:rPr>
                <w:rFonts w:ascii="Arial" w:cs="Arial" w:eastAsia="Arial" w:hAnsi="Arial"/>
                <w:sz w:val="14"/>
                <w:szCs w:val="14"/>
                <w:b w:val="1"/>
                <w:bCs w:val="1"/>
                <w:color w:val="auto"/>
              </w:rPr>
              <w:t>R. R. Lizardi Total</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10,135,261</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10,503,736</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2,237,368</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K. P. March (13)</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Qualified Defined Benefit Pension Plan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1,559,211</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Non-Qual. Defined Benefit Pension Plan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259,758</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Non-Qual. Defined Benefit Pension Plan II</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9,453,650</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Survivor Benefit Plan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Compensation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RSUs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K. P. March Total</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11,272,619</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B. T. Crutcher</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Qualified Defined Benefit Pension Plan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11,492</w:t>
            </w:r>
          </w:p>
        </w:tc>
        <w:tc>
          <w:tcPr>
            <w:tcW w:w="340" w:type="dxa"/>
            <w:vAlign w:val="bottom"/>
          </w:tcPr>
          <w:p>
            <w:pPr>
              <w:ind w:left="40"/>
              <w:spacing w:after="0"/>
              <w:rPr>
                <w:sz w:val="20"/>
                <w:szCs w:val="20"/>
                <w:color w:val="auto"/>
              </w:rPr>
            </w:pPr>
            <w:r>
              <w:rPr>
                <w:rFonts w:ascii="Arial" w:cs="Arial" w:eastAsia="Arial" w:hAnsi="Arial"/>
                <w:sz w:val="14"/>
                <w:szCs w:val="14"/>
                <w:color w:val="auto"/>
              </w:rPr>
              <w:t>(2)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2,180</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4,509</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4,509</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Non-Qual. Defined Benefit Pension Plan</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Non-Qual. Defined Benefit Pension Plan II</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Survivor Benefit Plan</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Deferred Compensation</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1,932,834</w:t>
            </w:r>
          </w:p>
        </w:tc>
        <w:tc>
          <w:tcPr>
            <w:tcW w:w="340" w:type="dxa"/>
            <w:vAlign w:val="bottom"/>
          </w:tcPr>
          <w:p>
            <w:pPr>
              <w:ind w:left="4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RSUs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21,022,101</w:t>
            </w:r>
          </w:p>
        </w:tc>
        <w:tc>
          <w:tcPr>
            <w:tcW w:w="340" w:type="dxa"/>
            <w:vAlign w:val="bottom"/>
          </w:tcPr>
          <w:p>
            <w:pPr>
              <w:ind w:left="40"/>
              <w:spacing w:after="0"/>
              <w:rPr>
                <w:sz w:val="20"/>
                <w:szCs w:val="20"/>
                <w:color w:val="auto"/>
              </w:rPr>
            </w:pPr>
            <w:r>
              <w:rPr>
                <w:rFonts w:ascii="Arial" w:cs="Arial" w:eastAsia="Arial" w:hAnsi="Arial"/>
                <w:sz w:val="14"/>
                <w:szCs w:val="14"/>
                <w:color w:val="auto"/>
              </w:rPr>
              <w:t>(8)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21,022,101</w:t>
            </w:r>
          </w:p>
        </w:tc>
        <w:tc>
          <w:tcPr>
            <w:tcW w:w="340" w:type="dxa"/>
            <w:vAlign w:val="bottom"/>
          </w:tcPr>
          <w:p>
            <w:pPr>
              <w:ind w:left="4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120"/>
              <w:spacing w:after="0" w:line="144" w:lineRule="exact"/>
              <w:rPr>
                <w:sz w:val="20"/>
                <w:szCs w:val="20"/>
                <w:color w:val="auto"/>
              </w:rPr>
            </w:pPr>
            <w:r>
              <w:rPr>
                <w:rFonts w:ascii="Arial" w:cs="Arial" w:eastAsia="Arial" w:hAnsi="Arial"/>
                <w:sz w:val="14"/>
                <w:szCs w:val="14"/>
                <w:color w:val="auto"/>
              </w:rPr>
              <w:t>Stock Options</w:t>
            </w:r>
          </w:p>
        </w:tc>
        <w:tc>
          <w:tcPr>
            <w:tcW w:w="18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4" w:lineRule="exact"/>
              <w:rPr>
                <w:sz w:val="20"/>
                <w:szCs w:val="20"/>
                <w:color w:val="auto"/>
              </w:rPr>
            </w:pPr>
            <w:r>
              <w:rPr>
                <w:rFonts w:ascii="Arial" w:cs="Arial" w:eastAsia="Arial" w:hAnsi="Arial"/>
                <w:sz w:val="14"/>
                <w:szCs w:val="14"/>
                <w:color w:val="auto"/>
              </w:rPr>
              <w:t>27,835,821</w:t>
            </w:r>
          </w:p>
        </w:tc>
        <w:tc>
          <w:tcPr>
            <w:tcW w:w="340" w:type="dxa"/>
            <w:vAlign w:val="bottom"/>
          </w:tcPr>
          <w:p>
            <w:pPr>
              <w:ind w:left="40"/>
              <w:spacing w:after="0" w:line="144" w:lineRule="exact"/>
              <w:rPr>
                <w:sz w:val="20"/>
                <w:szCs w:val="20"/>
                <w:color w:val="auto"/>
              </w:rPr>
            </w:pPr>
            <w:r>
              <w:rPr>
                <w:rFonts w:ascii="Arial" w:cs="Arial" w:eastAsia="Arial" w:hAnsi="Arial"/>
                <w:sz w:val="14"/>
                <w:szCs w:val="14"/>
                <w:color w:val="auto"/>
              </w:rPr>
              <w:t>(11)</w:t>
            </w: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4" w:lineRule="exact"/>
              <w:rPr>
                <w:sz w:val="20"/>
                <w:szCs w:val="20"/>
                <w:color w:val="auto"/>
              </w:rPr>
            </w:pPr>
            <w:r>
              <w:rPr>
                <w:rFonts w:ascii="Arial" w:cs="Arial" w:eastAsia="Arial" w:hAnsi="Arial"/>
                <w:sz w:val="14"/>
                <w:szCs w:val="14"/>
                <w:color w:val="auto"/>
              </w:rPr>
              <w:t>27,835,821</w:t>
            </w:r>
          </w:p>
        </w:tc>
        <w:tc>
          <w:tcPr>
            <w:tcW w:w="340" w:type="dxa"/>
            <w:vAlign w:val="bottom"/>
          </w:tcPr>
          <w:p>
            <w:pPr>
              <w:ind w:left="40"/>
              <w:spacing w:after="0" w:line="144"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08"/>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80" w:type="dxa"/>
            <w:vAlign w:val="bottom"/>
          </w:tcPr>
          <w:p>
            <w:pPr>
              <w:ind w:left="280"/>
              <w:spacing w:after="0"/>
              <w:rPr>
                <w:sz w:val="20"/>
                <w:szCs w:val="20"/>
                <w:color w:val="auto"/>
              </w:rPr>
            </w:pPr>
            <w:r>
              <w:rPr>
                <w:rFonts w:ascii="Arial" w:cs="Arial" w:eastAsia="Arial" w:hAnsi="Arial"/>
                <w:sz w:val="14"/>
                <w:szCs w:val="14"/>
                <w:b w:val="1"/>
                <w:bCs w:val="1"/>
                <w:color w:val="auto"/>
              </w:rPr>
              <w:t>B. T. Crutcher Total</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48,869,414</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50,792,936</w:t>
            </w:r>
          </w:p>
        </w:tc>
        <w:tc>
          <w:tcPr>
            <w:tcW w:w="340" w:type="dxa"/>
            <w:vAlign w:val="bottom"/>
          </w:tcPr>
          <w:p>
            <w:pPr>
              <w:spacing w:after="0"/>
              <w:rPr>
                <w:sz w:val="16"/>
                <w:szCs w:val="16"/>
                <w:color w:val="auto"/>
              </w:rPr>
            </w:pP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4,509</w:t>
            </w:r>
          </w:p>
        </w:tc>
        <w:tc>
          <w:tcPr>
            <w:tcW w:w="2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4,509</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K. J. Ritchie (1)</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Qualified Defined Benefit Pension Plan</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2,238,116</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1,371,524</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1,993,953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1,993,953</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1,993,953</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Non-Qual. Defined Benefit Pension Plan</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926,549</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513,892</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749,469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749,469</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749,469</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749,469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Non-Qual. Defined Benefit Pension Plan II</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12,320,242</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7,910,563</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11,498,197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11,498,197</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11,498,197</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Survivor Benefit Plan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4,445,640</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Compensation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RSUs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15,191,947</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15,191,947</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15,191,947</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15,191,947</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19,808,281</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19,808,281</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19,808,281</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19,808,281</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K. J. Ritchie Total</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50,485,135</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49,241,847</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14,241,619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49,241,847</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49,241,847</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749,469</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R. G. Delagi</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Qualified Defined Benefit Pension Plan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2,190,303</w:t>
            </w:r>
          </w:p>
        </w:tc>
        <w:tc>
          <w:tcPr>
            <w:tcW w:w="340" w:type="dxa"/>
            <w:vAlign w:val="bottom"/>
          </w:tcPr>
          <w:p>
            <w:pPr>
              <w:ind w:left="40"/>
              <w:spacing w:after="0"/>
              <w:rPr>
                <w:sz w:val="20"/>
                <w:szCs w:val="20"/>
                <w:color w:val="auto"/>
              </w:rPr>
            </w:pPr>
            <w:r>
              <w:rPr>
                <w:rFonts w:ascii="Arial" w:cs="Arial" w:eastAsia="Arial" w:hAnsi="Arial"/>
                <w:sz w:val="14"/>
                <w:szCs w:val="14"/>
                <w:color w:val="auto"/>
              </w:rPr>
              <w:t>(2)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530,261</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1,051,311</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1,051,311</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Non-Qual. Defined Benefit Pension Plan</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522,241</w:t>
            </w:r>
          </w:p>
        </w:tc>
        <w:tc>
          <w:tcPr>
            <w:tcW w:w="340" w:type="dxa"/>
            <w:vAlign w:val="bottom"/>
          </w:tcPr>
          <w:p>
            <w:pPr>
              <w:ind w:left="40"/>
              <w:spacing w:after="0"/>
              <w:rPr>
                <w:sz w:val="20"/>
                <w:szCs w:val="20"/>
                <w:color w:val="auto"/>
              </w:rPr>
            </w:pPr>
            <w:r>
              <w:rPr>
                <w:rFonts w:ascii="Arial" w:cs="Arial" w:eastAsia="Arial" w:hAnsi="Arial"/>
                <w:sz w:val="14"/>
                <w:szCs w:val="14"/>
                <w:color w:val="auto"/>
              </w:rPr>
              <w:t>(5)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153,560</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303,025</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303,025</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303,025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Non-Qual. Defined Benefit Pension Plan II</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8,624,747</w:t>
            </w:r>
          </w:p>
        </w:tc>
        <w:tc>
          <w:tcPr>
            <w:tcW w:w="340" w:type="dxa"/>
            <w:vAlign w:val="bottom"/>
          </w:tcPr>
          <w:p>
            <w:pPr>
              <w:ind w:left="40"/>
              <w:spacing w:after="0"/>
              <w:rPr>
                <w:sz w:val="20"/>
                <w:szCs w:val="20"/>
                <w:color w:val="auto"/>
              </w:rPr>
            </w:pPr>
            <w:r>
              <w:rPr>
                <w:rFonts w:ascii="Arial" w:cs="Arial" w:eastAsia="Arial" w:hAnsi="Arial"/>
                <w:sz w:val="14"/>
                <w:szCs w:val="14"/>
                <w:color w:val="auto"/>
              </w:rPr>
              <w:t>(5)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2,743,800</w:t>
            </w:r>
          </w:p>
        </w:tc>
        <w:tc>
          <w:tcPr>
            <w:tcW w:w="340" w:type="dxa"/>
            <w:vAlign w:val="bottom"/>
          </w:tcPr>
          <w:p>
            <w:pPr>
              <w:ind w:left="40"/>
              <w:spacing w:after="0"/>
              <w:rPr>
                <w:sz w:val="20"/>
                <w:szCs w:val="20"/>
                <w:color w:val="auto"/>
              </w:rPr>
            </w:pPr>
            <w:r>
              <w:rPr>
                <w:rFonts w:ascii="Arial" w:cs="Arial" w:eastAsia="Arial" w:hAnsi="Arial"/>
                <w:sz w:val="14"/>
                <w:szCs w:val="14"/>
                <w:color w:val="auto"/>
              </w:rPr>
              <w:t>(3)</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5,441,373</w:t>
            </w: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5,441,373</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Survivor Benefit Plan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Deferred Compensation</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RSUs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13,672,867</w:t>
            </w:r>
          </w:p>
        </w:tc>
        <w:tc>
          <w:tcPr>
            <w:tcW w:w="340" w:type="dxa"/>
            <w:vAlign w:val="bottom"/>
          </w:tcPr>
          <w:p>
            <w:pPr>
              <w:ind w:left="40"/>
              <w:spacing w:after="0"/>
              <w:rPr>
                <w:sz w:val="20"/>
                <w:szCs w:val="20"/>
                <w:color w:val="auto"/>
              </w:rPr>
            </w:pPr>
            <w:r>
              <w:rPr>
                <w:rFonts w:ascii="Arial" w:cs="Arial" w:eastAsia="Arial" w:hAnsi="Arial"/>
                <w:sz w:val="14"/>
                <w:szCs w:val="14"/>
                <w:color w:val="auto"/>
              </w:rPr>
              <w:t>(8)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13,672,867</w:t>
            </w:r>
          </w:p>
        </w:tc>
        <w:tc>
          <w:tcPr>
            <w:tcW w:w="340" w:type="dxa"/>
            <w:vAlign w:val="bottom"/>
          </w:tcPr>
          <w:p>
            <w:pPr>
              <w:ind w:left="40"/>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120"/>
              <w:spacing w:after="0" w:line="144" w:lineRule="exact"/>
              <w:rPr>
                <w:sz w:val="20"/>
                <w:szCs w:val="20"/>
                <w:color w:val="auto"/>
              </w:rPr>
            </w:pPr>
            <w:r>
              <w:rPr>
                <w:rFonts w:ascii="Arial" w:cs="Arial" w:eastAsia="Arial" w:hAnsi="Arial"/>
                <w:sz w:val="14"/>
                <w:szCs w:val="14"/>
                <w:color w:val="auto"/>
              </w:rPr>
              <w:t>Stock Options</w:t>
            </w:r>
          </w:p>
        </w:tc>
        <w:tc>
          <w:tcPr>
            <w:tcW w:w="18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4" w:lineRule="exact"/>
              <w:rPr>
                <w:sz w:val="20"/>
                <w:szCs w:val="20"/>
                <w:color w:val="auto"/>
              </w:rPr>
            </w:pPr>
            <w:r>
              <w:rPr>
                <w:rFonts w:ascii="Arial" w:cs="Arial" w:eastAsia="Arial" w:hAnsi="Arial"/>
                <w:sz w:val="14"/>
                <w:szCs w:val="14"/>
                <w:color w:val="auto"/>
              </w:rPr>
              <w:t>73,240,649</w:t>
            </w:r>
          </w:p>
        </w:tc>
        <w:tc>
          <w:tcPr>
            <w:tcW w:w="340" w:type="dxa"/>
            <w:vAlign w:val="bottom"/>
          </w:tcPr>
          <w:p>
            <w:pPr>
              <w:ind w:left="40"/>
              <w:spacing w:after="0" w:line="144" w:lineRule="exact"/>
              <w:rPr>
                <w:sz w:val="20"/>
                <w:szCs w:val="20"/>
                <w:color w:val="auto"/>
              </w:rPr>
            </w:pPr>
            <w:r>
              <w:rPr>
                <w:rFonts w:ascii="Arial" w:cs="Arial" w:eastAsia="Arial" w:hAnsi="Arial"/>
                <w:sz w:val="14"/>
                <w:szCs w:val="14"/>
                <w:color w:val="auto"/>
              </w:rPr>
              <w:t>(11)</w:t>
            </w:r>
          </w:p>
        </w:tc>
        <w:tc>
          <w:tcPr>
            <w:tcW w:w="14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4" w:lineRule="exact"/>
              <w:rPr>
                <w:sz w:val="20"/>
                <w:szCs w:val="20"/>
                <w:color w:val="auto"/>
              </w:rPr>
            </w:pPr>
            <w:r>
              <w:rPr>
                <w:rFonts w:ascii="Arial" w:cs="Arial" w:eastAsia="Arial" w:hAnsi="Arial"/>
                <w:sz w:val="14"/>
                <w:szCs w:val="14"/>
                <w:color w:val="auto"/>
              </w:rPr>
              <w:t>73,240,649</w:t>
            </w:r>
          </w:p>
        </w:tc>
        <w:tc>
          <w:tcPr>
            <w:tcW w:w="340" w:type="dxa"/>
            <w:vAlign w:val="bottom"/>
          </w:tcPr>
          <w:p>
            <w:pPr>
              <w:ind w:left="40"/>
              <w:spacing w:after="0" w:line="144"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4"/>
                <w:szCs w:val="14"/>
                <w:color w:val="auto"/>
              </w:rPr>
              <w:t>55,413,128</w:t>
            </w:r>
          </w:p>
        </w:tc>
        <w:tc>
          <w:tcPr>
            <w:tcW w:w="340" w:type="dxa"/>
            <w:vAlign w:val="bottom"/>
          </w:tcPr>
          <w:p>
            <w:pPr>
              <w:ind w:left="20"/>
              <w:spacing w:after="0" w:line="144"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08"/>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80" w:type="dxa"/>
            <w:vAlign w:val="bottom"/>
          </w:tcPr>
          <w:p>
            <w:pPr>
              <w:ind w:left="280"/>
              <w:spacing w:after="0"/>
              <w:rPr>
                <w:sz w:val="20"/>
                <w:szCs w:val="20"/>
                <w:color w:val="auto"/>
              </w:rPr>
            </w:pPr>
            <w:r>
              <w:rPr>
                <w:rFonts w:ascii="Arial" w:cs="Arial" w:eastAsia="Arial" w:hAnsi="Arial"/>
                <w:sz w:val="14"/>
                <w:szCs w:val="14"/>
                <w:b w:val="1"/>
                <w:bCs w:val="1"/>
                <w:color w:val="auto"/>
              </w:rPr>
              <w:t>R. G. Delagi Total</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98,250,807</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90,341,137</w:t>
            </w:r>
          </w:p>
        </w:tc>
        <w:tc>
          <w:tcPr>
            <w:tcW w:w="340" w:type="dxa"/>
            <w:vAlign w:val="bottom"/>
          </w:tcPr>
          <w:p>
            <w:pPr>
              <w:spacing w:after="0"/>
              <w:rPr>
                <w:sz w:val="16"/>
                <w:szCs w:val="16"/>
                <w:color w:val="auto"/>
              </w:rPr>
            </w:pP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6,795,709</w:t>
            </w:r>
          </w:p>
        </w:tc>
        <w:tc>
          <w:tcPr>
            <w:tcW w:w="26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62,208,837</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303,025</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8"/>
          </w:tcPr>
          <w:p>
            <w:pPr>
              <w:jc w:val="right"/>
              <w:ind w:right="88"/>
              <w:spacing w:after="0"/>
              <w:rPr>
                <w:sz w:val="20"/>
                <w:szCs w:val="20"/>
                <w:color w:val="auto"/>
              </w:rPr>
            </w:pPr>
            <w:r>
              <w:rPr>
                <w:rFonts w:ascii="Arial" w:cs="Arial" w:eastAsia="Arial" w:hAnsi="Arial"/>
                <w:sz w:val="13"/>
                <w:szCs w:val="13"/>
                <w:color w:val="666666"/>
              </w:rPr>
              <w:t>TEXAS INSTRUMENTS  •  2018 PROXY STATEMENT</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666666"/>
              </w:rPr>
              <w:t>41</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right="360" w:hanging="436"/>
        <w:spacing w:after="0" w:line="24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Messrs. Templeton and Ritchie were retirement eligible for purposes of TI’s defined benefit pension plans and under the terms of their equity compensation awards as of December 31, 2017.</w:t>
      </w:r>
    </w:p>
    <w:p>
      <w:pPr>
        <w:spacing w:after="0" w:line="97" w:lineRule="exact"/>
        <w:rPr>
          <w:rFonts w:ascii="Arial" w:cs="Arial" w:eastAsia="Arial" w:hAnsi="Arial"/>
          <w:sz w:val="18"/>
          <w:szCs w:val="18"/>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to the named executive officer in the event of termination as</w:t>
      </w:r>
    </w:p>
    <w:p>
      <w:pPr>
        <w:ind w:left="640" w:right="20"/>
        <w:spacing w:after="0" w:line="239" w:lineRule="auto"/>
        <w:rPr>
          <w:rFonts w:ascii="Arial" w:cs="Arial" w:eastAsia="Arial" w:hAnsi="Arial"/>
          <w:sz w:val="18"/>
          <w:szCs w:val="18"/>
          <w:color w:val="auto"/>
        </w:rPr>
      </w:pPr>
      <w:r>
        <w:rPr>
          <w:rFonts w:ascii="Arial" w:cs="Arial" w:eastAsia="Arial" w:hAnsi="Arial"/>
          <w:sz w:val="18"/>
          <w:szCs w:val="18"/>
          <w:color w:val="auto"/>
        </w:rPr>
        <w:t>of December 31, 2017,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2017 and are described in note 6 to the 2017 pension benefits table.</w:t>
      </w:r>
    </w:p>
    <w:p>
      <w:pPr>
        <w:spacing w:after="0" w:line="107" w:lineRule="exact"/>
        <w:rPr>
          <w:rFonts w:ascii="Arial" w:cs="Arial" w:eastAsia="Arial" w:hAnsi="Arial"/>
          <w:sz w:val="18"/>
          <w:szCs w:val="18"/>
          <w:color w:val="auto"/>
        </w:rPr>
      </w:pPr>
    </w:p>
    <w:p>
      <w:pPr>
        <w:ind w:left="640" w:right="6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108" w:lineRule="exact"/>
        <w:rPr>
          <w:rFonts w:ascii="Arial" w:cs="Arial" w:eastAsia="Arial" w:hAnsi="Arial"/>
          <w:sz w:val="18"/>
          <w:szCs w:val="18"/>
          <w:color w:val="auto"/>
        </w:rPr>
      </w:pPr>
    </w:p>
    <w:p>
      <w:pPr>
        <w:ind w:left="640" w:right="380" w:hanging="436"/>
        <w:spacing w:after="0" w:line="24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Lump-sum value of the accrued benefit as of December 31, 2017, calculated as required by the terms of the plans assuming the earliest possible payment date.</w:t>
      </w:r>
    </w:p>
    <w:p>
      <w:pPr>
        <w:spacing w:after="0" w:line="102" w:lineRule="exact"/>
        <w:rPr>
          <w:rFonts w:ascii="Arial" w:cs="Arial" w:eastAsia="Arial" w:hAnsi="Arial"/>
          <w:sz w:val="18"/>
          <w:szCs w:val="18"/>
          <w:color w:val="auto"/>
        </w:rPr>
      </w:pPr>
    </w:p>
    <w:p>
      <w:pPr>
        <w:ind w:left="640" w:right="360" w:hanging="436"/>
        <w:spacing w:after="0" w:line="24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in the case of the Non-Qualified Defined Benefit Pension Plan, or separation from service in the case of Plan II. The assumptions used are the same as those described in note 2 above.</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as required by the terms of the plan assuming the earliest possible payment date.</w:t>
      </w:r>
    </w:p>
    <w:p>
      <w:pPr>
        <w:spacing w:after="0" w:line="117" w:lineRule="exact"/>
        <w:rPr>
          <w:rFonts w:ascii="Arial" w:cs="Arial" w:eastAsia="Arial" w:hAnsi="Arial"/>
          <w:sz w:val="18"/>
          <w:szCs w:val="18"/>
          <w:color w:val="auto"/>
        </w:rPr>
      </w:pPr>
    </w:p>
    <w:p>
      <w:pPr>
        <w:ind w:left="640" w:right="220" w:hanging="436"/>
        <w:spacing w:after="0" w:line="24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Balance as of December 31, 2017, under the non-qualified deferred compensation plan. For all other termination events, balances are distributed in accordance with the participant’s distribution election.</w:t>
      </w:r>
    </w:p>
    <w:p>
      <w:pPr>
        <w:spacing w:after="0" w:line="97" w:lineRule="exact"/>
        <w:rPr>
          <w:rFonts w:ascii="Arial" w:cs="Arial" w:eastAsia="Arial" w:hAnsi="Arial"/>
          <w:sz w:val="18"/>
          <w:szCs w:val="18"/>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by multiplying the number of outstanding RSUs by the closing price of TI common stock as of December 29, 2017</w:t>
      </w:r>
    </w:p>
    <w:p>
      <w:pPr>
        <w:jc w:val="both"/>
        <w:ind w:left="640" w:right="120"/>
        <w:spacing w:after="0"/>
        <w:rPr>
          <w:rFonts w:ascii="Arial" w:cs="Arial" w:eastAsia="Arial" w:hAnsi="Arial"/>
          <w:sz w:val="18"/>
          <w:szCs w:val="18"/>
          <w:color w:val="auto"/>
        </w:rPr>
      </w:pPr>
      <w:r>
        <w:rPr>
          <w:rFonts w:ascii="Arial" w:cs="Arial" w:eastAsia="Arial" w:hAnsi="Arial"/>
          <w:sz w:val="18"/>
          <w:szCs w:val="18"/>
          <w:color w:val="auto"/>
        </w:rPr>
        <w:t>($104.44). In the event of termination due to disability or death, all outstanding awards will continue to vest according to their terms. See the first table under “Outstanding equity awards at fiscal year-end 2017” for the number of unvested RSUs as of December 31, 2017, and the related discussion following that table of an additional outstanding RSU award held by Mr. Templeton.</w:t>
      </w:r>
    </w:p>
    <w:p>
      <w:pPr>
        <w:spacing w:after="0" w:line="108" w:lineRule="exact"/>
        <w:rPr>
          <w:rFonts w:ascii="Arial" w:cs="Arial" w:eastAsia="Arial" w:hAnsi="Arial"/>
          <w:sz w:val="18"/>
          <w:szCs w:val="18"/>
          <w:color w:val="auto"/>
        </w:rPr>
      </w:pPr>
    </w:p>
    <w:p>
      <w:pPr>
        <w:ind w:left="640" w:right="1100" w:hanging="436"/>
        <w:spacing w:after="0" w:line="24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by multiplying the previously discussed 120,000 vested RSUs by the closing price of TI common stock as of December 29, 2017 ($104.44).</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Due to retirement eligibility, calculated by multiplying the number of outstanding RSUs held at such termination by the closing price of TI common stock as of December 29, 2017 ($104.44). RSU awards stay in effect and pay out shares according to the vesting schedule.</w:t>
      </w:r>
    </w:p>
    <w:p>
      <w:pPr>
        <w:spacing w:after="0" w:line="108" w:lineRule="exact"/>
        <w:rPr>
          <w:rFonts w:ascii="Arial" w:cs="Arial" w:eastAsia="Arial" w:hAnsi="Arial"/>
          <w:sz w:val="18"/>
          <w:szCs w:val="18"/>
          <w:color w:val="auto"/>
        </w:rPr>
      </w:pPr>
    </w:p>
    <w:p>
      <w:pPr>
        <w:ind w:left="640" w:right="420" w:hanging="436"/>
        <w:spacing w:after="0" w:line="275"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outstanding in-the-money options and the closing price of TI common stock as of December 29, 2017 ($104.44), multiplied by the number of shares under such options as of December 31, 2017.</w:t>
      </w:r>
    </w:p>
    <w:p>
      <w:pPr>
        <w:spacing w:after="0" w:line="78" w:lineRule="exact"/>
        <w:rPr>
          <w:rFonts w:ascii="Arial" w:cs="Arial" w:eastAsia="Arial" w:hAnsi="Arial"/>
          <w:sz w:val="17"/>
          <w:szCs w:val="17"/>
          <w:color w:val="auto"/>
        </w:rPr>
      </w:pPr>
    </w:p>
    <w:p>
      <w:pPr>
        <w:ind w:left="640" w:right="440" w:hanging="436"/>
        <w:spacing w:after="0" w:line="275"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exercisable in-the-money options and the closing price of TI common stock as of December 29, 2017 ($104.44), multiplied by the number of shares under such options as of December 31, 2017.</w:t>
      </w:r>
    </w:p>
    <w:p>
      <w:pPr>
        <w:spacing w:after="0" w:line="78" w:lineRule="exact"/>
        <w:rPr>
          <w:rFonts w:ascii="Arial" w:cs="Arial" w:eastAsia="Arial" w:hAnsi="Arial"/>
          <w:sz w:val="17"/>
          <w:szCs w:val="17"/>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March retired from the company on November 1, 2017.</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Benefit paid to Mr. March on December 1, 2017.</w:t>
      </w:r>
    </w:p>
    <w:p>
      <w:pPr>
        <w:spacing w:after="0" w:line="117" w:lineRule="exact"/>
        <w:rPr>
          <w:rFonts w:ascii="Arial" w:cs="Arial" w:eastAsia="Arial" w:hAnsi="Arial"/>
          <w:sz w:val="18"/>
          <w:szCs w:val="18"/>
          <w:color w:val="auto"/>
        </w:rPr>
      </w:pPr>
    </w:p>
    <w:p>
      <w:pPr>
        <w:ind w:left="640" w:right="640" w:hanging="436"/>
        <w:spacing w:after="0" w:line="24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using the Plan’s assumptions in effect on December 1, 2017. Amount will be paid on June 1, 2018, as required by Section 409A of the IRC.</w:t>
      </w:r>
    </w:p>
    <w:p>
      <w:pPr>
        <w:spacing w:after="0" w:line="124"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Pay Ratio</w:t>
      </w:r>
    </w:p>
    <w:p>
      <w:pPr>
        <w:spacing w:after="0" w:line="205"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For 2017, the median of annual total compensation of all employees of our company (other than our CEO), was $78,951. The annual total compensation of our CEO was $16,573,019. Based on this information, the ratio of the annual total compensation of our CEO to the median of the annual total compensation of all employees was approximately 210 to 1.</w:t>
      </w:r>
    </w:p>
    <w:p>
      <w:pPr>
        <w:spacing w:after="0" w:line="20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we used the following methodology and material assumptions, adjustments and estimates:</w:t>
      </w:r>
    </w:p>
    <w:p>
      <w:pPr>
        <w:spacing w:after="0" w:line="220" w:lineRule="exact"/>
        <w:rPr>
          <w:sz w:val="20"/>
          <w:szCs w:val="20"/>
          <w:color w:val="auto"/>
        </w:rPr>
      </w:pPr>
    </w:p>
    <w:p>
      <w:pPr>
        <w:ind w:left="960" w:hanging="540"/>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selected October 5, 2017, as the date upon which we would identify the “median employee.”</w:t>
      </w:r>
    </w:p>
    <w:p>
      <w:pPr>
        <w:ind w:left="960" w:right="20" w:hanging="540"/>
        <w:spacing w:after="0" w:line="234"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this date, our employee population consisted of approximately 29,973 individuals working at the company and consolidated subsidiaries, excluding employees on leaves of absence who are not expected to return to work.</w:t>
      </w:r>
    </w:p>
    <w:p>
      <w:pPr>
        <w:spacing w:after="0" w:line="1" w:lineRule="exact"/>
        <w:rPr>
          <w:rFonts w:ascii="Arial" w:cs="Arial" w:eastAsia="Arial" w:hAnsi="Arial"/>
          <w:sz w:val="18"/>
          <w:szCs w:val="18"/>
          <w:color w:val="auto"/>
        </w:rPr>
      </w:pPr>
    </w:p>
    <w:p>
      <w:pPr>
        <w:ind w:left="960" w:right="180" w:hanging="540"/>
        <w:spacing w:after="0" w:line="234"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identify the “median employee,” we used base salary and profit sharing information, each of which is paid to all employees. Salaries were annualized for all permanent employees who were employees for less than the full fiscal year or who were on an unpaid leave of absence during a portion of the year.</w:t>
      </w:r>
    </w:p>
    <w:p>
      <w:pPr>
        <w:spacing w:after="0" w:line="2" w:lineRule="exact"/>
        <w:rPr>
          <w:rFonts w:ascii="Arial" w:cs="Arial" w:eastAsia="Arial" w:hAnsi="Arial"/>
          <w:sz w:val="18"/>
          <w:szCs w:val="18"/>
          <w:color w:val="auto"/>
        </w:rPr>
      </w:pPr>
    </w:p>
    <w:p>
      <w:pPr>
        <w:ind w:left="960" w:right="20" w:hanging="540"/>
        <w:spacing w:after="0" w:line="234"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identified and calculated the elements of the median employee’s compensation for 2017 in accordance with the requirements of Item 402(c)(2)(x) of Regulation S-K, including the value of the employee’s health and welfare benefits (estimated for the employee and the employee’s eligible dependents) and retirement-related benefits.</w:t>
      </w:r>
    </w:p>
    <w:p>
      <w:pPr>
        <w:spacing w:after="0" w:line="2" w:lineRule="exact"/>
        <w:rPr>
          <w:rFonts w:ascii="Arial" w:cs="Arial" w:eastAsia="Arial" w:hAnsi="Arial"/>
          <w:sz w:val="18"/>
          <w:szCs w:val="18"/>
          <w:color w:val="auto"/>
        </w:rPr>
      </w:pPr>
    </w:p>
    <w:p>
      <w:pPr>
        <w:ind w:left="960" w:right="360" w:hanging="540"/>
        <w:spacing w:after="0" w:line="246"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applied the exchange rate that we utilize in our payroll system, as of the identification date, to convert foreign currency to U.S. dollars.</w:t>
      </w:r>
    </w:p>
    <w:p>
      <w:pPr>
        <w:spacing w:after="0" w:line="197" w:lineRule="exact"/>
        <w:rPr>
          <w:sz w:val="20"/>
          <w:szCs w:val="20"/>
          <w:color w:val="auto"/>
        </w:rPr>
      </w:pPr>
    </w:p>
    <w:p>
      <w:pPr>
        <w:ind w:left="200" w:right="360"/>
        <w:spacing w:after="0"/>
        <w:rPr>
          <w:sz w:val="20"/>
          <w:szCs w:val="20"/>
          <w:color w:val="auto"/>
        </w:rPr>
      </w:pPr>
      <w:r>
        <w:rPr>
          <w:rFonts w:ascii="Arial" w:cs="Arial" w:eastAsia="Arial" w:hAnsi="Arial"/>
          <w:sz w:val="18"/>
          <w:szCs w:val="18"/>
          <w:color w:val="auto"/>
        </w:rPr>
        <w:t>The annual total compensation of our CEO is the amount reported in the “Total” column of our 2017 Summary Compensation Table, adding in the value of health and welfare benefits (estimated for our CEO and his eligible dependents) and retirement-related benefits. This resulted in annual total compensation for purposes of determining the ratio in the amount of $16,573,019.</w:t>
      </w:r>
    </w:p>
    <w:p>
      <w:pPr>
        <w:spacing w:after="0" w:line="38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Audit Committee report</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12"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20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203" w:lineRule="exact"/>
        <w:rPr>
          <w:sz w:val="20"/>
          <w:szCs w:val="20"/>
          <w:color w:val="auto"/>
        </w:rPr>
      </w:pPr>
    </w:p>
    <w:p>
      <w:pPr>
        <w:ind w:left="200" w:right="620"/>
        <w:spacing w:after="0" w:line="246" w:lineRule="auto"/>
        <w:rPr>
          <w:sz w:val="20"/>
          <w:szCs w:val="20"/>
          <w:color w:val="auto"/>
        </w:rPr>
      </w:pPr>
      <w:r>
        <w:rPr>
          <w:rFonts w:ascii="Arial" w:cs="Arial" w:eastAsia="Arial" w:hAnsi="Arial"/>
          <w:sz w:val="18"/>
          <w:szCs w:val="18"/>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97"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202"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2017 for filing with the SEC.</w:t>
      </w:r>
    </w:p>
    <w:p>
      <w:pPr>
        <w:spacing w:after="0" w:line="224" w:lineRule="exact"/>
        <w:rPr>
          <w:sz w:val="20"/>
          <w:szCs w:val="20"/>
          <w:color w:val="auto"/>
        </w:rPr>
      </w:pPr>
    </w:p>
    <w:p>
      <w:pPr>
        <w:ind w:left="560"/>
        <w:spacing w:after="0"/>
        <w:tabs>
          <w:tab w:leader="none" w:pos="4060" w:val="left"/>
          <w:tab w:leader="none" w:pos="6720" w:val="left"/>
          <w:tab w:leader="none" w:pos="9400" w:val="left"/>
        </w:tabs>
        <w:rPr>
          <w:sz w:val="20"/>
          <w:szCs w:val="20"/>
          <w:color w:val="auto"/>
        </w:rPr>
      </w:pPr>
      <w:r>
        <w:rPr>
          <w:rFonts w:ascii="Arial" w:cs="Arial" w:eastAsia="Arial" w:hAnsi="Arial"/>
          <w:sz w:val="18"/>
          <w:szCs w:val="18"/>
          <w:color w:val="auto"/>
        </w:rPr>
        <w:t>Mark A. Blinn, Chair</w:t>
      </w:r>
      <w:r>
        <w:rPr>
          <w:sz w:val="20"/>
          <w:szCs w:val="20"/>
          <w:color w:val="auto"/>
        </w:rPr>
        <w:tab/>
      </w:r>
      <w:r>
        <w:rPr>
          <w:rFonts w:ascii="Arial" w:cs="Arial" w:eastAsia="Arial" w:hAnsi="Arial"/>
          <w:sz w:val="18"/>
          <w:szCs w:val="18"/>
          <w:color w:val="auto"/>
        </w:rPr>
        <w:t>Todd M. Bluedorn</w:t>
      </w:r>
      <w:r>
        <w:rPr>
          <w:sz w:val="20"/>
          <w:szCs w:val="20"/>
          <w:color w:val="auto"/>
        </w:rPr>
        <w:tab/>
      </w:r>
      <w:r>
        <w:rPr>
          <w:rFonts w:ascii="Arial" w:cs="Arial" w:eastAsia="Arial" w:hAnsi="Arial"/>
          <w:sz w:val="18"/>
          <w:szCs w:val="18"/>
          <w:color w:val="auto"/>
        </w:rPr>
        <w:t>Janet F. Clark</w:t>
      </w:r>
      <w:r>
        <w:rPr>
          <w:sz w:val="20"/>
          <w:szCs w:val="20"/>
          <w:color w:val="auto"/>
        </w:rPr>
        <w:tab/>
      </w:r>
      <w:r>
        <w:rPr>
          <w:rFonts w:ascii="Arial" w:cs="Arial" w:eastAsia="Arial" w:hAnsi="Arial"/>
          <w:sz w:val="17"/>
          <w:szCs w:val="17"/>
          <w:color w:val="auto"/>
        </w:rPr>
        <w:t>Jean M. Hobby</w:t>
      </w:r>
    </w:p>
    <w:p>
      <w:pPr>
        <w:spacing w:after="0" w:line="3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Proposal to ratify appointment of independent registered public accounting firm</w:t>
      </w:r>
    </w:p>
    <w:p>
      <w:pPr>
        <w:spacing w:after="0" w:line="238"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The Audit Committee of the board has the authority and responsibility for the appointment, compensation, retention and oversight of the work of TI’s independent registered public accounting firm. The Audit Committee has appointed Ernst &amp; Young LLP to be TI’s</w:t>
      </w:r>
    </w:p>
    <w:p>
      <w:pPr>
        <w:spacing w:after="0" w:line="124"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43</w:t>
            </w:r>
          </w:p>
        </w:tc>
      </w:tr>
    </w:tbl>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independent registered public accounting firm for 2018.</w:t>
      </w:r>
    </w:p>
    <w:p>
      <w:pPr>
        <w:spacing w:after="0" w:line="212"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TI has engaged Ernst &amp; Young or a predecessor firm to serve as the company’s independent registered public accounting firm for over 60 years. In order to assure continuing auditor independence, the Audit Committee periodically considers whether the annual audit of TI’s financial statements should be conducted by another firm.</w:t>
      </w:r>
    </w:p>
    <w:p>
      <w:pPr>
        <w:spacing w:after="0" w:line="20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97"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Representatives of Ernst &amp; Young are expected to be present and available to respond to appropriate questions at the annual meeting.</w:t>
      </w:r>
    </w:p>
    <w:p>
      <w:pPr>
        <w:ind w:left="200"/>
        <w:spacing w:after="0"/>
        <w:rPr>
          <w:sz w:val="20"/>
          <w:szCs w:val="20"/>
          <w:color w:val="auto"/>
        </w:rPr>
      </w:pPr>
      <w:r>
        <w:rPr>
          <w:rFonts w:ascii="Arial" w:cs="Arial" w:eastAsia="Arial" w:hAnsi="Arial"/>
          <w:sz w:val="18"/>
          <w:szCs w:val="18"/>
          <w:color w:val="auto"/>
        </w:rPr>
        <w:t>They have the opportunity to make a statement if they desire to do so; they have indicated that, as of this date, they do not.</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fees for services provided by Ernst &amp; Young to the company are described below:</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r>
      <w:tr>
        <w:trPr>
          <w:trHeight w:val="196"/>
        </w:trPr>
        <w:tc>
          <w:tcPr>
            <w:tcW w:w="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w:t>
            </w:r>
          </w:p>
        </w:tc>
        <w:tc>
          <w:tcPr>
            <w:tcW w:w="3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9,774,000</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9,664,000</w:t>
            </w:r>
          </w:p>
        </w:tc>
      </w:tr>
      <w:tr>
        <w:trPr>
          <w:trHeight w:val="203"/>
        </w:trPr>
        <w:tc>
          <w:tcPr>
            <w:tcW w:w="2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Audit-Related</w:t>
            </w:r>
          </w:p>
        </w:tc>
        <w:tc>
          <w:tcPr>
            <w:tcW w:w="3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722,000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789,000</w:t>
            </w: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w:t>
            </w:r>
          </w:p>
        </w:tc>
        <w:tc>
          <w:tcPr>
            <w:tcW w:w="3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3,088,000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3,238,000</w:t>
            </w:r>
          </w:p>
        </w:tc>
      </w:tr>
      <w:tr>
        <w:trPr>
          <w:trHeight w:val="217"/>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All Other</w:t>
            </w:r>
          </w:p>
        </w:tc>
        <w:tc>
          <w:tcPr>
            <w:tcW w:w="39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23,000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28,000</w:t>
            </w:r>
          </w:p>
        </w:tc>
      </w:tr>
    </w:tbl>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services provided were as follows:</w:t>
      </w:r>
    </w:p>
    <w:p>
      <w:pPr>
        <w:spacing w:after="0" w:line="212"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Audit: our annual audit, including the audit of internal control over financial reporting, reports on Form 10-Q, assistance with public debt offerings, statutory audits required internationally and accounting consultations.</w:t>
      </w:r>
    </w:p>
    <w:p>
      <w:pPr>
        <w:spacing w:after="0" w:line="197"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Audit-related: including employee benefit plan audits and certification procedures relating to compliance with local-government or other regulatory standards for various non-U.S. subsidiaries.</w:t>
      </w:r>
    </w:p>
    <w:p>
      <w:pPr>
        <w:spacing w:after="0" w:line="197"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Tax: professional services for tax compliance (preparation and review of income tax returns and other tax-related filings) and tax advice on U.S. and foreign tax matters.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Other: TI Foundation audit and training.</w:t>
      </w:r>
    </w:p>
    <w:p>
      <w:pPr>
        <w:spacing w:after="0" w:line="212" w:lineRule="exact"/>
        <w:rPr>
          <w:sz w:val="20"/>
          <w:szCs w:val="20"/>
          <w:color w:val="auto"/>
        </w:rPr>
      </w:pPr>
    </w:p>
    <w:p>
      <w:pPr>
        <w:ind w:left="200" w:right="100"/>
        <w:spacing w:after="0" w:line="275" w:lineRule="auto"/>
        <w:rPr>
          <w:sz w:val="20"/>
          <w:szCs w:val="20"/>
          <w:color w:val="auto"/>
        </w:rPr>
      </w:pPr>
      <w:r>
        <w:rPr>
          <w:rFonts w:ascii="Arial" w:cs="Arial" w:eastAsia="Arial" w:hAnsi="Arial"/>
          <w:sz w:val="17"/>
          <w:szCs w:val="17"/>
          <w:u w:val="single" w:color="auto"/>
          <w:color w:val="auto"/>
        </w:rPr>
        <w:t>Pre-approval policy</w:t>
      </w:r>
      <w:r>
        <w:rPr>
          <w:rFonts w:ascii="Arial" w:cs="Arial" w:eastAsia="Arial" w:hAnsi="Arial"/>
          <w:sz w:val="17"/>
          <w:szCs w:val="17"/>
          <w:color w:val="auto"/>
        </w:rPr>
        <w:t>. The Audit Committee is required to pre-approve the audit and non-audit services to be performed by the independent registered public accounting firm in order to assure that the provision of such services does not impair the firm’s independence.</w:t>
      </w:r>
    </w:p>
    <w:p>
      <w:pPr>
        <w:spacing w:after="0" w:line="17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208"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29"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 Committee or its Chair pre-approved all services provided by Ernst &amp; Young during 2017.</w:t>
      </w:r>
    </w:p>
    <w:p>
      <w:pPr>
        <w:spacing w:after="0" w:line="190" w:lineRule="exact"/>
        <w:rPr>
          <w:sz w:val="20"/>
          <w:szCs w:val="20"/>
          <w:color w:val="auto"/>
        </w:rPr>
      </w:pPr>
    </w:p>
    <w:p>
      <w:pPr>
        <w:ind w:left="200" w:right="840"/>
        <w:spacing w:after="0" w:line="271"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2018.</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Proposal to approve the Texas Instruments 2018 Director Compensation Plan</w:t>
      </w:r>
    </w:p>
    <w:p>
      <w:pPr>
        <w:spacing w:after="0" w:line="238" w:lineRule="exact"/>
        <w:rPr>
          <w:sz w:val="20"/>
          <w:szCs w:val="20"/>
          <w:color w:val="auto"/>
        </w:rPr>
      </w:pPr>
    </w:p>
    <w:p>
      <w:pPr>
        <w:ind w:left="200" w:right="660"/>
        <w:spacing w:after="0" w:line="238" w:lineRule="auto"/>
        <w:rPr>
          <w:sz w:val="20"/>
          <w:szCs w:val="20"/>
          <w:color w:val="auto"/>
        </w:rPr>
      </w:pPr>
      <w:r>
        <w:rPr>
          <w:rFonts w:ascii="Arial" w:cs="Arial" w:eastAsia="Arial" w:hAnsi="Arial"/>
          <w:sz w:val="18"/>
          <w:szCs w:val="18"/>
          <w:color w:val="auto"/>
        </w:rPr>
        <w:t>The company’s 2009 Director Compensation Plan (the “2009 Plan”) governs equity compensation of the company’s non-employee directors and provides them with the opportunity to defer their compensation. This plan was designed to attract and retain qualified individuals to serve as directors of the company and to increase the proprietary and vested interest of directors in the growth and performance of the company. The board believes that the 2009 Plan has been effective in achieving these objectives and that the company continues to need a plan of this type.</w:t>
      </w:r>
    </w:p>
    <w:p>
      <w:pPr>
        <w:spacing w:after="0" w:line="20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2009 Plan expires in April 2019. As of December 31, 2017, there were approximately 1.0 million shares of common stock available for grant under the 2009 Plan. The board recommends that stockholders approve the adoption of the Texas Instruments 2018 Director Compensation Plan (the “2018 Director Plan”). If the 2018 Director Plan is approved, the 2009 Plan will remain in effect for awards outstanding under that Plan until no such awards remain outstanding, however, no further awards will be made under the 2009 Plan. Similarly, no additional amounts will be able to be deferred into the 2009 Plan. If stockholders do not approve the 2018 Director Plan, it will not be implemented.</w:t>
      </w:r>
    </w:p>
    <w:p>
      <w:pPr>
        <w:spacing w:after="0" w:line="205"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The following summary of the 2018 Director Plan is qualified in its entirety by reference to the complete text of the 2018 Director Plan, which is attached to this Proxy Statement as Appendix B. Capitalized terms not separately defined herein have the meanings set forth in the 2018 Director Plan.</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Principal features of the 2018 Director Plan</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Types of awards</w:t>
      </w:r>
    </w:p>
    <w:p>
      <w:pPr>
        <w:spacing w:after="0" w:line="212"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The 2018 Director Plan provides for the grant of the same types of awards as the 2009 Plan: (1) stock options, (2) restricted stock and restricted stock units, and (3) other awards (including stock appreciation rights) valued based on common stock of the company.</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Shares available for awards</w:t>
      </w:r>
    </w:p>
    <w:p>
      <w:pPr>
        <w:spacing w:after="0" w:line="212"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Under the 2018 Director Plan, the number of shares of common stock available for issuance will be 2,000,000, plus shares related to terminated or canceled awards granted under the 2018 Director Plan. Shares available for issuance may be adjusted by the Administrator (defined below) to prevent dilution or enlargement of plan benefits because of stock splits and other events.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Administrator</w:t>
      </w:r>
    </w:p>
    <w:p>
      <w:pPr>
        <w:spacing w:after="0" w:line="212" w:lineRule="exact"/>
        <w:rPr>
          <w:sz w:val="20"/>
          <w:szCs w:val="20"/>
          <w:color w:val="auto"/>
        </w:rPr>
      </w:pPr>
    </w:p>
    <w:p>
      <w:pPr>
        <w:jc w:val="both"/>
        <w:ind w:left="200" w:right="320"/>
        <w:spacing w:after="0"/>
        <w:rPr>
          <w:sz w:val="20"/>
          <w:szCs w:val="20"/>
          <w:color w:val="auto"/>
        </w:rPr>
      </w:pPr>
      <w:r>
        <w:rPr>
          <w:rFonts w:ascii="Arial" w:cs="Arial" w:eastAsia="Arial" w:hAnsi="Arial"/>
          <w:sz w:val="18"/>
          <w:szCs w:val="18"/>
          <w:color w:val="auto"/>
        </w:rPr>
        <w:t>The 2018 Director Plan will be administered by the board or a committee of directors appointed by the board (the “Administrator”). The Administrator will have the power to, among other things, interpret and administer the plan. Decisions of the Administrator are final and binding on all parties.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Grants</w:t>
      </w:r>
    </w:p>
    <w:p>
      <w:pPr>
        <w:spacing w:after="0" w:line="212"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2018 Director Plan provides that each non-employee director will receive an annual grant of options to purchase shares of TI common stock with a grant date value of $100,000, and an annual grant of restricted stock units with a grant date value of $100,000. In addition, each eligible director who is initially elected or appointed after the effective date of the 2018 Director Plan will receive a one-time grant of 2,000 restricted stock units under the 2018 Director Plan. Notwithstanding the foregoing, the total value of awards granted to any director in any given year shall not exceed $500,000 in grant date value.</w:t>
      </w:r>
    </w:p>
    <w:p>
      <w:pPr>
        <w:spacing w:after="0" w:line="20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The company targets pay for non-employee directors, including retainer fees, to be at the median level of pay of our Comparator Group. Every two years, the company reviews and considers comparator compensation levels and, as appropriate, considers changes to ensure our director pay remains aligned with this median. The annual option and RSU grants, the one-time RSU grant to initially elected or appointed directors, and the $ 500,000 annual award limit were determined to be reasonable based on market analysis and total compensation, and to provide adequate flexibility while still imposing a meaningful limit on future grants.</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45</w:t>
            </w:r>
          </w:p>
        </w:tc>
      </w:tr>
    </w:tbl>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55" w:lineRule="auto"/>
        <w:rPr>
          <w:sz w:val="20"/>
          <w:szCs w:val="20"/>
          <w:color w:val="auto"/>
        </w:rPr>
      </w:pPr>
      <w:r>
        <w:rPr>
          <w:rFonts w:ascii="Arial" w:cs="Arial" w:eastAsia="Arial" w:hAnsi="Arial"/>
          <w:sz w:val="17"/>
          <w:szCs w:val="17"/>
          <w:color w:val="auto"/>
        </w:rPr>
        <w:t>Options will become exercisable in four equal annual installments commencing on the first anniversary date of the grant and expire not more than ten years after the date of grant. It is expected that all options granted under the Plan will be non-qualified options for U.S. tax purposes. Each restricted stock unit will be paid or settled by the issuance of one share of TI common stock as soon as practicable after the fourth anniversary of the date of grant. If a director experiences a Separation from Service within 24 months after a Change in Control, options become immediately exercisable and restricted stock units vest immediately and are paid or settled as soon as practicable.</w:t>
      </w:r>
    </w:p>
    <w:p>
      <w:pPr>
        <w:spacing w:after="0" w:line="191"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If a dividend or other distribution, recapitalization, stock split, or another corporate event or transaction described in Section 5(d) of the 2018 Director Plan affects our common stock such that an adjustment is appropriate to prevent dilution or enlargement of the benefits, or potential benefits, intended to be made available under the 2018 Director Plan, then an equitable adjustment shall be made to: (i) the number and type of shares (or other securities or property) which may be made the subject of awards, (ii) the number and type of shares (or other securities or property) subject to outstanding awards, and (iii) the grant, purchase or exercise price with respect to any award. The Administrator may not take any other action to reduce the exercise price of any option as established at the time of grant.</w:t>
      </w:r>
    </w:p>
    <w:p>
      <w:pPr>
        <w:spacing w:after="0" w:line="205"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Awards will be granted for no cash consideration, or for minimal cash consideration if required by applicable law. Awards may provide that upon their exercise the holder will receive cash, stock, other securities, other awards, other property or any combination thereof, as the Administrator will determine. Any shares of stock deliverable under the 2018 Director Plan may consist in whole or in part of authorized and unissued shares or treasury shares.</w:t>
      </w:r>
    </w:p>
    <w:p>
      <w:pPr>
        <w:spacing w:after="0" w:line="202"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The exercise price of stock under any stock option, the grant price of any stock appreciation right, and the purchase price of any security that may be purchased under any other stock-based award will not be less than 100 percent of the fair market value (as defined in the 2018 Director Plan) of the stock or other security on the date of the grant of the option, right or award.</w:t>
      </w:r>
    </w:p>
    <w:p>
      <w:pPr>
        <w:spacing w:after="0" w:line="203"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Unless otherwise determined by the Administrator, no award granted under the 2018 Director Plan may be transferred or otherwise encumbered by the individual to whom it is granted, other than by will, by designation of a beneficiary, or by the laws of descent and distribution. During the individual’s lifetime, each award will be exercisable only by the individual or by the individual’s guardian or legal representative.</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Amendment</w:t>
      </w:r>
    </w:p>
    <w:p>
      <w:pPr>
        <w:spacing w:after="0" w:line="212"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The board of directors may amend, alter, discontinue or terminate the 2018 Director Plan or any portion of the plan any time. However, stockholder approval must be obtained for any amendment or alteration that would increase the number of shares available for awards or increase the total value of awards that may be granted in any given year (other than in connection with certain corporate events, as described in Section 5(d) of the 2018 Director Plan) or any other material amendment of the 2018 Director Plan.</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Term</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awards may be granted under the 2018 Director Plan after the tenth anniversary of the effective date of the 2018 Director Plan.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Deferral</w:t>
      </w:r>
    </w:p>
    <w:p>
      <w:pPr>
        <w:spacing w:after="0" w:line="212"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Each director will be able to elect, with respect to any year, that all or any portion of his or her eligible cash compensation and restricted stock unit grant be deferred in accordance with the terms of the 2018 Director Plan. Each director will be able to elect that his or her deferred compensation for any year be credited to a cash account, a stock unit account or any combination thereof.</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New plan benefits</w:t>
      </w:r>
    </w:p>
    <w:p>
      <w:pPr>
        <w:spacing w:after="0" w:line="205"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The actual number of units granted will depend on the value of our common stock on the date of grant. The following table sets forth the benefits or amounts that would have been received by or allocated to each of the non-employee directors for the fiscal year ending December 31, 2017, had the 2018 Director Plan been in effect on such date.</w:t>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Texas Instruments 2018 Director Compensation Plan (1)</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56"/>
        </w:trPr>
        <w:tc>
          <w:tcPr>
            <w:tcW w:w="37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Participant</w:t>
            </w:r>
          </w:p>
        </w:tc>
        <w:tc>
          <w:tcPr>
            <w:tcW w:w="3420" w:type="dxa"/>
            <w:vAlign w:val="bottom"/>
            <w:tcBorders>
              <w:top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Shares Subject to Options</w:t>
            </w:r>
          </w:p>
        </w:tc>
        <w:tc>
          <w:tcPr>
            <w:tcW w:w="2500" w:type="dxa"/>
            <w:vAlign w:val="bottom"/>
            <w:tcBorders>
              <w:top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Restricted Stock Units</w:t>
            </w:r>
          </w:p>
        </w:tc>
        <w:tc>
          <w:tcPr>
            <w:tcW w:w="1400" w:type="dxa"/>
            <w:vAlign w:val="bottom"/>
            <w:tcBorders>
              <w:top w:val="single" w:sz="8" w:color="auto"/>
            </w:tcBorders>
          </w:tcPr>
          <w:p>
            <w:pPr>
              <w:jc w:val="center"/>
              <w:ind w:left="219"/>
              <w:spacing w:after="0" w:line="155" w:lineRule="exact"/>
              <w:rPr>
                <w:sz w:val="20"/>
                <w:szCs w:val="20"/>
                <w:color w:val="auto"/>
              </w:rPr>
            </w:pPr>
            <w:r>
              <w:rPr>
                <w:rFonts w:ascii="Arial" w:cs="Arial" w:eastAsia="Arial" w:hAnsi="Arial"/>
                <w:sz w:val="14"/>
                <w:szCs w:val="14"/>
                <w:b w:val="1"/>
                <w:bCs w:val="1"/>
                <w:color w:val="auto"/>
                <w:w w:val="99"/>
              </w:rPr>
              <w:t>Total ($)</w:t>
            </w:r>
          </w:p>
        </w:tc>
      </w:tr>
      <w:tr>
        <w:trPr>
          <w:trHeight w:val="196"/>
        </w:trPr>
        <w:tc>
          <w:tcPr>
            <w:tcW w:w="20" w:type="dxa"/>
            <w:vAlign w:val="bottom"/>
          </w:tcPr>
          <w:p>
            <w:pPr>
              <w:spacing w:after="0"/>
              <w:rPr>
                <w:sz w:val="17"/>
                <w:szCs w:val="17"/>
                <w:color w:val="auto"/>
              </w:rPr>
            </w:pPr>
          </w:p>
        </w:tc>
        <w:tc>
          <w:tcPr>
            <w:tcW w:w="3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Non-Employee Director Group (2)</w:t>
            </w:r>
          </w:p>
        </w:tc>
        <w:tc>
          <w:tcPr>
            <w:tcW w:w="3420" w:type="dxa"/>
            <w:vAlign w:val="bottom"/>
            <w:tcBorders>
              <w:top w:val="single" w:sz="8" w:color="auto"/>
            </w:tcBorders>
            <w:shd w:val="clear" w:color="auto" w:fill="CCEEFF"/>
          </w:tcPr>
          <w:p>
            <w:pPr>
              <w:jc w:val="right"/>
              <w:ind w:right="279"/>
              <w:spacing w:after="0" w:line="196" w:lineRule="exact"/>
              <w:rPr>
                <w:sz w:val="20"/>
                <w:szCs w:val="20"/>
                <w:color w:val="auto"/>
              </w:rPr>
            </w:pPr>
            <w:r>
              <w:rPr>
                <w:rFonts w:ascii="Arial" w:cs="Arial" w:eastAsia="Arial" w:hAnsi="Arial"/>
                <w:sz w:val="18"/>
                <w:szCs w:val="18"/>
                <w:color w:val="auto"/>
              </w:rPr>
              <w:t>66,715 (3)</w:t>
            </w:r>
          </w:p>
        </w:tc>
        <w:tc>
          <w:tcPr>
            <w:tcW w:w="2500" w:type="dxa"/>
            <w:vAlign w:val="bottom"/>
            <w:tcBorders>
              <w:top w:val="single" w:sz="8" w:color="auto"/>
            </w:tcBorders>
            <w:shd w:val="clear" w:color="auto" w:fill="CCEEFF"/>
          </w:tcPr>
          <w:p>
            <w:pPr>
              <w:jc w:val="right"/>
              <w:ind w:right="279"/>
              <w:spacing w:after="0" w:line="196" w:lineRule="exact"/>
              <w:rPr>
                <w:sz w:val="20"/>
                <w:szCs w:val="20"/>
                <w:color w:val="auto"/>
              </w:rPr>
            </w:pPr>
            <w:r>
              <w:rPr>
                <w:rFonts w:ascii="Arial" w:cs="Arial" w:eastAsia="Arial" w:hAnsi="Arial"/>
                <w:sz w:val="18"/>
                <w:szCs w:val="18"/>
                <w:color w:val="auto"/>
              </w:rPr>
              <w:t>13,871 (4)</w:t>
            </w: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$ 2,199,285</w:t>
            </w:r>
          </w:p>
        </w:tc>
      </w:tr>
    </w:tbl>
    <w:p>
      <w:pPr>
        <w:spacing w:after="0" w:line="121" w:lineRule="exact"/>
        <w:rPr>
          <w:sz w:val="20"/>
          <w:szCs w:val="20"/>
          <w:color w:val="auto"/>
        </w:rPr>
      </w:pPr>
    </w:p>
    <w:p>
      <w:pPr>
        <w:ind w:left="640" w:right="120" w:hanging="43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the $79.26 closing price of our common stock on January 26, 2017, when 2017 awards were granted. Number of shares and units reported does not include those that may be credited to a director upon an election to defer all or a portion of the director’s cash compensation or dividend equivalents into stock unit accounts because future elections are not determinable.</w:t>
      </w:r>
    </w:p>
    <w:p>
      <w:pPr>
        <w:spacing w:after="0" w:line="130"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right="100"/>
        <w:spacing w:after="0" w:line="239" w:lineRule="auto"/>
        <w:rPr>
          <w:sz w:val="20"/>
          <w:szCs w:val="20"/>
          <w:color w:val="auto"/>
        </w:rPr>
      </w:pPr>
      <w:r>
        <w:rPr>
          <w:rFonts w:ascii="Arial" w:cs="Arial" w:eastAsia="Arial" w:hAnsi="Arial"/>
          <w:sz w:val="18"/>
          <w:szCs w:val="18"/>
          <w:color w:val="auto"/>
        </w:rPr>
        <w:t>As a result of deferral elections made for 2017: four directors deferred a total of $ 368,333 of their cash compensation into stock unit accounts under the 2009 Plan; seven directors deferred receipt of their restricted stock units granted in 2017; and five directors deferred receipt of cash dividend equivalents on restricted stock units in the amount of $203,151, which were paid into director stock unit and cash accounts during 2017.</w:t>
      </w:r>
    </w:p>
    <w:p>
      <w:pPr>
        <w:spacing w:after="0" w:line="107" w:lineRule="exact"/>
        <w:rPr>
          <w:sz w:val="20"/>
          <w:szCs w:val="20"/>
          <w:color w:val="auto"/>
        </w:rPr>
      </w:pPr>
    </w:p>
    <w:p>
      <w:pPr>
        <w:ind w:left="640" w:hanging="43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Currently, there are 11 non-employee directors.</w:t>
      </w:r>
    </w:p>
    <w:p>
      <w:pPr>
        <w:spacing w:after="0" w:line="117" w:lineRule="exact"/>
        <w:rPr>
          <w:rFonts w:ascii="Arial" w:cs="Arial" w:eastAsia="Arial" w:hAnsi="Arial"/>
          <w:sz w:val="18"/>
          <w:szCs w:val="18"/>
          <w:color w:val="auto"/>
        </w:rPr>
      </w:pPr>
    </w:p>
    <w:p>
      <w:pPr>
        <w:ind w:left="640" w:right="460" w:hanging="436"/>
        <w:spacing w:after="0" w:line="246"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non-employee director would have received an option to purchase 6,065 shares of TI common stock had the Plan been in effect in 2017, based on a grant date value of $100,000.</w:t>
      </w:r>
    </w:p>
    <w:p>
      <w:pPr>
        <w:spacing w:after="0" w:line="102" w:lineRule="exact"/>
        <w:rPr>
          <w:rFonts w:ascii="Arial" w:cs="Arial" w:eastAsia="Arial" w:hAnsi="Arial"/>
          <w:sz w:val="18"/>
          <w:szCs w:val="18"/>
          <w:color w:val="auto"/>
        </w:rPr>
      </w:pPr>
    </w:p>
    <w:p>
      <w:pPr>
        <w:ind w:left="640" w:right="260" w:hanging="436"/>
        <w:spacing w:after="0" w:line="239"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non-employee director would have received a grant of 1,261 restricted stock units had the plan been in effect in 2017, based on a grant date value of $100,000. The 2018 Director Plan also provides for additional benefits in the form of other stock-based awards. To date, these types of awards have not been utilized and the non-employee directors would not have been eligible for automatic grant of any such awards.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Tax matters</w:t>
      </w:r>
    </w:p>
    <w:p>
      <w:pPr>
        <w:spacing w:after="0" w:line="205"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A participant who receives a grant of an option or a restricted stock unit will not be in receipt of taxable income under the Internal Revenue Code upon the making of the grant. A participant who receives an option under the 2018 Director Plan will generally recognize ordinary income at the time of exercise in the amount of the excess, if any, of the fair market value of the stock on the date of exercise over the option price. Upon payment or settlement of a restricted stock unit award in cash or stock, the participant will recognize ordinary income equal to the value of any cash or shares received.</w:t>
      </w:r>
    </w:p>
    <w:p>
      <w:pPr>
        <w:spacing w:after="0" w:line="20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The company will not be allowed any deduction for federal income tax purposes upon the grant of options or restricted stock units. The company will be entitled to a deduction for federal income tax purposes in an amount equal to the ordinary income, if any, realized by a participant who exercises an option. Also, the company will be entitled to a deduction for federal income tax purposes at the same time as, and in an amount equal to, the recognition of ordinary income by a participant in respect of restricted stock unit awards under the 2018 Director Plan and the settlement thereof.</w:t>
      </w:r>
    </w:p>
    <w:p>
      <w:pPr>
        <w:spacing w:after="0" w:line="203"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A participant will not be deemed to have received any taxable income under the Internal Revenue Code as a result of a deferral election until the participant receives a distribution. When a distribution is made from a cash account or stock unit account, the participant will recognize ordinary income equal to the value of any cash and shares received. The company will be entitled to a deduction for federal income tax purposes at the time a distribution is made from a cash account or stock unit account in an amount equal to the income recognized by the participant.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board of directors recommends a vote FOR the Texas Instruments 2018 Director Compensation Plan.</w:t>
      </w: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60" w:type="dxa"/>
            <w:vAlign w:val="bottom"/>
          </w:tcPr>
          <w:p>
            <w:pPr>
              <w:jc w:val="center"/>
              <w:ind w:right="4"/>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80" w:type="dxa"/>
            <w:vAlign w:val="bottom"/>
          </w:tcPr>
          <w:p>
            <w:pPr>
              <w:jc w:val="center"/>
              <w:ind w:right="3"/>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60" w:type="dxa"/>
            <w:vAlign w:val="bottom"/>
          </w:tcPr>
          <w:p>
            <w:pPr>
              <w:jc w:val="center"/>
              <w:ind w:right="4"/>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80" w:type="dxa"/>
            <w:vAlign w:val="bottom"/>
          </w:tcPr>
          <w:p>
            <w:pPr>
              <w:jc w:val="center"/>
              <w:ind w:right="3"/>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4"/>
                <w:szCs w:val="14"/>
                <w:color w:val="auto"/>
              </w:rPr>
            </w:pPr>
          </w:p>
        </w:tc>
        <w:tc>
          <w:tcPr>
            <w:tcW w:w="1500" w:type="dxa"/>
            <w:vAlign w:val="bottom"/>
          </w:tcPr>
          <w:p>
            <w:pPr>
              <w:jc w:val="center"/>
              <w:ind w:right="502"/>
              <w:spacing w:after="0"/>
              <w:rPr>
                <w:sz w:val="20"/>
                <w:szCs w:val="20"/>
                <w:color w:val="auto"/>
              </w:rPr>
            </w:pPr>
            <w:r>
              <w:rPr>
                <w:rFonts w:ascii="Arial" w:cs="Arial" w:eastAsia="Arial" w:hAnsi="Arial"/>
                <w:sz w:val="14"/>
                <w:szCs w:val="14"/>
                <w:b w:val="1"/>
                <w:bCs w:val="1"/>
                <w:color w:val="auto"/>
              </w:rPr>
              <w:t>Weighted-</w:t>
            </w:r>
          </w:p>
        </w:tc>
        <w:tc>
          <w:tcPr>
            <w:tcW w:w="1960" w:type="dxa"/>
            <w:vAlign w:val="bottom"/>
          </w:tcPr>
          <w:p>
            <w:pPr>
              <w:jc w:val="center"/>
              <w:ind w:right="4"/>
              <w:spacing w:after="0"/>
              <w:rPr>
                <w:sz w:val="20"/>
                <w:szCs w:val="20"/>
                <w:color w:val="auto"/>
              </w:rPr>
            </w:pPr>
            <w:r>
              <w:rPr>
                <w:rFonts w:ascii="Arial" w:cs="Arial" w:eastAsia="Arial" w:hAnsi="Arial"/>
                <w:sz w:val="14"/>
                <w:szCs w:val="14"/>
                <w:b w:val="1"/>
                <w:bCs w:val="1"/>
                <w:color w:val="auto"/>
              </w:rPr>
              <w:t>for Future</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80" w:type="dxa"/>
            <w:vAlign w:val="bottom"/>
          </w:tcPr>
          <w:p>
            <w:pPr>
              <w:jc w:val="center"/>
              <w:ind w:right="3"/>
              <w:spacing w:after="0"/>
              <w:rPr>
                <w:sz w:val="20"/>
                <w:szCs w:val="20"/>
                <w:color w:val="auto"/>
              </w:rPr>
            </w:pPr>
            <w:r>
              <w:rPr>
                <w:rFonts w:ascii="Arial" w:cs="Arial" w:eastAsia="Arial" w:hAnsi="Arial"/>
                <w:sz w:val="14"/>
                <w:szCs w:val="14"/>
                <w:b w:val="1"/>
                <w:bCs w:val="1"/>
                <w:color w:val="auto"/>
              </w:rPr>
              <w:t>to be Issued Upon</w:t>
            </w:r>
          </w:p>
        </w:tc>
        <w:tc>
          <w:tcPr>
            <w:tcW w:w="340" w:type="dxa"/>
            <w:vAlign w:val="bottom"/>
          </w:tcPr>
          <w:p>
            <w:pPr>
              <w:spacing w:after="0"/>
              <w:rPr>
                <w:sz w:val="14"/>
                <w:szCs w:val="14"/>
                <w:color w:val="auto"/>
              </w:rPr>
            </w:pPr>
          </w:p>
        </w:tc>
        <w:tc>
          <w:tcPr>
            <w:tcW w:w="1500" w:type="dxa"/>
            <w:vAlign w:val="bottom"/>
          </w:tcPr>
          <w:p>
            <w:pPr>
              <w:jc w:val="center"/>
              <w:ind w:right="502"/>
              <w:spacing w:after="0"/>
              <w:rPr>
                <w:sz w:val="20"/>
                <w:szCs w:val="20"/>
                <w:color w:val="auto"/>
              </w:rPr>
            </w:pPr>
            <w:r>
              <w:rPr>
                <w:rFonts w:ascii="Arial" w:cs="Arial" w:eastAsia="Arial" w:hAnsi="Arial"/>
                <w:sz w:val="14"/>
                <w:szCs w:val="14"/>
                <w:b w:val="1"/>
                <w:bCs w:val="1"/>
                <w:color w:val="auto"/>
              </w:rPr>
              <w:t>Average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Issuance</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80" w:type="dxa"/>
            <w:vAlign w:val="bottom"/>
          </w:tcPr>
          <w:p>
            <w:pPr>
              <w:jc w:val="center"/>
              <w:ind w:right="3"/>
              <w:spacing w:after="0"/>
              <w:rPr>
                <w:sz w:val="20"/>
                <w:szCs w:val="20"/>
                <w:color w:val="auto"/>
              </w:rPr>
            </w:pPr>
            <w:r>
              <w:rPr>
                <w:rFonts w:ascii="Arial" w:cs="Arial" w:eastAsia="Arial" w:hAnsi="Arial"/>
                <w:sz w:val="14"/>
                <w:szCs w:val="14"/>
                <w:b w:val="1"/>
                <w:bCs w:val="1"/>
                <w:color w:val="auto"/>
              </w:rPr>
              <w:t>Exercise of</w:t>
            </w: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Exercise Price of</w:t>
            </w:r>
          </w:p>
        </w:tc>
        <w:tc>
          <w:tcPr>
            <w:tcW w:w="1960" w:type="dxa"/>
            <w:vAlign w:val="bottom"/>
          </w:tcPr>
          <w:p>
            <w:pPr>
              <w:jc w:val="center"/>
              <w:ind w:right="4"/>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80" w:type="dxa"/>
            <w:vAlign w:val="bottom"/>
          </w:tcPr>
          <w:p>
            <w:pPr>
              <w:jc w:val="center"/>
              <w:ind w:right="3"/>
              <w:spacing w:after="0"/>
              <w:rPr>
                <w:sz w:val="20"/>
                <w:szCs w:val="20"/>
                <w:color w:val="auto"/>
              </w:rPr>
            </w:pPr>
            <w:r>
              <w:rPr>
                <w:rFonts w:ascii="Arial" w:cs="Arial" w:eastAsia="Arial" w:hAnsi="Arial"/>
                <w:sz w:val="14"/>
                <w:szCs w:val="14"/>
                <w:b w:val="1"/>
                <w:bCs w:val="1"/>
                <w:color w:val="auto"/>
              </w:rPr>
              <w:t>Outstanding</w:t>
            </w:r>
          </w:p>
        </w:tc>
        <w:tc>
          <w:tcPr>
            <w:tcW w:w="340" w:type="dxa"/>
            <w:vAlign w:val="bottom"/>
          </w:tcPr>
          <w:p>
            <w:pPr>
              <w:spacing w:after="0"/>
              <w:rPr>
                <w:sz w:val="14"/>
                <w:szCs w:val="14"/>
                <w:color w:val="auto"/>
              </w:rPr>
            </w:pPr>
          </w:p>
        </w:tc>
        <w:tc>
          <w:tcPr>
            <w:tcW w:w="1500" w:type="dxa"/>
            <w:vAlign w:val="bottom"/>
          </w:tcPr>
          <w:p>
            <w:pPr>
              <w:jc w:val="center"/>
              <w:ind w:right="502"/>
              <w:spacing w:after="0"/>
              <w:rPr>
                <w:sz w:val="20"/>
                <w:szCs w:val="20"/>
                <w:color w:val="auto"/>
              </w:rPr>
            </w:pPr>
            <w:r>
              <w:rPr>
                <w:rFonts w:ascii="Arial" w:cs="Arial" w:eastAsia="Arial" w:hAnsi="Arial"/>
                <w:sz w:val="14"/>
                <w:szCs w:val="14"/>
                <w:b w:val="1"/>
                <w:bCs w:val="1"/>
                <w:color w:val="auto"/>
              </w:rPr>
              <w:t>Outstanding</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80" w:type="dxa"/>
            <w:vAlign w:val="bottom"/>
          </w:tcPr>
          <w:p>
            <w:pPr>
              <w:jc w:val="center"/>
              <w:ind w:right="23"/>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4"/>
                <w:szCs w:val="14"/>
                <w:color w:val="auto"/>
              </w:rPr>
            </w:pPr>
          </w:p>
        </w:tc>
        <w:tc>
          <w:tcPr>
            <w:tcW w:w="1500" w:type="dxa"/>
            <w:vAlign w:val="bottom"/>
          </w:tcPr>
          <w:p>
            <w:pPr>
              <w:jc w:val="center"/>
              <w:ind w:right="502"/>
              <w:spacing w:after="0"/>
              <w:rPr>
                <w:sz w:val="20"/>
                <w:szCs w:val="20"/>
                <w:color w:val="auto"/>
              </w:rPr>
            </w:pPr>
            <w:r>
              <w:rPr>
                <w:rFonts w:ascii="Arial" w:cs="Arial" w:eastAsia="Arial" w:hAnsi="Arial"/>
                <w:sz w:val="14"/>
                <w:szCs w:val="14"/>
                <w:b w:val="1"/>
                <w:bCs w:val="1"/>
                <w:color w:val="auto"/>
              </w:rPr>
              <w:t>Options,</w:t>
            </w:r>
          </w:p>
        </w:tc>
        <w:tc>
          <w:tcPr>
            <w:tcW w:w="1960" w:type="dxa"/>
            <w:vAlign w:val="bottom"/>
          </w:tcPr>
          <w:p>
            <w:pPr>
              <w:jc w:val="center"/>
              <w:ind w:right="4"/>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80" w:type="dxa"/>
            <w:vAlign w:val="bottom"/>
          </w:tcPr>
          <w:p>
            <w:pPr>
              <w:jc w:val="center"/>
              <w:ind w:right="3"/>
              <w:spacing w:after="0"/>
              <w:rPr>
                <w:sz w:val="20"/>
                <w:szCs w:val="20"/>
                <w:color w:val="auto"/>
              </w:rPr>
            </w:pPr>
            <w:r>
              <w:rPr>
                <w:rFonts w:ascii="Arial" w:cs="Arial" w:eastAsia="Arial" w:hAnsi="Arial"/>
                <w:sz w:val="14"/>
                <w:szCs w:val="14"/>
                <w:b w:val="1"/>
                <w:bCs w:val="1"/>
                <w:color w:val="auto"/>
              </w:rPr>
              <w:t>Warrants and</w:t>
            </w:r>
          </w:p>
        </w:tc>
        <w:tc>
          <w:tcPr>
            <w:tcW w:w="340" w:type="dxa"/>
            <w:vAlign w:val="bottom"/>
          </w:tcPr>
          <w:p>
            <w:pPr>
              <w:spacing w:after="0"/>
              <w:rPr>
                <w:sz w:val="14"/>
                <w:szCs w:val="14"/>
                <w:color w:val="auto"/>
              </w:rPr>
            </w:pPr>
          </w:p>
        </w:tc>
        <w:tc>
          <w:tcPr>
            <w:tcW w:w="1500" w:type="dxa"/>
            <w:vAlign w:val="bottom"/>
          </w:tcPr>
          <w:p>
            <w:pPr>
              <w:jc w:val="center"/>
              <w:ind w:right="502"/>
              <w:spacing w:after="0"/>
              <w:rPr>
                <w:sz w:val="20"/>
                <w:szCs w:val="20"/>
                <w:color w:val="auto"/>
              </w:rPr>
            </w:pPr>
            <w:r>
              <w:rPr>
                <w:rFonts w:ascii="Arial" w:cs="Arial" w:eastAsia="Arial" w:hAnsi="Arial"/>
                <w:sz w:val="14"/>
                <w:szCs w:val="14"/>
                <w:b w:val="1"/>
                <w:bCs w:val="1"/>
                <w:color w:val="auto"/>
              </w:rPr>
              <w:t>Warrants and</w:t>
            </w:r>
          </w:p>
        </w:tc>
        <w:tc>
          <w:tcPr>
            <w:tcW w:w="1960" w:type="dxa"/>
            <w:vAlign w:val="bottom"/>
          </w:tcPr>
          <w:p>
            <w:pPr>
              <w:jc w:val="center"/>
              <w:ind w:right="44"/>
              <w:spacing w:after="0"/>
              <w:rPr>
                <w:sz w:val="20"/>
                <w:szCs w:val="20"/>
                <w:color w:val="auto"/>
              </w:rPr>
            </w:pPr>
            <w:r>
              <w:rPr>
                <w:rFonts w:ascii="Arial" w:cs="Arial" w:eastAsia="Arial" w:hAnsi="Arial"/>
                <w:sz w:val="14"/>
                <w:szCs w:val="14"/>
                <w:b w:val="1"/>
                <w:bCs w:val="1"/>
                <w:color w:val="auto"/>
              </w:rPr>
              <w:t>securities reflected</w:t>
            </w:r>
          </w:p>
        </w:tc>
      </w:tr>
      <w:tr>
        <w:trPr>
          <w:trHeight w:val="189"/>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080" w:type="dxa"/>
            <w:vAlign w:val="bottom"/>
          </w:tcPr>
          <w:p>
            <w:pPr>
              <w:jc w:val="center"/>
              <w:ind w:right="23"/>
              <w:spacing w:after="0"/>
              <w:rPr>
                <w:sz w:val="20"/>
                <w:szCs w:val="20"/>
                <w:color w:val="auto"/>
              </w:rPr>
            </w:pPr>
            <w:r>
              <w:rPr>
                <w:rFonts w:ascii="Arial" w:cs="Arial" w:eastAsia="Arial" w:hAnsi="Arial"/>
                <w:sz w:val="14"/>
                <w:szCs w:val="14"/>
                <w:b w:val="1"/>
                <w:bCs w:val="1"/>
                <w:color w:val="auto"/>
              </w:rPr>
              <w:t>Rights (a)</w:t>
            </w:r>
          </w:p>
        </w:tc>
        <w:tc>
          <w:tcPr>
            <w:tcW w:w="340" w:type="dxa"/>
            <w:vAlign w:val="bottom"/>
          </w:tcPr>
          <w:p>
            <w:pPr>
              <w:spacing w:after="0"/>
              <w:rPr>
                <w:sz w:val="16"/>
                <w:szCs w:val="16"/>
                <w:color w:val="auto"/>
              </w:rPr>
            </w:pPr>
          </w:p>
        </w:tc>
        <w:tc>
          <w:tcPr>
            <w:tcW w:w="1500" w:type="dxa"/>
            <w:vAlign w:val="bottom"/>
          </w:tcPr>
          <w:p>
            <w:pPr>
              <w:jc w:val="center"/>
              <w:ind w:right="502"/>
              <w:spacing w:after="0"/>
              <w:rPr>
                <w:sz w:val="20"/>
                <w:szCs w:val="20"/>
                <w:color w:val="auto"/>
              </w:rPr>
            </w:pPr>
            <w:r>
              <w:rPr>
                <w:rFonts w:ascii="Arial" w:cs="Arial" w:eastAsia="Arial" w:hAnsi="Arial"/>
                <w:sz w:val="14"/>
                <w:szCs w:val="14"/>
                <w:b w:val="1"/>
                <w:bCs w:val="1"/>
                <w:color w:val="auto"/>
              </w:rPr>
              <w:t>Rights (b)</w:t>
            </w:r>
          </w:p>
        </w:tc>
        <w:tc>
          <w:tcPr>
            <w:tcW w:w="1960" w:type="dxa"/>
            <w:vAlign w:val="bottom"/>
          </w:tcPr>
          <w:p>
            <w:pPr>
              <w:jc w:val="center"/>
              <w:ind w:right="4"/>
              <w:spacing w:after="0"/>
              <w:rPr>
                <w:sz w:val="20"/>
                <w:szCs w:val="20"/>
                <w:color w:val="auto"/>
              </w:rPr>
            </w:pPr>
            <w:r>
              <w:rPr>
                <w:rFonts w:ascii="Arial" w:cs="Arial" w:eastAsia="Arial" w:hAnsi="Arial"/>
                <w:sz w:val="14"/>
                <w:szCs w:val="14"/>
                <w:b w:val="1"/>
                <w:bCs w:val="1"/>
                <w:color w:val="auto"/>
              </w:rPr>
              <w:t>in column (a)) (c)</w:t>
            </w:r>
          </w:p>
        </w:tc>
      </w:tr>
      <w:tr>
        <w:trPr>
          <w:trHeight w:val="196"/>
        </w:trPr>
        <w:tc>
          <w:tcPr>
            <w:tcW w:w="20" w:type="dxa"/>
            <w:vAlign w:val="bottom"/>
          </w:tcPr>
          <w:p>
            <w:pPr>
              <w:spacing w:after="0"/>
              <w:rPr>
                <w:sz w:val="17"/>
                <w:szCs w:val="17"/>
                <w:color w:val="auto"/>
              </w:rPr>
            </w:pPr>
          </w:p>
        </w:tc>
        <w:tc>
          <w:tcPr>
            <w:tcW w:w="5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compensation plans approved by security holders</w:t>
            </w:r>
          </w:p>
        </w:tc>
        <w:tc>
          <w:tcPr>
            <w:tcW w:w="2080" w:type="dxa"/>
            <w:vAlign w:val="bottom"/>
            <w:tcBorders>
              <w:top w:val="single" w:sz="8" w:color="auto"/>
            </w:tcBorders>
            <w:shd w:val="clear" w:color="auto" w:fill="CCEEFF"/>
          </w:tcPr>
          <w:p>
            <w:pPr>
              <w:jc w:val="right"/>
              <w:ind w:right="163"/>
              <w:spacing w:after="0" w:line="196" w:lineRule="exact"/>
              <w:rPr>
                <w:sz w:val="20"/>
                <w:szCs w:val="20"/>
                <w:color w:val="auto"/>
              </w:rPr>
            </w:pPr>
            <w:r>
              <w:rPr>
                <w:rFonts w:ascii="Arial" w:cs="Arial" w:eastAsia="Arial" w:hAnsi="Arial"/>
                <w:sz w:val="18"/>
                <w:szCs w:val="18"/>
                <w:color w:val="auto"/>
              </w:rPr>
              <w:t>52,939,620 (1)</w:t>
            </w:r>
          </w:p>
        </w:tc>
        <w:tc>
          <w:tcPr>
            <w:tcW w:w="340" w:type="dxa"/>
            <w:vAlign w:val="bottom"/>
            <w:tcBorders>
              <w:top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62"/>
              <w:spacing w:after="0" w:line="196" w:lineRule="exact"/>
              <w:rPr>
                <w:sz w:val="20"/>
                <w:szCs w:val="20"/>
                <w:color w:val="auto"/>
              </w:rPr>
            </w:pPr>
            <w:r>
              <w:rPr>
                <w:rFonts w:ascii="Arial" w:cs="Arial" w:eastAsia="Arial" w:hAnsi="Arial"/>
                <w:sz w:val="18"/>
                <w:szCs w:val="18"/>
                <w:color w:val="auto"/>
              </w:rPr>
              <w:t>48.68 (2)</w:t>
            </w:r>
          </w:p>
        </w:tc>
        <w:tc>
          <w:tcPr>
            <w:tcW w:w="1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88,998,010 (3)</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Equity compensation plans not approved by security holders</w:t>
            </w:r>
          </w:p>
        </w:tc>
        <w:tc>
          <w:tcPr>
            <w:tcW w:w="2080" w:type="dxa"/>
            <w:vAlign w:val="bottom"/>
          </w:tcPr>
          <w:p>
            <w:pPr>
              <w:jc w:val="right"/>
              <w:ind w:right="163"/>
              <w:spacing w:after="0" w:line="202" w:lineRule="exact"/>
              <w:rPr>
                <w:sz w:val="20"/>
                <w:szCs w:val="20"/>
                <w:color w:val="auto"/>
              </w:rPr>
            </w:pPr>
            <w:r>
              <w:rPr>
                <w:rFonts w:ascii="Arial" w:cs="Arial" w:eastAsia="Arial" w:hAnsi="Arial"/>
                <w:sz w:val="18"/>
                <w:szCs w:val="18"/>
                <w:color w:val="auto"/>
              </w:rPr>
              <w:t>1,391,991 (4)</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62"/>
              <w:spacing w:after="0" w:line="202" w:lineRule="exact"/>
              <w:rPr>
                <w:sz w:val="20"/>
                <w:szCs w:val="20"/>
                <w:color w:val="auto"/>
              </w:rPr>
            </w:pPr>
            <w:r>
              <w:rPr>
                <w:rFonts w:ascii="Arial" w:cs="Arial" w:eastAsia="Arial" w:hAnsi="Arial"/>
                <w:sz w:val="18"/>
                <w:szCs w:val="18"/>
                <w:color w:val="auto"/>
              </w:rPr>
              <w:t>48.49 (2)</w:t>
            </w:r>
          </w:p>
        </w:tc>
        <w:tc>
          <w:tcPr>
            <w:tcW w:w="1960" w:type="dxa"/>
            <w:vAlign w:val="bottom"/>
          </w:tcPr>
          <w:p>
            <w:pPr>
              <w:jc w:val="right"/>
              <w:ind w:right="204"/>
              <w:spacing w:after="0" w:line="202" w:lineRule="exact"/>
              <w:rPr>
                <w:sz w:val="20"/>
                <w:szCs w:val="20"/>
                <w:color w:val="auto"/>
              </w:rPr>
            </w:pPr>
            <w:r>
              <w:rPr>
                <w:rFonts w:ascii="Arial" w:cs="Arial" w:eastAsia="Arial" w:hAnsi="Arial"/>
                <w:sz w:val="18"/>
                <w:szCs w:val="18"/>
                <w:color w:val="auto"/>
              </w:rPr>
              <w:t>0</w:t>
            </w: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080" w:type="dxa"/>
            <w:vAlign w:val="bottom"/>
            <w:shd w:val="clear" w:color="auto" w:fill="CCEEFF"/>
          </w:tcPr>
          <w:p>
            <w:pPr>
              <w:jc w:val="right"/>
              <w:ind w:right="163"/>
              <w:spacing w:after="0" w:line="202" w:lineRule="exact"/>
              <w:rPr>
                <w:sz w:val="20"/>
                <w:szCs w:val="20"/>
                <w:color w:val="auto"/>
              </w:rPr>
            </w:pPr>
            <w:r>
              <w:rPr>
                <w:rFonts w:ascii="Arial" w:cs="Arial" w:eastAsia="Arial" w:hAnsi="Arial"/>
                <w:sz w:val="18"/>
                <w:szCs w:val="18"/>
                <w:color w:val="auto"/>
              </w:rPr>
              <w:t>54,331,611 (5)</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82"/>
              <w:spacing w:after="0" w:line="202" w:lineRule="exact"/>
              <w:rPr>
                <w:sz w:val="20"/>
                <w:szCs w:val="20"/>
                <w:color w:val="auto"/>
              </w:rPr>
            </w:pPr>
            <w:r>
              <w:rPr>
                <w:rFonts w:ascii="Arial" w:cs="Arial" w:eastAsia="Arial" w:hAnsi="Arial"/>
                <w:sz w:val="18"/>
                <w:szCs w:val="18"/>
                <w:color w:val="auto"/>
              </w:rPr>
              <w:t>48.67</w:t>
            </w:r>
          </w:p>
        </w:tc>
        <w:tc>
          <w:tcPr>
            <w:tcW w:w="1960" w:type="dxa"/>
            <w:vAlign w:val="bottom"/>
            <w:shd w:val="clear" w:color="auto" w:fill="CCEEFF"/>
          </w:tcPr>
          <w:p>
            <w:pPr>
              <w:jc w:val="right"/>
              <w:ind w:right="204"/>
              <w:spacing w:after="0" w:line="202" w:lineRule="exact"/>
              <w:rPr>
                <w:sz w:val="20"/>
                <w:szCs w:val="20"/>
                <w:color w:val="auto"/>
              </w:rPr>
            </w:pPr>
            <w:r>
              <w:rPr>
                <w:rFonts w:ascii="Arial" w:cs="Arial" w:eastAsia="Arial" w:hAnsi="Arial"/>
                <w:sz w:val="18"/>
                <w:szCs w:val="18"/>
                <w:color w:val="auto"/>
              </w:rPr>
              <w:t>88,998,010</w:t>
            </w:r>
          </w:p>
        </w:tc>
      </w:tr>
    </w:tbl>
    <w:p>
      <w:pPr>
        <w:spacing w:after="0" w:line="121" w:lineRule="exact"/>
        <w:rPr>
          <w:sz w:val="20"/>
          <w:szCs w:val="20"/>
          <w:color w:val="auto"/>
        </w:rPr>
      </w:pPr>
    </w:p>
    <w:p>
      <w:pPr>
        <w:ind w:left="640" w:right="80" w:hanging="436"/>
        <w:spacing w:after="0" w:line="239"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shares of TI common stock to be issued under the Texas Instruments 2003 Director Compensation Plan (the “2003 Director Plan”), the Texas Instruments 2009 Long-Term Incentive Plan (the “2009 LTIP”) and predecessor stockholder-approved plans, the Texas Instruments 2009 Director Compensation Plan (the “2009 Director Plan”) and the TI Employees 2014 Stock Purchase Plan (the “2014 ESPP”).</w:t>
      </w:r>
    </w:p>
    <w:p>
      <w:pPr>
        <w:spacing w:after="0" w:line="107" w:lineRule="exact"/>
        <w:rPr>
          <w:rFonts w:ascii="Arial" w:cs="Arial" w:eastAsia="Arial" w:hAnsi="Arial"/>
          <w:sz w:val="18"/>
          <w:szCs w:val="18"/>
          <w:color w:val="auto"/>
        </w:rPr>
      </w:pPr>
    </w:p>
    <w:p>
      <w:pPr>
        <w:ind w:left="640" w:right="20" w:hanging="436"/>
        <w:spacing w:after="0" w:line="275"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101"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47</w:t>
            </w:r>
          </w:p>
        </w:tc>
      </w:tr>
    </w:tbl>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right="560" w:hanging="436"/>
        <w:spacing w:after="0" w:line="239"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TI common stock available for future issuance under the 2009 LTIP, the 2009 Director Plan and the 2014 ESPP. 52,549,619 shares remain available for future issuance under the 2009 LTIP and 1,045,755 shares remain available for future issuance under the 2009 Director Plan. Under the 2009 LTIP and the 2009 Director Plan, shares may be granted in the form of restricted stock units, options or other stock-based awards such as restricted stock.</w:t>
      </w:r>
    </w:p>
    <w:p>
      <w:pPr>
        <w:spacing w:after="0" w:line="107" w:lineRule="exact"/>
        <w:rPr>
          <w:rFonts w:ascii="Arial" w:cs="Arial" w:eastAsia="Arial" w:hAnsi="Arial"/>
          <w:sz w:val="18"/>
          <w:szCs w:val="18"/>
          <w:color w:val="auto"/>
        </w:rPr>
      </w:pPr>
    </w:p>
    <w:p>
      <w:pPr>
        <w:ind w:left="640" w:right="140" w:hanging="436"/>
        <w:spacing w:after="0" w:line="251"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Includes shares to be issued under the Texas Instruments 2003 Long-Term Incentive Plan (the “2003 LTIP”). The 2003 LTIP was replaced by the 2009 LTIP, which was approved by stockholders. No further grants may be made under the 2003 LTIP. Only non-management employees were eligible to receive awards under the 2003 LTIP. The 2003 LTIP authorized the grant of shares in the form of restricted stock units, options or other stock-based awards such as restricted stock. The plan is administered by a committee of independent directors (the Committee). The Committee had the sole discretion to grant to eligible participants one or more equity awards and to determine the number or amount of any award. Except in the case of awards made through assumption of, or in substitution for, outstanding awards previously granted by an acquired company, and except as a result of an adjustment event such as a stock split, the exercise price under any stock option, the grant price of any stock appreciation right, and the purchase price of any security that could be purchased under any other stock-based award under the 2003 LTIP could not be less than 100 percent of the fair market value of the stock or other security on the effective date of the grant of the option, right or award.</w:t>
      </w:r>
    </w:p>
    <w:p>
      <w:pPr>
        <w:spacing w:after="0" w:line="103" w:lineRule="exact"/>
        <w:rPr>
          <w:rFonts w:ascii="Arial" w:cs="Arial" w:eastAsia="Arial" w:hAnsi="Arial"/>
          <w:sz w:val="17"/>
          <w:szCs w:val="17"/>
          <w:color w:val="auto"/>
        </w:rPr>
      </w:pPr>
    </w:p>
    <w:p>
      <w:pPr>
        <w:ind w:left="640" w:right="300"/>
        <w:spacing w:after="0"/>
        <w:rPr>
          <w:rFonts w:ascii="Arial" w:cs="Arial" w:eastAsia="Arial" w:hAnsi="Arial"/>
          <w:sz w:val="17"/>
          <w:szCs w:val="17"/>
          <w:color w:val="auto"/>
        </w:rPr>
      </w:pPr>
      <w:r>
        <w:rPr>
          <w:rFonts w:ascii="Arial" w:cs="Arial" w:eastAsia="Arial" w:hAnsi="Arial"/>
          <w:sz w:val="18"/>
          <w:szCs w:val="18"/>
          <w:color w:val="auto"/>
        </w:rPr>
        <w:t>Also includes shares to be issued under the Texas Instruments Directors Deferred Compensation Plan and the Texas Instruments Restricted Stock Unit Plan for Directors. These plans were replaced by the stockholder-approved 2003 Director Plan (which was replaced by the 2009 Director Plan), and no further grants may be made under them.</w:t>
      </w:r>
    </w:p>
    <w:p>
      <w:pPr>
        <w:spacing w:after="0" w:line="108" w:lineRule="exact"/>
        <w:rPr>
          <w:rFonts w:ascii="Arial" w:cs="Arial" w:eastAsia="Arial" w:hAnsi="Arial"/>
          <w:sz w:val="17"/>
          <w:szCs w:val="17"/>
          <w:color w:val="auto"/>
        </w:rPr>
      </w:pPr>
    </w:p>
    <w:p>
      <w:pPr>
        <w:jc w:val="both"/>
        <w:ind w:left="640" w:right="20" w:hanging="43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44,754,593 shares for issuance upon exercise of outstanding grants of options, 9,225,643 shares for issuance upon vesting of outstanding grants of restricted stock units, 202,179 shares for issuance under the 2014 ESPP and 149,196 shares for issuance in settlement of directors’ deferred compensation accounts.</w:t>
      </w:r>
    </w:p>
    <w:p>
      <w:pPr>
        <w:spacing w:after="0" w:line="38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Additional information</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Voting securities</w:t>
      </w:r>
    </w:p>
    <w:p>
      <w:pPr>
        <w:spacing w:after="0" w:line="205"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As stated in the notice of annual meeting, holders of record of the common stock at the close of business on February 26, 2018, may vote at the meeting or any adjournment of the meeting. As of February 26, 2018, 983,105,798 shares of TI common stock were outstanding. This is the only class of capital stock entitled to vote at the meeting. Each holder of common stock has one vote for each share held.</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Security ownership of certain beneficial owners</w:t>
      </w:r>
    </w:p>
    <w:p>
      <w:pPr>
        <w:spacing w:after="0" w:line="205" w:lineRule="exact"/>
        <w:rPr>
          <w:sz w:val="20"/>
          <w:szCs w:val="20"/>
          <w:color w:val="auto"/>
        </w:rPr>
      </w:pPr>
    </w:p>
    <w:p>
      <w:pPr>
        <w:jc w:val="both"/>
        <w:ind w:left="200" w:right="220"/>
        <w:spacing w:after="0"/>
        <w:rPr>
          <w:sz w:val="20"/>
          <w:szCs w:val="20"/>
          <w:color w:val="auto"/>
        </w:rPr>
      </w:pPr>
      <w:r>
        <w:rPr>
          <w:rFonts w:ascii="Arial" w:cs="Arial" w:eastAsia="Arial" w:hAnsi="Arial"/>
          <w:sz w:val="18"/>
          <w:szCs w:val="18"/>
          <w:color w:val="auto"/>
        </w:rPr>
        <w:t>The following table shows the only persons who have reported beneficial ownership of more than 5 percent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360" w:type="dxa"/>
            <w:vAlign w:val="bottom"/>
          </w:tcPr>
          <w:p>
            <w:pPr>
              <w:jc w:val="right"/>
              <w:ind w:right="459"/>
              <w:spacing w:after="0"/>
              <w:rPr>
                <w:sz w:val="20"/>
                <w:szCs w:val="20"/>
                <w:color w:val="auto"/>
              </w:rPr>
            </w:pPr>
            <w:r>
              <w:rPr>
                <w:rFonts w:ascii="Arial" w:cs="Arial" w:eastAsia="Arial" w:hAnsi="Arial"/>
                <w:sz w:val="14"/>
                <w:szCs w:val="14"/>
                <w:b w:val="1"/>
                <w:bCs w:val="1"/>
                <w:color w:val="auto"/>
              </w:rPr>
              <w:t>Shares Owned at</w:t>
            </w:r>
          </w:p>
        </w:tc>
        <w:tc>
          <w:tcPr>
            <w:tcW w:w="1060" w:type="dxa"/>
            <w:vAlign w:val="bottom"/>
          </w:tcPr>
          <w:p>
            <w:pPr>
              <w:jc w:val="right"/>
              <w:ind w:right="17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9"/>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2360" w:type="dxa"/>
            <w:vAlign w:val="bottom"/>
          </w:tcPr>
          <w:p>
            <w:pPr>
              <w:jc w:val="right"/>
              <w:ind w:right="399"/>
              <w:spacing w:after="0"/>
              <w:rPr>
                <w:sz w:val="20"/>
                <w:szCs w:val="20"/>
                <w:color w:val="auto"/>
              </w:rPr>
            </w:pPr>
            <w:r>
              <w:rPr>
                <w:rFonts w:ascii="Arial" w:cs="Arial" w:eastAsia="Arial" w:hAnsi="Arial"/>
                <w:sz w:val="14"/>
                <w:szCs w:val="14"/>
                <w:b w:val="1"/>
                <w:bCs w:val="1"/>
                <w:color w:val="auto"/>
              </w:rPr>
              <w:t>December 31, 2017</w:t>
            </w:r>
          </w:p>
        </w:tc>
        <w:tc>
          <w:tcPr>
            <w:tcW w:w="1060" w:type="dxa"/>
            <w:vAlign w:val="bottom"/>
          </w:tcPr>
          <w:p>
            <w:pPr>
              <w:jc w:val="right"/>
              <w:ind w:right="159"/>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The Vanguard Group</w:t>
            </w:r>
          </w:p>
        </w:tc>
        <w:tc>
          <w:tcPr>
            <w:tcW w:w="23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100 Vanguard Blvd.</w:t>
            </w:r>
          </w:p>
        </w:tc>
        <w:tc>
          <w:tcPr>
            <w:tcW w:w="2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Malvern, PA 19355</w:t>
            </w:r>
          </w:p>
        </w:tc>
        <w:tc>
          <w:tcPr>
            <w:tcW w:w="2360" w:type="dxa"/>
            <w:vAlign w:val="bottom"/>
            <w:shd w:val="clear" w:color="auto" w:fill="CCEEFF"/>
          </w:tcPr>
          <w:p>
            <w:pPr>
              <w:jc w:val="right"/>
              <w:ind w:right="179"/>
              <w:spacing w:after="0" w:line="203" w:lineRule="exact"/>
              <w:rPr>
                <w:sz w:val="20"/>
                <w:szCs w:val="20"/>
                <w:color w:val="auto"/>
              </w:rPr>
            </w:pPr>
            <w:r>
              <w:rPr>
                <w:rFonts w:ascii="Arial" w:cs="Arial" w:eastAsia="Arial" w:hAnsi="Arial"/>
                <w:sz w:val="18"/>
                <w:szCs w:val="18"/>
                <w:color w:val="auto"/>
              </w:rPr>
              <w:t>83,312,134 (1)</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6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BlackRock, Inc.</w:t>
            </w:r>
          </w:p>
        </w:tc>
        <w:tc>
          <w:tcPr>
            <w:tcW w:w="2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2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New York, NY 10055</w:t>
            </w:r>
          </w:p>
        </w:tc>
        <w:tc>
          <w:tcPr>
            <w:tcW w:w="2360" w:type="dxa"/>
            <w:vAlign w:val="bottom"/>
            <w:shd w:val="clear" w:color="auto" w:fill="CCEEFF"/>
          </w:tcPr>
          <w:p>
            <w:pPr>
              <w:jc w:val="right"/>
              <w:ind w:right="179"/>
              <w:spacing w:after="0" w:line="203" w:lineRule="exact"/>
              <w:rPr>
                <w:sz w:val="20"/>
                <w:szCs w:val="20"/>
                <w:color w:val="auto"/>
              </w:rPr>
            </w:pPr>
            <w:r>
              <w:rPr>
                <w:rFonts w:ascii="Arial" w:cs="Arial" w:eastAsia="Arial" w:hAnsi="Arial"/>
                <w:sz w:val="18"/>
                <w:szCs w:val="18"/>
                <w:color w:val="auto"/>
              </w:rPr>
              <w:t>68,837,536 (4)</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40" w:right="300" w:hanging="436"/>
        <w:spacing w:after="0" w:line="246"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According to its Form 13G filing, The Vanguard Group has sole voting power for 1,412,120, shared voting power for 223,556, sole dispositive power for 81,711,196 and shared dispositive power for 1,600,938 of these shares.</w:t>
      </w:r>
    </w:p>
    <w:p>
      <w:pPr>
        <w:spacing w:after="0" w:line="102" w:lineRule="exact"/>
        <w:rPr>
          <w:rFonts w:ascii="Arial" w:cs="Arial" w:eastAsia="Arial" w:hAnsi="Arial"/>
          <w:sz w:val="18"/>
          <w:szCs w:val="18"/>
          <w:color w:val="auto"/>
        </w:rPr>
      </w:pPr>
    </w:p>
    <w:p>
      <w:pPr>
        <w:ind w:left="640" w:right="680" w:hanging="436"/>
        <w:spacing w:after="0" w:line="246"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According to its Form 13G filing, BlackRock, Inc. has sole voting power for 58,319,093 shares, and sole dispositive power for 68,837,536 shares.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Security ownership of directors and management</w:t>
      </w:r>
    </w:p>
    <w:p>
      <w:pPr>
        <w:spacing w:after="0" w:line="205" w:lineRule="exact"/>
        <w:rPr>
          <w:sz w:val="20"/>
          <w:szCs w:val="20"/>
          <w:color w:val="auto"/>
        </w:rPr>
      </w:pPr>
    </w:p>
    <w:p>
      <w:pPr>
        <w:ind w:left="200" w:right="620"/>
        <w:spacing w:after="0" w:line="246" w:lineRule="auto"/>
        <w:rPr>
          <w:sz w:val="20"/>
          <w:szCs w:val="20"/>
          <w:color w:val="auto"/>
        </w:rPr>
      </w:pPr>
      <w:r>
        <w:rPr>
          <w:rFonts w:ascii="Arial" w:cs="Arial" w:eastAsia="Arial" w:hAnsi="Arial"/>
          <w:sz w:val="18"/>
          <w:szCs w:val="18"/>
          <w:color w:val="auto"/>
        </w:rPr>
        <w:t>The following table shows the beneficial ownership of TI common stock by directors, the named executive officers and all executive officers and directors as a group. Each director and named executive officer has sole voting power (except for shares</w:t>
      </w:r>
    </w:p>
    <w:p>
      <w:pPr>
        <w:spacing w:after="0" w:line="124"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48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
        <w:spacing w:after="0"/>
        <w:rPr>
          <w:sz w:val="20"/>
          <w:szCs w:val="20"/>
          <w:color w:val="auto"/>
        </w:rPr>
      </w:pPr>
      <w:r>
        <w:rPr>
          <w:rFonts w:ascii="Arial" w:cs="Arial" w:eastAsia="Arial" w:hAnsi="Arial"/>
          <w:sz w:val="18"/>
          <w:szCs w:val="18"/>
          <w:color w:val="auto"/>
        </w:rPr>
        <w:t>obtainable within 60 days, shares subject to RSUs and shares credited to deferred compensation accounts as detailed in the footnotes to the table) and sole investment power with respect to the shares owned. The table excludes shares held by a family member if a director or executive officer has disclaimed beneficial ownership. No director or executive officer has pledged shares of TI common stock.</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900" w:type="dxa"/>
            <w:vAlign w:val="bottom"/>
          </w:tcPr>
          <w:p>
            <w:pPr>
              <w:jc w:val="right"/>
              <w:ind w:right="352"/>
              <w:spacing w:after="0"/>
              <w:rPr>
                <w:sz w:val="20"/>
                <w:szCs w:val="20"/>
                <w:color w:val="auto"/>
              </w:rPr>
            </w:pPr>
            <w:r>
              <w:rPr>
                <w:rFonts w:ascii="Arial" w:cs="Arial" w:eastAsia="Arial" w:hAnsi="Arial"/>
                <w:sz w:val="14"/>
                <w:szCs w:val="14"/>
                <w:b w:val="1"/>
                <w:bCs w:val="1"/>
                <w:color w:val="auto"/>
              </w:rPr>
              <w:t>Shares Owned at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9"/>
        </w:trPr>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720" w:type="dxa"/>
            <w:vAlign w:val="bottom"/>
          </w:tcPr>
          <w:p>
            <w:pPr>
              <w:spacing w:after="0"/>
              <w:rPr>
                <w:sz w:val="16"/>
                <w:szCs w:val="16"/>
                <w:color w:val="auto"/>
              </w:rPr>
            </w:pPr>
          </w:p>
        </w:tc>
        <w:tc>
          <w:tcPr>
            <w:tcW w:w="390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 2017</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w:t>
            </w:r>
          </w:p>
        </w:tc>
        <w:tc>
          <w:tcPr>
            <w:tcW w:w="39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R. W. Babb, Jr.</w:t>
            </w:r>
          </w:p>
        </w:tc>
        <w:tc>
          <w:tcPr>
            <w:tcW w:w="39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81,898</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 A. Blinn</w:t>
            </w:r>
          </w:p>
        </w:tc>
        <w:tc>
          <w:tcPr>
            <w:tcW w:w="39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26,667</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T. M. Bluedorn</w:t>
            </w:r>
          </w:p>
        </w:tc>
        <w:tc>
          <w:tcPr>
            <w:tcW w:w="39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2,000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 A. Carp</w:t>
            </w:r>
          </w:p>
        </w:tc>
        <w:tc>
          <w:tcPr>
            <w:tcW w:w="39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119,226</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J. F. Clark</w:t>
            </w:r>
          </w:p>
        </w:tc>
        <w:tc>
          <w:tcPr>
            <w:tcW w:w="39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14,869</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 S. Cox</w:t>
            </w:r>
          </w:p>
        </w:tc>
        <w:tc>
          <w:tcPr>
            <w:tcW w:w="39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103,922</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B. T. Crutcher</w:t>
            </w:r>
          </w:p>
        </w:tc>
        <w:tc>
          <w:tcPr>
            <w:tcW w:w="39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468,785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 M. Hobby</w:t>
            </w:r>
          </w:p>
        </w:tc>
        <w:tc>
          <w:tcPr>
            <w:tcW w:w="39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4,777</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R. Kirk</w:t>
            </w:r>
          </w:p>
        </w:tc>
        <w:tc>
          <w:tcPr>
            <w:tcW w:w="39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36,971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 H. Patsley</w:t>
            </w:r>
          </w:p>
        </w:tc>
        <w:tc>
          <w:tcPr>
            <w:tcW w:w="39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151,085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R. E. Sanchez</w:t>
            </w:r>
          </w:p>
        </w:tc>
        <w:tc>
          <w:tcPr>
            <w:tcW w:w="39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49,933</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 R. Sanders</w:t>
            </w:r>
          </w:p>
        </w:tc>
        <w:tc>
          <w:tcPr>
            <w:tcW w:w="39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80,018</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R. K. Templeton</w:t>
            </w:r>
          </w:p>
        </w:tc>
        <w:tc>
          <w:tcPr>
            <w:tcW w:w="3900" w:type="dxa"/>
            <w:vAlign w:val="bottom"/>
          </w:tcPr>
          <w:p>
            <w:pPr>
              <w:jc w:val="right"/>
              <w:ind w:right="292"/>
              <w:spacing w:after="0"/>
              <w:rPr>
                <w:sz w:val="20"/>
                <w:szCs w:val="20"/>
                <w:color w:val="auto"/>
              </w:rPr>
            </w:pPr>
            <w:r>
              <w:rPr>
                <w:rFonts w:ascii="Arial" w:cs="Arial" w:eastAsia="Arial" w:hAnsi="Arial"/>
                <w:sz w:val="18"/>
                <w:szCs w:val="18"/>
                <w:color w:val="auto"/>
              </w:rPr>
              <w:t>3,119,589</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120" w:type="dxa"/>
            <w:vAlign w:val="bottom"/>
            <w:gridSpan w:val="2"/>
          </w:tcPr>
          <w:p>
            <w:pPr>
              <w:spacing w:after="0"/>
              <w:rPr>
                <w:sz w:val="8"/>
                <w:szCs w:val="8"/>
                <w:color w:val="auto"/>
              </w:rPr>
            </w:pPr>
          </w:p>
        </w:tc>
        <w:tc>
          <w:tcPr>
            <w:tcW w:w="3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Management (2)</w:t>
            </w:r>
          </w:p>
        </w:tc>
        <w:tc>
          <w:tcPr>
            <w:tcW w:w="3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R. R. Lizardi</w:t>
            </w:r>
          </w:p>
        </w:tc>
        <w:tc>
          <w:tcPr>
            <w:tcW w:w="39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123,510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 P. March</w:t>
            </w:r>
          </w:p>
        </w:tc>
        <w:tc>
          <w:tcPr>
            <w:tcW w:w="39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661,594</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K. J. Ritchie</w:t>
            </w:r>
          </w:p>
        </w:tc>
        <w:tc>
          <w:tcPr>
            <w:tcW w:w="39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341,486</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 G. Delagi</w:t>
            </w:r>
          </w:p>
        </w:tc>
        <w:tc>
          <w:tcPr>
            <w:tcW w:w="39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1,164,875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(3)</w:t>
            </w:r>
          </w:p>
        </w:tc>
        <w:tc>
          <w:tcPr>
            <w:tcW w:w="3900" w:type="dxa"/>
            <w:vAlign w:val="bottom"/>
          </w:tcPr>
          <w:p>
            <w:pPr>
              <w:jc w:val="right"/>
              <w:ind w:right="292"/>
              <w:spacing w:after="0"/>
              <w:rPr>
                <w:sz w:val="20"/>
                <w:szCs w:val="20"/>
                <w:color w:val="auto"/>
              </w:rPr>
            </w:pPr>
            <w:r>
              <w:rPr>
                <w:rFonts w:ascii="Arial" w:cs="Arial" w:eastAsia="Arial" w:hAnsi="Arial"/>
                <w:sz w:val="18"/>
                <w:szCs w:val="18"/>
                <w:color w:val="auto"/>
              </w:rPr>
              <w:t>8,248,780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20"/>
              <w:spacing w:after="0"/>
              <w:rPr>
                <w:sz w:val="20"/>
                <w:szCs w:val="20"/>
                <w:color w:val="auto"/>
              </w:rPr>
            </w:pPr>
            <w:r>
              <w:rPr>
                <w:rFonts w:ascii="Arial" w:cs="Arial" w:eastAsia="Arial" w:hAnsi="Arial"/>
                <w:sz w:val="18"/>
                <w:szCs w:val="18"/>
                <w:color w:val="auto"/>
              </w:rPr>
              <w:t>less than 1 percent.</w:t>
            </w:r>
          </w:p>
        </w:tc>
        <w:tc>
          <w:tcPr>
            <w:tcW w:w="3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jc w:val="center"/>
              <w:ind w:left="95"/>
              <w:spacing w:after="0"/>
              <w:rPr>
                <w:sz w:val="20"/>
                <w:szCs w:val="20"/>
                <w:color w:val="auto"/>
              </w:rPr>
            </w:pPr>
            <w:r>
              <w:rPr>
                <w:rFonts w:ascii="Arial" w:cs="Arial" w:eastAsia="Arial" w:hAnsi="Arial"/>
                <w:sz w:val="14"/>
                <w:szCs w:val="14"/>
                <w:b w:val="1"/>
                <w:bCs w:val="1"/>
                <w:color w:val="auto"/>
              </w:rPr>
              <w:t>Shares</w:t>
            </w:r>
          </w:p>
        </w:tc>
      </w:t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Shares</w:t>
            </w:r>
          </w:p>
        </w:tc>
        <w:tc>
          <w:tcPr>
            <w:tcW w:w="1480" w:type="dxa"/>
            <w:vAlign w:val="bottom"/>
          </w:tcPr>
          <w:p>
            <w:pPr>
              <w:spacing w:after="0"/>
              <w:rPr>
                <w:sz w:val="14"/>
                <w:szCs w:val="14"/>
                <w:color w:val="auto"/>
              </w:rPr>
            </w:pPr>
          </w:p>
        </w:tc>
        <w:tc>
          <w:tcPr>
            <w:tcW w:w="1300" w:type="dxa"/>
            <w:vAlign w:val="bottom"/>
          </w:tcPr>
          <w:p>
            <w:pPr>
              <w:jc w:val="center"/>
              <w:ind w:left="95"/>
              <w:spacing w:after="0"/>
              <w:rPr>
                <w:sz w:val="20"/>
                <w:szCs w:val="20"/>
                <w:color w:val="auto"/>
              </w:rPr>
            </w:pPr>
            <w:r>
              <w:rPr>
                <w:rFonts w:ascii="Arial" w:cs="Arial" w:eastAsia="Arial" w:hAnsi="Arial"/>
                <w:sz w:val="14"/>
                <w:szCs w:val="14"/>
                <w:b w:val="1"/>
                <w:bCs w:val="1"/>
                <w:color w:val="auto"/>
              </w:rPr>
              <w:t>Credited</w:t>
            </w:r>
          </w:p>
        </w:tc>
      </w:t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80" w:type="dxa"/>
            <w:vAlign w:val="bottom"/>
          </w:tcPr>
          <w:p>
            <w:pPr>
              <w:jc w:val="center"/>
              <w:ind w:left="1353"/>
              <w:spacing w:after="0"/>
              <w:rPr>
                <w:sz w:val="20"/>
                <w:szCs w:val="20"/>
                <w:color w:val="auto"/>
              </w:rPr>
            </w:pPr>
            <w:r>
              <w:rPr>
                <w:rFonts w:ascii="Arial" w:cs="Arial" w:eastAsia="Arial" w:hAnsi="Arial"/>
                <w:sz w:val="14"/>
                <w:szCs w:val="14"/>
                <w:b w:val="1"/>
                <w:bCs w:val="1"/>
                <w:color w:val="auto"/>
              </w:rPr>
              <w:t>Shares</w:t>
            </w: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Credited</w:t>
            </w:r>
          </w:p>
        </w:tc>
        <w:tc>
          <w:tcPr>
            <w:tcW w:w="1480" w:type="dxa"/>
            <w:vAlign w:val="bottom"/>
          </w:tcPr>
          <w:p>
            <w:pPr>
              <w:spacing w:after="0"/>
              <w:rPr>
                <w:sz w:val="14"/>
                <w:szCs w:val="14"/>
                <w:color w:val="auto"/>
              </w:rPr>
            </w:pPr>
          </w:p>
        </w:tc>
        <w:tc>
          <w:tcPr>
            <w:tcW w:w="1300" w:type="dxa"/>
            <w:vAlign w:val="bottom"/>
          </w:tcPr>
          <w:p>
            <w:pPr>
              <w:jc w:val="center"/>
              <w:ind w:left="95"/>
              <w:spacing w:after="0"/>
              <w:rPr>
                <w:sz w:val="20"/>
                <w:szCs w:val="20"/>
                <w:color w:val="auto"/>
              </w:rPr>
            </w:pPr>
            <w:r>
              <w:rPr>
                <w:rFonts w:ascii="Arial" w:cs="Arial" w:eastAsia="Arial" w:hAnsi="Arial"/>
                <w:sz w:val="14"/>
                <w:szCs w:val="14"/>
                <w:b w:val="1"/>
                <w:bCs w:val="1"/>
                <w:color w:val="auto"/>
              </w:rPr>
              <w:t>to Deferred</w:t>
            </w:r>
          </w:p>
        </w:tc>
      </w:t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80" w:type="dxa"/>
            <w:vAlign w:val="bottom"/>
          </w:tcPr>
          <w:p>
            <w:pPr>
              <w:jc w:val="center"/>
              <w:ind w:left="1373"/>
              <w:spacing w:after="0"/>
              <w:rPr>
                <w:sz w:val="20"/>
                <w:szCs w:val="20"/>
                <w:color w:val="auto"/>
              </w:rPr>
            </w:pPr>
            <w:r>
              <w:rPr>
                <w:rFonts w:ascii="Arial" w:cs="Arial" w:eastAsia="Arial" w:hAnsi="Arial"/>
                <w:sz w:val="14"/>
                <w:szCs w:val="14"/>
                <w:b w:val="1"/>
                <w:bCs w:val="1"/>
                <w:color w:val="auto"/>
              </w:rPr>
              <w:t>Obtainable</w:t>
            </w: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to 401(k)</w:t>
            </w:r>
          </w:p>
        </w:tc>
        <w:tc>
          <w:tcPr>
            <w:tcW w:w="1480" w:type="dxa"/>
            <w:vAlign w:val="bottom"/>
          </w:tcPr>
          <w:p>
            <w:pPr>
              <w:jc w:val="right"/>
              <w:ind w:right="432"/>
              <w:spacing w:after="0"/>
              <w:rPr>
                <w:sz w:val="20"/>
                <w:szCs w:val="20"/>
                <w:color w:val="auto"/>
              </w:rPr>
            </w:pPr>
            <w:r>
              <w:rPr>
                <w:rFonts w:ascii="Arial" w:cs="Arial" w:eastAsia="Arial" w:hAnsi="Arial"/>
                <w:sz w:val="14"/>
                <w:szCs w:val="14"/>
                <w:b w:val="1"/>
                <w:bCs w:val="1"/>
                <w:color w:val="auto"/>
              </w:rPr>
              <w:t>RSUs</w:t>
            </w:r>
          </w:p>
        </w:tc>
        <w:tc>
          <w:tcPr>
            <w:tcW w:w="1300" w:type="dxa"/>
            <w:vAlign w:val="bottom"/>
          </w:tcPr>
          <w:p>
            <w:pPr>
              <w:jc w:val="center"/>
              <w:ind w:left="95"/>
              <w:spacing w:after="0"/>
              <w:rPr>
                <w:sz w:val="20"/>
                <w:szCs w:val="20"/>
                <w:color w:val="auto"/>
              </w:rPr>
            </w:pPr>
            <w:r>
              <w:rPr>
                <w:rFonts w:ascii="Arial" w:cs="Arial" w:eastAsia="Arial" w:hAnsi="Arial"/>
                <w:sz w:val="14"/>
                <w:szCs w:val="14"/>
                <w:b w:val="1"/>
                <w:bCs w:val="1"/>
                <w:color w:val="auto"/>
              </w:rPr>
              <w:t>Compensation</w:t>
            </w:r>
          </w:p>
        </w:tc>
      </w:tr>
      <w:tr>
        <w:trPr>
          <w:trHeight w:val="189"/>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3080" w:type="dxa"/>
            <w:vAlign w:val="bottom"/>
          </w:tcPr>
          <w:p>
            <w:pPr>
              <w:jc w:val="center"/>
              <w:ind w:left="1353"/>
              <w:spacing w:after="0"/>
              <w:rPr>
                <w:sz w:val="20"/>
                <w:szCs w:val="20"/>
                <w:color w:val="auto"/>
              </w:rPr>
            </w:pPr>
            <w:r>
              <w:rPr>
                <w:rFonts w:ascii="Arial" w:cs="Arial" w:eastAsia="Arial" w:hAnsi="Arial"/>
                <w:sz w:val="14"/>
                <w:szCs w:val="14"/>
                <w:b w:val="1"/>
                <w:bCs w:val="1"/>
                <w:color w:val="auto"/>
              </w:rPr>
              <w:t>within 60 Days</w:t>
            </w: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Account</w:t>
            </w: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rPr>
              <w:t>(in Shares) (a)</w:t>
            </w:r>
          </w:p>
        </w:tc>
        <w:tc>
          <w:tcPr>
            <w:tcW w:w="1300" w:type="dxa"/>
            <w:vAlign w:val="bottom"/>
          </w:tcPr>
          <w:p>
            <w:pPr>
              <w:jc w:val="center"/>
              <w:ind w:left="95"/>
              <w:spacing w:after="0"/>
              <w:rPr>
                <w:sz w:val="20"/>
                <w:szCs w:val="20"/>
                <w:color w:val="auto"/>
              </w:rPr>
            </w:pPr>
            <w:r>
              <w:rPr>
                <w:rFonts w:ascii="Arial" w:cs="Arial" w:eastAsia="Arial" w:hAnsi="Arial"/>
                <w:sz w:val="14"/>
                <w:szCs w:val="14"/>
                <w:b w:val="1"/>
                <w:bCs w:val="1"/>
                <w:color w:val="auto"/>
              </w:rPr>
              <w:t>Accounts (b)</w:t>
            </w:r>
          </w:p>
        </w:tc>
      </w:tr>
      <w:tr>
        <w:trPr>
          <w:trHeight w:val="196"/>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 W. Babb, Jr.</w:t>
            </w:r>
          </w:p>
        </w:tc>
        <w:tc>
          <w:tcPr>
            <w:tcW w:w="3080" w:type="dxa"/>
            <w:vAlign w:val="bottom"/>
            <w:tcBorders>
              <w:top w:val="single" w:sz="8" w:color="auto"/>
            </w:tcBorders>
            <w:shd w:val="clear" w:color="auto" w:fill="CCEEFF"/>
          </w:tcPr>
          <w:p>
            <w:pPr>
              <w:jc w:val="right"/>
              <w:ind w:right="453"/>
              <w:spacing w:after="0" w:line="196" w:lineRule="exact"/>
              <w:rPr>
                <w:sz w:val="20"/>
                <w:szCs w:val="20"/>
                <w:color w:val="auto"/>
              </w:rPr>
            </w:pPr>
            <w:r>
              <w:rPr>
                <w:rFonts w:ascii="Arial" w:cs="Arial" w:eastAsia="Arial" w:hAnsi="Arial"/>
                <w:sz w:val="18"/>
                <w:szCs w:val="18"/>
                <w:color w:val="auto"/>
              </w:rPr>
              <w:t>41,463</w:t>
            </w:r>
          </w:p>
        </w:tc>
        <w:tc>
          <w:tcPr>
            <w:tcW w:w="1240" w:type="dxa"/>
            <w:vAlign w:val="bottom"/>
            <w:tcBorders>
              <w:top w:val="single" w:sz="8" w:color="auto"/>
            </w:tcBorders>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332"/>
              <w:spacing w:after="0" w:line="196" w:lineRule="exact"/>
              <w:rPr>
                <w:sz w:val="20"/>
                <w:szCs w:val="20"/>
                <w:color w:val="auto"/>
              </w:rPr>
            </w:pPr>
            <w:r>
              <w:rPr>
                <w:rFonts w:ascii="Arial" w:cs="Arial" w:eastAsia="Arial" w:hAnsi="Arial"/>
                <w:sz w:val="18"/>
                <w:szCs w:val="18"/>
                <w:color w:val="auto"/>
              </w:rPr>
              <w:t>18,296</w:t>
            </w:r>
          </w:p>
        </w:tc>
        <w:tc>
          <w:tcPr>
            <w:tcW w:w="1300" w:type="dxa"/>
            <w:vAlign w:val="bottom"/>
            <w:tcBorders>
              <w:top w:val="single" w:sz="8" w:color="auto"/>
            </w:tcBorders>
            <w:shd w:val="clear" w:color="auto" w:fill="CCEEFF"/>
          </w:tcPr>
          <w:p>
            <w:pPr>
              <w:jc w:val="right"/>
              <w:ind w:right="175"/>
              <w:spacing w:after="0" w:line="196" w:lineRule="exact"/>
              <w:rPr>
                <w:sz w:val="20"/>
                <w:szCs w:val="20"/>
                <w:color w:val="auto"/>
              </w:rPr>
            </w:pPr>
            <w:r>
              <w:rPr>
                <w:rFonts w:ascii="Arial" w:cs="Arial" w:eastAsia="Arial" w:hAnsi="Arial"/>
                <w:sz w:val="18"/>
                <w:szCs w:val="18"/>
                <w:color w:val="auto"/>
              </w:rPr>
              <w:t>21,139</w:t>
            </w: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30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9,724</w:t>
            </w:r>
          </w:p>
        </w:tc>
        <w:tc>
          <w:tcPr>
            <w:tcW w:w="12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9,271</w:t>
            </w:r>
          </w:p>
        </w:tc>
        <w:tc>
          <w:tcPr>
            <w:tcW w:w="130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7,672</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 M. Bluedorn</w:t>
            </w:r>
          </w:p>
        </w:tc>
        <w:tc>
          <w:tcPr>
            <w:tcW w:w="30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2,000</w:t>
            </w:r>
          </w:p>
        </w:tc>
        <w:tc>
          <w:tcPr>
            <w:tcW w:w="130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D. A. Carp</w:t>
            </w:r>
          </w:p>
        </w:tc>
        <w:tc>
          <w:tcPr>
            <w:tcW w:w="30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41,463</w:t>
            </w:r>
          </w:p>
        </w:tc>
        <w:tc>
          <w:tcPr>
            <w:tcW w:w="12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34,960</w:t>
            </w:r>
          </w:p>
        </w:tc>
        <w:tc>
          <w:tcPr>
            <w:tcW w:w="130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42,803</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 F. Clark</w:t>
            </w:r>
          </w:p>
        </w:tc>
        <w:tc>
          <w:tcPr>
            <w:tcW w:w="30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6,511</w:t>
            </w:r>
          </w:p>
        </w:tc>
        <w:tc>
          <w:tcPr>
            <w:tcW w:w="124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5,150</w:t>
            </w:r>
          </w:p>
        </w:tc>
        <w:tc>
          <w:tcPr>
            <w:tcW w:w="130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3,208</w:t>
            </w: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30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70,621</w:t>
            </w:r>
          </w:p>
        </w:tc>
        <w:tc>
          <w:tcPr>
            <w:tcW w:w="12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28,296</w:t>
            </w:r>
          </w:p>
        </w:tc>
        <w:tc>
          <w:tcPr>
            <w:tcW w:w="130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1,866</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 T. Crutcher</w:t>
            </w:r>
          </w:p>
        </w:tc>
        <w:tc>
          <w:tcPr>
            <w:tcW w:w="30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267,276</w:t>
            </w:r>
          </w:p>
        </w:tc>
        <w:tc>
          <w:tcPr>
            <w:tcW w:w="124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201,284</w:t>
            </w:r>
          </w:p>
        </w:tc>
        <w:tc>
          <w:tcPr>
            <w:tcW w:w="130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30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1,516</w:t>
            </w:r>
          </w:p>
        </w:tc>
        <w:tc>
          <w:tcPr>
            <w:tcW w:w="12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3,261</w:t>
            </w:r>
          </w:p>
        </w:tc>
        <w:tc>
          <w:tcPr>
            <w:tcW w:w="130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Kirk</w:t>
            </w:r>
          </w:p>
        </w:tc>
        <w:tc>
          <w:tcPr>
            <w:tcW w:w="30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26,714</w:t>
            </w:r>
          </w:p>
        </w:tc>
        <w:tc>
          <w:tcPr>
            <w:tcW w:w="124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7,271</w:t>
            </w:r>
          </w:p>
        </w:tc>
        <w:tc>
          <w:tcPr>
            <w:tcW w:w="130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986</w:t>
            </w: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30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77,621</w:t>
            </w:r>
          </w:p>
        </w:tc>
        <w:tc>
          <w:tcPr>
            <w:tcW w:w="12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9,271</w:t>
            </w:r>
          </w:p>
        </w:tc>
        <w:tc>
          <w:tcPr>
            <w:tcW w:w="130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45,168</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E. Sanchez</w:t>
            </w:r>
          </w:p>
        </w:tc>
        <w:tc>
          <w:tcPr>
            <w:tcW w:w="30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26,714</w:t>
            </w:r>
          </w:p>
        </w:tc>
        <w:tc>
          <w:tcPr>
            <w:tcW w:w="124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7,271</w:t>
            </w:r>
          </w:p>
        </w:tc>
        <w:tc>
          <w:tcPr>
            <w:tcW w:w="130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7,810</w:t>
            </w: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W. R. Sanders</w:t>
            </w:r>
          </w:p>
        </w:tc>
        <w:tc>
          <w:tcPr>
            <w:tcW w:w="308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26,714</w:t>
            </w:r>
          </w:p>
        </w:tc>
        <w:tc>
          <w:tcPr>
            <w:tcW w:w="12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16,871</w:t>
            </w:r>
          </w:p>
        </w:tc>
        <w:tc>
          <w:tcPr>
            <w:tcW w:w="130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1,659</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 K. Templeton</w:t>
            </w:r>
          </w:p>
        </w:tc>
        <w:tc>
          <w:tcPr>
            <w:tcW w:w="308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2,318,278</w:t>
            </w:r>
          </w:p>
        </w:tc>
        <w:tc>
          <w:tcPr>
            <w:tcW w:w="124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13,095</w:t>
            </w:r>
          </w:p>
        </w:tc>
        <w:tc>
          <w:tcPr>
            <w:tcW w:w="148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483,947</w:t>
            </w:r>
          </w:p>
        </w:tc>
        <w:tc>
          <w:tcPr>
            <w:tcW w:w="130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1060" w:right="4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108"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49</w:t>
            </w:r>
          </w:p>
        </w:tc>
      </w:tr>
    </w:tbl>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920" w:type="dxa"/>
            <w:vAlign w:val="bottom"/>
          </w:tcPr>
          <w:p>
            <w:pPr>
              <w:jc w:val="center"/>
              <w:ind w:left="2398"/>
              <w:spacing w:after="0"/>
              <w:rPr>
                <w:sz w:val="20"/>
                <w:szCs w:val="20"/>
                <w:color w:val="auto"/>
              </w:rPr>
            </w:pPr>
            <w:r>
              <w:rPr>
                <w:rFonts w:ascii="Arial" w:cs="Arial" w:eastAsia="Arial" w:hAnsi="Arial"/>
                <w:sz w:val="14"/>
                <w:szCs w:val="14"/>
                <w:b w:val="1"/>
                <w:bCs w:val="1"/>
                <w:color w:val="auto"/>
              </w:rPr>
              <w:t>Shares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Credited to</w:t>
            </w:r>
          </w:p>
        </w:tc>
        <w:tc>
          <w:tcPr>
            <w:tcW w:w="1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920" w:type="dxa"/>
            <w:vAlign w:val="bottom"/>
          </w:tcPr>
          <w:p>
            <w:pPr>
              <w:jc w:val="center"/>
              <w:ind w:left="2398"/>
              <w:spacing w:after="0"/>
              <w:rPr>
                <w:sz w:val="20"/>
                <w:szCs w:val="20"/>
                <w:color w:val="auto"/>
              </w:rPr>
            </w:pPr>
            <w:r>
              <w:rPr>
                <w:rFonts w:ascii="Arial" w:cs="Arial" w:eastAsia="Arial" w:hAnsi="Arial"/>
                <w:sz w:val="14"/>
                <w:szCs w:val="14"/>
                <w:b w:val="1"/>
                <w:bCs w:val="1"/>
                <w:color w:val="auto"/>
              </w:rPr>
              <w:t>Obtainable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401(k)</w:t>
            </w:r>
          </w:p>
        </w:tc>
        <w:tc>
          <w:tcPr>
            <w:tcW w:w="1100" w:type="dxa"/>
            <w:vAlign w:val="bottom"/>
          </w:tcPr>
          <w:p>
            <w:pPr>
              <w:jc w:val="right"/>
              <w:ind w:right="196"/>
              <w:spacing w:after="0"/>
              <w:rPr>
                <w:sz w:val="20"/>
                <w:szCs w:val="20"/>
                <w:color w:val="auto"/>
              </w:rPr>
            </w:pPr>
            <w:r>
              <w:rPr>
                <w:rFonts w:ascii="Arial" w:cs="Arial" w:eastAsia="Arial" w:hAnsi="Arial"/>
                <w:sz w:val="14"/>
                <w:szCs w:val="14"/>
                <w:b w:val="1"/>
                <w:bCs w:val="1"/>
                <w:color w:val="auto"/>
              </w:rPr>
              <w:t>RSUs</w:t>
            </w:r>
          </w:p>
        </w:tc>
      </w:tr>
      <w:tr>
        <w:trPr>
          <w:trHeight w:val="189"/>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3920" w:type="dxa"/>
            <w:vAlign w:val="bottom"/>
          </w:tcPr>
          <w:p>
            <w:pPr>
              <w:jc w:val="center"/>
              <w:ind w:left="2398"/>
              <w:spacing w:after="0"/>
              <w:rPr>
                <w:sz w:val="20"/>
                <w:szCs w:val="20"/>
                <w:color w:val="auto"/>
              </w:rPr>
            </w:pPr>
            <w:r>
              <w:rPr>
                <w:rFonts w:ascii="Arial" w:cs="Arial" w:eastAsia="Arial" w:hAnsi="Arial"/>
                <w:sz w:val="14"/>
                <w:szCs w:val="14"/>
                <w:b w:val="1"/>
                <w:bCs w:val="1"/>
                <w:color w:val="auto"/>
              </w:rPr>
              <w:t>within 60 Days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Account</w:t>
            </w:r>
          </w:p>
        </w:tc>
        <w:tc>
          <w:tcPr>
            <w:tcW w:w="1100" w:type="dxa"/>
            <w:vAlign w:val="bottom"/>
          </w:tcPr>
          <w:p>
            <w:pPr>
              <w:jc w:val="right"/>
              <w:ind w:right="16"/>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20" w:type="dxa"/>
            <w:vAlign w:val="bottom"/>
          </w:tcPr>
          <w:p>
            <w:pPr>
              <w:spacing w:after="0"/>
              <w:rPr>
                <w:sz w:val="17"/>
                <w:szCs w:val="17"/>
                <w:color w:val="auto"/>
              </w:rPr>
            </w:pPr>
          </w:p>
        </w:tc>
        <w:tc>
          <w:tcPr>
            <w:tcW w:w="38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 R. Lizardi</w:t>
            </w:r>
          </w:p>
        </w:tc>
        <w:tc>
          <w:tcPr>
            <w:tcW w:w="3920" w:type="dxa"/>
            <w:vAlign w:val="bottom"/>
            <w:tcBorders>
              <w:top w:val="single" w:sz="8" w:color="auto"/>
            </w:tcBorders>
            <w:shd w:val="clear" w:color="auto" w:fill="CCEEFF"/>
          </w:tcPr>
          <w:p>
            <w:pPr>
              <w:jc w:val="right"/>
              <w:ind w:right="278"/>
              <w:spacing w:after="0" w:line="196" w:lineRule="exact"/>
              <w:rPr>
                <w:sz w:val="20"/>
                <w:szCs w:val="20"/>
                <w:color w:val="auto"/>
              </w:rPr>
            </w:pPr>
            <w:r>
              <w:rPr>
                <w:rFonts w:ascii="Arial" w:cs="Arial" w:eastAsia="Arial" w:hAnsi="Arial"/>
                <w:sz w:val="18"/>
                <w:szCs w:val="18"/>
                <w:color w:val="auto"/>
              </w:rPr>
              <w:t>75,686</w:t>
            </w:r>
          </w:p>
        </w:tc>
        <w:tc>
          <w:tcPr>
            <w:tcW w:w="1240" w:type="dxa"/>
            <w:vAlign w:val="bottom"/>
            <w:tcBorders>
              <w:top w:val="single" w:sz="8" w:color="auto"/>
            </w:tcBorders>
            <w:shd w:val="clear" w:color="auto" w:fill="CCEEFF"/>
          </w:tcPr>
          <w:p>
            <w:pPr>
              <w:jc w:val="right"/>
              <w:ind w:right="319"/>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40,178</w:t>
            </w: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K. P. March</w:t>
            </w:r>
          </w:p>
        </w:tc>
        <w:tc>
          <w:tcPr>
            <w:tcW w:w="392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360,672</w:t>
            </w:r>
          </w:p>
        </w:tc>
        <w:tc>
          <w:tcPr>
            <w:tcW w:w="1240" w:type="dxa"/>
            <w:vAlign w:val="bottom"/>
          </w:tcPr>
          <w:p>
            <w:pPr>
              <w:jc w:val="right"/>
              <w:ind w:right="319"/>
              <w:spacing w:after="0" w:line="202" w:lineRule="exact"/>
              <w:rPr>
                <w:sz w:val="20"/>
                <w:szCs w:val="20"/>
                <w:color w:val="auto"/>
              </w:rPr>
            </w:pPr>
            <w:r>
              <w:rPr>
                <w:rFonts w:ascii="Arial" w:cs="Arial" w:eastAsia="Arial" w:hAnsi="Arial"/>
                <w:sz w:val="18"/>
                <w:szCs w:val="18"/>
                <w:color w:val="auto"/>
              </w:rPr>
              <w:t>2,111</w:t>
            </w:r>
          </w:p>
        </w:tc>
        <w:tc>
          <w:tcPr>
            <w:tcW w:w="11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98,187</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 J. Ritchie</w:t>
            </w:r>
          </w:p>
        </w:tc>
        <w:tc>
          <w:tcPr>
            <w:tcW w:w="392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194,556</w:t>
            </w:r>
          </w:p>
        </w:tc>
        <w:tc>
          <w:tcPr>
            <w:tcW w:w="1240" w:type="dxa"/>
            <w:vAlign w:val="bottom"/>
            <w:shd w:val="clear" w:color="auto" w:fill="CCEEFF"/>
          </w:tcPr>
          <w:p>
            <w:pPr>
              <w:jc w:val="right"/>
              <w:ind w:right="319"/>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145,461</w:t>
            </w:r>
          </w:p>
        </w:tc>
      </w:tr>
      <w:tr>
        <w:trPr>
          <w:trHeight w:val="217"/>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 G. Delagi</w:t>
            </w:r>
          </w:p>
        </w:tc>
        <w:tc>
          <w:tcPr>
            <w:tcW w:w="3920" w:type="dxa"/>
            <w:vAlign w:val="bottom"/>
          </w:tcPr>
          <w:p>
            <w:pPr>
              <w:jc w:val="right"/>
              <w:ind w:right="278"/>
              <w:spacing w:after="0"/>
              <w:rPr>
                <w:sz w:val="20"/>
                <w:szCs w:val="20"/>
                <w:color w:val="auto"/>
              </w:rPr>
            </w:pPr>
            <w:r>
              <w:rPr>
                <w:rFonts w:ascii="Arial" w:cs="Arial" w:eastAsia="Arial" w:hAnsi="Arial"/>
                <w:sz w:val="18"/>
                <w:szCs w:val="18"/>
                <w:color w:val="auto"/>
              </w:rPr>
              <w:t>1,018,420</w:t>
            </w:r>
          </w:p>
        </w:tc>
        <w:tc>
          <w:tcPr>
            <w:tcW w:w="1240" w:type="dxa"/>
            <w:vAlign w:val="bottom"/>
          </w:tcPr>
          <w:p>
            <w:pPr>
              <w:jc w:val="right"/>
              <w:ind w:right="319"/>
              <w:spacing w:after="0"/>
              <w:rPr>
                <w:sz w:val="20"/>
                <w:szCs w:val="20"/>
                <w:color w:val="auto"/>
              </w:rPr>
            </w:pPr>
            <w:r>
              <w:rPr>
                <w:rFonts w:ascii="Arial" w:cs="Arial" w:eastAsia="Arial" w:hAnsi="Arial"/>
                <w:sz w:val="18"/>
                <w:szCs w:val="18"/>
                <w:color w:val="auto"/>
              </w:rPr>
              <w:t>12,220</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130,916</w:t>
            </w:r>
          </w:p>
        </w:tc>
      </w:tr>
    </w:tbl>
    <w:p>
      <w:pPr>
        <w:spacing w:after="0" w:line="106"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w:t>
      </w:r>
    </w:p>
    <w:p>
      <w:pPr>
        <w:spacing w:after="0" w:line="117" w:lineRule="exact"/>
        <w:rPr>
          <w:rFonts w:ascii="Arial" w:cs="Arial" w:eastAsia="Arial" w:hAnsi="Arial"/>
          <w:sz w:val="18"/>
          <w:szCs w:val="18"/>
          <w:color w:val="auto"/>
        </w:rPr>
      </w:pPr>
    </w:p>
    <w:p>
      <w:pPr>
        <w:ind w:left="1060" w:hanging="424"/>
        <w:spacing w:after="0"/>
        <w:tabs>
          <w:tab w:leader="none" w:pos="1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5,624,074 shares obtainable within 60 days;</w:t>
      </w:r>
    </w:p>
    <w:p>
      <w:pPr>
        <w:spacing w:after="0" w:line="117" w:lineRule="exact"/>
        <w:rPr>
          <w:rFonts w:ascii="Arial" w:cs="Arial" w:eastAsia="Arial" w:hAnsi="Arial"/>
          <w:sz w:val="18"/>
          <w:szCs w:val="18"/>
          <w:color w:val="auto"/>
        </w:rPr>
      </w:pPr>
    </w:p>
    <w:p>
      <w:pPr>
        <w:ind w:left="1060" w:hanging="424"/>
        <w:spacing w:after="0"/>
        <w:tabs>
          <w:tab w:leader="none" w:pos="1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28,137 shares credited to 401(k) accounts;</w:t>
      </w:r>
    </w:p>
    <w:p>
      <w:pPr>
        <w:spacing w:after="0" w:line="117" w:lineRule="exact"/>
        <w:rPr>
          <w:rFonts w:ascii="Arial" w:cs="Arial" w:eastAsia="Arial" w:hAnsi="Arial"/>
          <w:sz w:val="18"/>
          <w:szCs w:val="18"/>
          <w:color w:val="auto"/>
        </w:rPr>
      </w:pPr>
    </w:p>
    <w:p>
      <w:pPr>
        <w:ind w:left="1060" w:hanging="424"/>
        <w:spacing w:after="0"/>
        <w:tabs>
          <w:tab w:leader="none" w:pos="1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1,845,391 shares subject to RSU awards; for the terms of these RSUs, see pages 15 and 34-35; and</w:t>
      </w:r>
    </w:p>
    <w:p>
      <w:pPr>
        <w:spacing w:after="0" w:line="117" w:lineRule="exact"/>
        <w:rPr>
          <w:rFonts w:ascii="Arial" w:cs="Arial" w:eastAsia="Arial" w:hAnsi="Arial"/>
          <w:sz w:val="18"/>
          <w:szCs w:val="18"/>
          <w:color w:val="auto"/>
        </w:rPr>
      </w:pPr>
    </w:p>
    <w:p>
      <w:pPr>
        <w:ind w:left="1060" w:right="80" w:hanging="424"/>
        <w:spacing w:after="0" w:line="246" w:lineRule="auto"/>
        <w:tabs>
          <w:tab w:leader="none" w:pos="1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132,312 shares credited to certain non-employee directors’ deferred compensation accounts; shares in deferred compensation accounts are issued following a director’s termination of service.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Related person transactions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Because we believe that company transactions with directors and executive officers of TI or with persons related to TI directors</w:t>
      </w:r>
    </w:p>
    <w:p>
      <w:pPr>
        <w:ind w:left="200" w:right="20"/>
        <w:spacing w:after="0"/>
        <w:rPr>
          <w:sz w:val="20"/>
          <w:szCs w:val="20"/>
          <w:color w:val="auto"/>
        </w:rPr>
      </w:pPr>
      <w:r>
        <w:rPr>
          <w:rFonts w:ascii="Arial" w:cs="Arial" w:eastAsia="Arial" w:hAnsi="Arial"/>
          <w:sz w:val="18"/>
          <w:szCs w:val="18"/>
          <w:color w:val="auto"/>
        </w:rPr>
        <w:t>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108"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TI or any TI subsidiary is or will be a participant;</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involved exceeds or is expected to exceed $120,000 in a fiscal year; and</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of the following (a “related person”) has or will have a direct or indirect interest:</w:t>
      </w:r>
    </w:p>
    <w:p>
      <w:pPr>
        <w:spacing w:after="0" w:line="117" w:lineRule="exact"/>
        <w:rPr>
          <w:rFonts w:ascii="Arial" w:cs="Arial" w:eastAsia="Arial" w:hAnsi="Arial"/>
          <w:sz w:val="18"/>
          <w:szCs w:val="18"/>
          <w:color w:val="auto"/>
        </w:rPr>
      </w:pPr>
    </w:p>
    <w:p>
      <w:pPr>
        <w:ind w:left="1060" w:hanging="424"/>
        <w:spacing w:after="0"/>
        <w:tabs>
          <w:tab w:leader="none" w:pos="10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TI director or executive officer, or an Immediate Family Member of a director or executive officer;</w:t>
      </w:r>
    </w:p>
    <w:p>
      <w:pPr>
        <w:spacing w:after="0" w:line="117" w:lineRule="exact"/>
        <w:rPr>
          <w:rFonts w:ascii="Arial" w:cs="Arial" w:eastAsia="Arial" w:hAnsi="Arial"/>
          <w:sz w:val="18"/>
          <w:szCs w:val="18"/>
          <w:color w:val="auto"/>
        </w:rPr>
      </w:pPr>
    </w:p>
    <w:p>
      <w:pPr>
        <w:ind w:left="1060" w:hanging="424"/>
        <w:spacing w:after="0" w:line="234" w:lineRule="auto"/>
        <w:tabs>
          <w:tab w:leader="none" w:pos="10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w:t>
      </w:r>
    </w:p>
    <w:p>
      <w:pPr>
        <w:spacing w:after="0" w:line="2"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“5 percent holder”); or</w:t>
      </w:r>
    </w:p>
    <w:p>
      <w:pPr>
        <w:spacing w:after="0" w:line="117" w:lineRule="exact"/>
        <w:rPr>
          <w:rFonts w:ascii="Arial" w:cs="Arial" w:eastAsia="Arial" w:hAnsi="Arial"/>
          <w:sz w:val="18"/>
          <w:szCs w:val="18"/>
          <w:color w:val="auto"/>
        </w:rPr>
      </w:pPr>
    </w:p>
    <w:p>
      <w:pPr>
        <w:ind w:left="1060" w:right="160" w:hanging="424"/>
        <w:spacing w:after="0" w:line="246" w:lineRule="auto"/>
        <w:tabs>
          <w:tab w:leader="none" w:pos="10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 entity in which someone listed in (a) above has a 5 percent or greater ownership interest, by which someone listed in (a) is employed, or of which someone listed in (a) is a director, principal or partner.</w:t>
      </w:r>
    </w:p>
    <w:p>
      <w:pPr>
        <w:spacing w:after="0" w:line="197" w:lineRule="exact"/>
        <w:rPr>
          <w:sz w:val="20"/>
          <w:szCs w:val="20"/>
          <w:color w:val="auto"/>
        </w:rPr>
      </w:pPr>
    </w:p>
    <w:p>
      <w:pPr>
        <w:ind w:left="200" w:right="520"/>
        <w:spacing w:after="0"/>
        <w:rPr>
          <w:sz w:val="20"/>
          <w:szCs w:val="20"/>
          <w:color w:val="auto"/>
        </w:rPr>
      </w:pPr>
      <w:r>
        <w:rPr>
          <w:rFonts w:ascii="Arial" w:cs="Arial" w:eastAsia="Arial" w:hAnsi="Arial"/>
          <w:sz w:val="18"/>
          <w:szCs w:val="18"/>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20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24"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50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required approvals are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Arrangement Involving:</w:t>
            </w:r>
          </w:p>
        </w:tc>
        <w:tc>
          <w:tcPr>
            <w:tcW w:w="414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Approval Required by:</w:t>
            </w:r>
          </w:p>
        </w:tc>
      </w:tr>
      <w:tr>
        <w:trPr>
          <w:trHeight w:val="195"/>
        </w:trPr>
        <w:tc>
          <w:tcPr>
            <w:tcW w:w="6900" w:type="dxa"/>
            <w:vAlign w:val="bottom"/>
          </w:tcPr>
          <w:p>
            <w:pPr>
              <w:spacing w:after="0" w:line="195" w:lineRule="exact"/>
              <w:rPr>
                <w:sz w:val="20"/>
                <w:szCs w:val="20"/>
                <w:color w:val="auto"/>
              </w:rPr>
            </w:pPr>
            <w:r>
              <w:rPr>
                <w:rFonts w:ascii="Arial" w:cs="Arial" w:eastAsia="Arial" w:hAnsi="Arial"/>
                <w:sz w:val="18"/>
                <w:szCs w:val="18"/>
                <w:color w:val="auto"/>
              </w:rPr>
              <w:t>Executive officer who is also a member of the TI board, an Immediate</w:t>
            </w:r>
          </w:p>
        </w:tc>
        <w:tc>
          <w:tcPr>
            <w:tcW w:w="4140" w:type="dxa"/>
            <w:vAlign w:val="bottom"/>
          </w:tcPr>
          <w:p>
            <w:pPr>
              <w:ind w:left="1360"/>
              <w:spacing w:after="0" w:line="195" w:lineRule="exact"/>
              <w:rPr>
                <w:sz w:val="20"/>
                <w:szCs w:val="20"/>
                <w:color w:val="auto"/>
              </w:rPr>
            </w:pPr>
            <w:r>
              <w:rPr>
                <w:rFonts w:ascii="Arial" w:cs="Arial" w:eastAsia="Arial" w:hAnsi="Arial"/>
                <w:sz w:val="18"/>
                <w:szCs w:val="18"/>
                <w:color w:val="auto"/>
              </w:rPr>
              <w:t>GSR Committee</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Family Member of such person, or an entity in which any of the</w:t>
            </w:r>
          </w:p>
        </w:tc>
        <w:tc>
          <w:tcPr>
            <w:tcW w:w="4140" w:type="dxa"/>
            <w:vAlign w:val="bottom"/>
          </w:tcPr>
          <w:p>
            <w:pPr>
              <w:spacing w:after="0"/>
              <w:rPr>
                <w:sz w:val="17"/>
                <w:szCs w:val="17"/>
                <w:color w:val="auto"/>
              </w:rPr>
            </w:pPr>
          </w:p>
        </w:tc>
      </w:tr>
      <w:tr>
        <w:trPr>
          <w:trHeight w:val="217"/>
        </w:trPr>
        <w:tc>
          <w:tcPr>
            <w:tcW w:w="6900" w:type="dxa"/>
            <w:vAlign w:val="bottom"/>
          </w:tcPr>
          <w:p>
            <w:pPr>
              <w:spacing w:after="0"/>
              <w:rPr>
                <w:sz w:val="20"/>
                <w:szCs w:val="20"/>
                <w:color w:val="auto"/>
              </w:rPr>
            </w:pPr>
            <w:r>
              <w:rPr>
                <w:rFonts w:ascii="Arial" w:cs="Arial" w:eastAsia="Arial" w:hAnsi="Arial"/>
                <w:sz w:val="18"/>
                <w:szCs w:val="18"/>
                <w:color w:val="auto"/>
              </w:rPr>
              <w:t>foregoing has a 5 percent or greater ownership interest</w:t>
            </w:r>
          </w:p>
        </w:tc>
        <w:tc>
          <w:tcPr>
            <w:tcW w:w="4140" w:type="dxa"/>
            <w:vAlign w:val="bottom"/>
          </w:tcPr>
          <w:p>
            <w:pPr>
              <w:spacing w:after="0"/>
              <w:rPr>
                <w:sz w:val="18"/>
                <w:szCs w:val="18"/>
                <w:color w:val="auto"/>
              </w:rPr>
            </w:pPr>
          </w:p>
        </w:tc>
      </w:tr>
      <w:tr>
        <w:trPr>
          <w:trHeight w:val="404"/>
        </w:trPr>
        <w:tc>
          <w:tcPr>
            <w:tcW w:w="6900" w:type="dxa"/>
            <w:vAlign w:val="bottom"/>
          </w:tcPr>
          <w:p>
            <w:pPr>
              <w:spacing w:after="0"/>
              <w:rPr>
                <w:sz w:val="20"/>
                <w:szCs w:val="20"/>
                <w:color w:val="auto"/>
              </w:rPr>
            </w:pPr>
            <w:r>
              <w:rPr>
                <w:rFonts w:ascii="Arial" w:cs="Arial" w:eastAsia="Arial" w:hAnsi="Arial"/>
                <w:sz w:val="18"/>
                <w:szCs w:val="18"/>
                <w:color w:val="auto"/>
              </w:rPr>
              <w:t>Chair of the GSR Committee, chief compliance officer, any of his or</w:t>
            </w:r>
          </w:p>
        </w:tc>
        <w:tc>
          <w:tcPr>
            <w:tcW w:w="4140" w:type="dxa"/>
            <w:vAlign w:val="bottom"/>
          </w:tcPr>
          <w:p>
            <w:pPr>
              <w:ind w:left="1360"/>
              <w:spacing w:after="0"/>
              <w:rPr>
                <w:sz w:val="20"/>
                <w:szCs w:val="20"/>
                <w:color w:val="auto"/>
              </w:rPr>
            </w:pPr>
            <w:r>
              <w:rPr>
                <w:rFonts w:ascii="Arial" w:cs="Arial" w:eastAsia="Arial" w:hAnsi="Arial"/>
                <w:sz w:val="18"/>
                <w:szCs w:val="18"/>
                <w:color w:val="auto"/>
              </w:rPr>
              <w:t>GSR Committee</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her Immediate Family Members, or an entity in which any of the</w:t>
            </w:r>
          </w:p>
        </w:tc>
        <w:tc>
          <w:tcPr>
            <w:tcW w:w="4140" w:type="dxa"/>
            <w:vAlign w:val="bottom"/>
          </w:tcPr>
          <w:p>
            <w:pPr>
              <w:spacing w:after="0"/>
              <w:rPr>
                <w:sz w:val="17"/>
                <w:szCs w:val="17"/>
                <w:color w:val="auto"/>
              </w:rPr>
            </w:pPr>
          </w:p>
        </w:tc>
      </w:tr>
      <w:tr>
        <w:trPr>
          <w:trHeight w:val="217"/>
        </w:trPr>
        <w:tc>
          <w:tcPr>
            <w:tcW w:w="6900" w:type="dxa"/>
            <w:vAlign w:val="bottom"/>
          </w:tcPr>
          <w:p>
            <w:pPr>
              <w:spacing w:after="0"/>
              <w:rPr>
                <w:sz w:val="20"/>
                <w:szCs w:val="20"/>
                <w:color w:val="auto"/>
              </w:rPr>
            </w:pPr>
            <w:r>
              <w:rPr>
                <w:rFonts w:ascii="Arial" w:cs="Arial" w:eastAsia="Arial" w:hAnsi="Arial"/>
                <w:sz w:val="18"/>
                <w:szCs w:val="18"/>
                <w:color w:val="auto"/>
              </w:rPr>
              <w:t>foregoing has a 5 percent or greater ownership interest</w:t>
            </w:r>
          </w:p>
        </w:tc>
        <w:tc>
          <w:tcPr>
            <w:tcW w:w="4140" w:type="dxa"/>
            <w:vAlign w:val="bottom"/>
          </w:tcPr>
          <w:p>
            <w:pPr>
              <w:spacing w:after="0"/>
              <w:rPr>
                <w:sz w:val="18"/>
                <w:szCs w:val="18"/>
                <w:color w:val="auto"/>
              </w:rPr>
            </w:pPr>
          </w:p>
        </w:tc>
      </w:tr>
      <w:tr>
        <w:trPr>
          <w:trHeight w:val="404"/>
        </w:trPr>
        <w:tc>
          <w:tcPr>
            <w:tcW w:w="6900" w:type="dxa"/>
            <w:vAlign w:val="bottom"/>
          </w:tcPr>
          <w:p>
            <w:pPr>
              <w:spacing w:after="0"/>
              <w:rPr>
                <w:sz w:val="20"/>
                <w:szCs w:val="20"/>
                <w:color w:val="auto"/>
              </w:rPr>
            </w:pPr>
            <w:r>
              <w:rPr>
                <w:rFonts w:ascii="Arial" w:cs="Arial" w:eastAsia="Arial" w:hAnsi="Arial"/>
                <w:sz w:val="18"/>
                <w:szCs w:val="18"/>
                <w:color w:val="auto"/>
              </w:rPr>
              <w:t>Any other director or executive officer, an Immediate Family Member</w:t>
            </w:r>
          </w:p>
        </w:tc>
        <w:tc>
          <w:tcPr>
            <w:tcW w:w="4140" w:type="dxa"/>
            <w:vAlign w:val="bottom"/>
          </w:tcPr>
          <w:p>
            <w:pPr>
              <w:ind w:left="1360"/>
              <w:spacing w:after="0"/>
              <w:rPr>
                <w:sz w:val="20"/>
                <w:szCs w:val="20"/>
                <w:color w:val="auto"/>
              </w:rPr>
            </w:pPr>
            <w:r>
              <w:rPr>
                <w:rFonts w:ascii="Arial" w:cs="Arial" w:eastAsia="Arial" w:hAnsi="Arial"/>
                <w:sz w:val="18"/>
                <w:szCs w:val="18"/>
                <w:color w:val="auto"/>
              </w:rPr>
              <w:t>Chief Compliance Officer</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of such person, or an entity in which any of the foregoing has a</w:t>
            </w:r>
          </w:p>
        </w:tc>
        <w:tc>
          <w:tcPr>
            <w:tcW w:w="4140" w:type="dxa"/>
            <w:vAlign w:val="bottom"/>
          </w:tcPr>
          <w:p>
            <w:pPr>
              <w:ind w:left="1360"/>
              <w:spacing w:after="0" w:line="202" w:lineRule="exact"/>
              <w:rPr>
                <w:sz w:val="20"/>
                <w:szCs w:val="20"/>
                <w:color w:val="auto"/>
              </w:rPr>
            </w:pPr>
            <w:r>
              <w:rPr>
                <w:rFonts w:ascii="Arial" w:cs="Arial" w:eastAsia="Arial" w:hAnsi="Arial"/>
                <w:sz w:val="18"/>
                <w:szCs w:val="18"/>
                <w:color w:val="auto"/>
              </w:rPr>
              <w:t>in consultation with the</w:t>
            </w:r>
          </w:p>
        </w:tc>
      </w:tr>
      <w:tr>
        <w:trPr>
          <w:trHeight w:val="217"/>
        </w:trPr>
        <w:tc>
          <w:tcPr>
            <w:tcW w:w="6900" w:type="dxa"/>
            <w:vAlign w:val="bottom"/>
          </w:tcPr>
          <w:p>
            <w:pPr>
              <w:spacing w:after="0"/>
              <w:rPr>
                <w:sz w:val="20"/>
                <w:szCs w:val="20"/>
                <w:color w:val="auto"/>
              </w:rPr>
            </w:pPr>
            <w:r>
              <w:rPr>
                <w:rFonts w:ascii="Arial" w:cs="Arial" w:eastAsia="Arial" w:hAnsi="Arial"/>
                <w:sz w:val="18"/>
                <w:szCs w:val="18"/>
                <w:color w:val="auto"/>
              </w:rPr>
              <w:t>5 percent or greater ownership interest</w:t>
            </w:r>
          </w:p>
        </w:tc>
        <w:tc>
          <w:tcPr>
            <w:tcW w:w="4140" w:type="dxa"/>
            <w:vAlign w:val="bottom"/>
          </w:tcPr>
          <w:p>
            <w:pPr>
              <w:ind w:left="1360"/>
              <w:spacing w:after="0"/>
              <w:rPr>
                <w:sz w:val="20"/>
                <w:szCs w:val="20"/>
                <w:color w:val="auto"/>
              </w:rPr>
            </w:pPr>
            <w:r>
              <w:rPr>
                <w:rFonts w:ascii="Arial" w:cs="Arial" w:eastAsia="Arial" w:hAnsi="Arial"/>
                <w:sz w:val="18"/>
                <w:szCs w:val="18"/>
                <w:color w:val="auto"/>
              </w:rPr>
              <w:t>Chair of the GSR Committee</w:t>
            </w:r>
          </w:p>
        </w:tc>
      </w:tr>
      <w:tr>
        <w:trPr>
          <w:trHeight w:val="419"/>
        </w:trPr>
        <w:tc>
          <w:tcPr>
            <w:tcW w:w="6900" w:type="dxa"/>
            <w:vAlign w:val="bottom"/>
          </w:tcPr>
          <w:p>
            <w:pPr>
              <w:spacing w:after="0"/>
              <w:rPr>
                <w:sz w:val="20"/>
                <w:szCs w:val="20"/>
                <w:color w:val="auto"/>
              </w:rPr>
            </w:pPr>
            <w:r>
              <w:rPr>
                <w:rFonts w:ascii="Arial" w:cs="Arial" w:eastAsia="Arial" w:hAnsi="Arial"/>
                <w:sz w:val="18"/>
                <w:szCs w:val="18"/>
                <w:color w:val="auto"/>
              </w:rPr>
              <w:t>A 5 percent holder</w:t>
            </w:r>
          </w:p>
        </w:tc>
        <w:tc>
          <w:tcPr>
            <w:tcW w:w="4140" w:type="dxa"/>
            <w:vAlign w:val="bottom"/>
          </w:tcPr>
          <w:p>
            <w:pPr>
              <w:ind w:left="1360"/>
              <w:spacing w:after="0"/>
              <w:rPr>
                <w:sz w:val="20"/>
                <w:szCs w:val="20"/>
                <w:color w:val="auto"/>
              </w:rPr>
            </w:pPr>
            <w:r>
              <w:rPr>
                <w:rFonts w:ascii="Arial" w:cs="Arial" w:eastAsia="Arial" w:hAnsi="Arial"/>
                <w:sz w:val="18"/>
                <w:szCs w:val="18"/>
                <w:color w:val="auto"/>
              </w:rPr>
              <w:t>GSR Committee</w:t>
            </w:r>
          </w:p>
        </w:tc>
      </w:tr>
    </w:tbl>
    <w:p>
      <w:pPr>
        <w:spacing w:after="0" w:line="202"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No member of the GSR Committee will participate in the consideration of a related person arrangement in which such member or any of his or her Immediate Family Members is the related person.</w:t>
      </w:r>
    </w:p>
    <w:p>
      <w:pPr>
        <w:spacing w:after="0" w:line="197"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20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97"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203"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The board has determined that the following types of transactions pose little risk of a conflict of interest and therefore has deemed them approved:</w:t>
      </w:r>
    </w:p>
    <w:p>
      <w:pPr>
        <w:spacing w:after="0" w:line="102" w:lineRule="exact"/>
        <w:rPr>
          <w:sz w:val="20"/>
          <w:szCs w:val="20"/>
          <w:color w:val="auto"/>
        </w:rPr>
      </w:pPr>
    </w:p>
    <w:p>
      <w:pPr>
        <w:ind w:left="960" w:right="660" w:hanging="540"/>
        <w:spacing w:after="0" w:line="234"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Compensation paid to a TI director or executive officer for services as such, or where the sole interest in a related person transaction of a TI director, executive officer or 5 percent holder is their position as such;</w:t>
      </w:r>
    </w:p>
    <w:p>
      <w:pPr>
        <w:spacing w:after="0" w:line="1" w:lineRule="exact"/>
        <w:rPr>
          <w:rFonts w:ascii="Arial" w:cs="Arial" w:eastAsia="Arial" w:hAnsi="Arial"/>
          <w:sz w:val="18"/>
          <w:szCs w:val="18"/>
          <w:color w:val="auto"/>
        </w:rPr>
      </w:pPr>
    </w:p>
    <w:p>
      <w:pPr>
        <w:ind w:left="960" w:right="440" w:hanging="540"/>
        <w:spacing w:after="0" w:line="234"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1" w:lineRule="exact"/>
        <w:rPr>
          <w:rFonts w:ascii="Arial" w:cs="Arial" w:eastAsia="Arial" w:hAnsi="Arial"/>
          <w:sz w:val="18"/>
          <w:szCs w:val="18"/>
          <w:color w:val="auto"/>
        </w:rPr>
      </w:pPr>
    </w:p>
    <w:p>
      <w:pPr>
        <w:ind w:left="960" w:right="140" w:hanging="540"/>
        <w:spacing w:after="0" w:line="234"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Transactions involving services as a bank depository of funds, transfer agent, registrar, trustee under a trust indenture or similar services;</w:t>
      </w:r>
    </w:p>
    <w:p>
      <w:pPr>
        <w:spacing w:after="0" w:line="1" w:lineRule="exact"/>
        <w:rPr>
          <w:rFonts w:ascii="Arial" w:cs="Arial" w:eastAsia="Arial" w:hAnsi="Arial"/>
          <w:sz w:val="18"/>
          <w:szCs w:val="18"/>
          <w:color w:val="auto"/>
        </w:rPr>
      </w:pPr>
    </w:p>
    <w:p>
      <w:pPr>
        <w:ind w:left="960" w:hanging="540"/>
        <w:spacing w:after="0" w:line="234"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Interests of a related person arising only from:</w:t>
      </w:r>
    </w:p>
    <w:p>
      <w:pPr>
        <w:ind w:left="1280" w:right="100" w:hanging="312"/>
        <w:spacing w:after="0" w:line="234" w:lineRule="auto"/>
        <w:tabs>
          <w:tab w:leader="none" w:pos="1280" w:val="left"/>
        </w:tabs>
        <w:numPr>
          <w:ilvl w:val="1"/>
          <w:numId w:val="75"/>
        </w:numPr>
        <w:rPr>
          <w:rFonts w:ascii="Arial" w:cs="Arial" w:eastAsia="Arial" w:hAnsi="Arial"/>
          <w:sz w:val="15"/>
          <w:szCs w:val="15"/>
          <w:color w:val="auto"/>
        </w:rPr>
      </w:pPr>
      <w:r>
        <w:rPr>
          <w:rFonts w:ascii="Arial" w:cs="Arial" w:eastAsia="Arial" w:hAnsi="Arial"/>
          <w:sz w:val="18"/>
          <w:szCs w:val="18"/>
          <w:color w:val="auto"/>
        </w:rPr>
        <w:t>the direct or indirect ownership in another party to the transaction and that ownership, when combined with the ownership of all the other individuals specified in 3(a)-(c) above, is less than 5 percent of the outstanding equity of such party;</w:t>
      </w:r>
    </w:p>
    <w:p>
      <w:pPr>
        <w:spacing w:after="0" w:line="1" w:lineRule="exact"/>
        <w:rPr>
          <w:rFonts w:ascii="Arial" w:cs="Arial" w:eastAsia="Arial" w:hAnsi="Arial"/>
          <w:sz w:val="15"/>
          <w:szCs w:val="15"/>
          <w:color w:val="auto"/>
        </w:rPr>
      </w:pPr>
    </w:p>
    <w:p>
      <w:pPr>
        <w:ind w:left="1280" w:right="20" w:hanging="312"/>
        <w:spacing w:after="0" w:line="234" w:lineRule="auto"/>
        <w:tabs>
          <w:tab w:leader="none" w:pos="1280" w:val="left"/>
        </w:tabs>
        <w:numPr>
          <w:ilvl w:val="1"/>
          <w:numId w:val="75"/>
        </w:numPr>
        <w:rPr>
          <w:rFonts w:ascii="Arial" w:cs="Arial" w:eastAsia="Arial" w:hAnsi="Arial"/>
          <w:sz w:val="15"/>
          <w:szCs w:val="15"/>
          <w:color w:val="auto"/>
        </w:rPr>
      </w:pPr>
      <w:r>
        <w:rPr>
          <w:rFonts w:ascii="Arial" w:cs="Arial" w:eastAsia="Arial" w:hAnsi="Arial"/>
          <w:sz w:val="18"/>
          <w:szCs w:val="18"/>
          <w:color w:val="auto"/>
        </w:rPr>
        <w:t>an interest as a limited partner in a partnership, and that ownership interest, when combined with all the other ownership interests of the other individuals specified in 3(a)-(c) above, is less than 5 percent of the total ownership interest of the limited partnership;</w:t>
      </w:r>
    </w:p>
    <w:p>
      <w:pPr>
        <w:spacing w:after="0" w:line="2" w:lineRule="exact"/>
        <w:rPr>
          <w:rFonts w:ascii="Arial" w:cs="Arial" w:eastAsia="Arial" w:hAnsi="Arial"/>
          <w:sz w:val="15"/>
          <w:szCs w:val="15"/>
          <w:color w:val="auto"/>
        </w:rPr>
      </w:pPr>
    </w:p>
    <w:p>
      <w:pPr>
        <w:ind w:left="1280" w:hanging="312"/>
        <w:spacing w:after="0" w:line="234" w:lineRule="auto"/>
        <w:tabs>
          <w:tab w:leader="none" w:pos="1280" w:val="left"/>
        </w:tabs>
        <w:numPr>
          <w:ilvl w:val="1"/>
          <w:numId w:val="75"/>
        </w:numPr>
        <w:rPr>
          <w:rFonts w:ascii="Arial" w:cs="Arial" w:eastAsia="Arial" w:hAnsi="Arial"/>
          <w:sz w:val="15"/>
          <w:szCs w:val="15"/>
          <w:color w:val="auto"/>
        </w:rPr>
      </w:pPr>
      <w:r>
        <w:rPr>
          <w:rFonts w:ascii="Arial" w:cs="Arial" w:eastAsia="Arial" w:hAnsi="Arial"/>
          <w:sz w:val="18"/>
          <w:szCs w:val="18"/>
          <w:color w:val="auto"/>
        </w:rPr>
        <w:t>their position as a director of another corporation or organization;</w:t>
      </w:r>
    </w:p>
    <w:p>
      <w:pPr>
        <w:ind w:left="1280" w:hanging="312"/>
        <w:spacing w:after="0" w:line="234" w:lineRule="auto"/>
        <w:tabs>
          <w:tab w:leader="none" w:pos="1280" w:val="left"/>
        </w:tabs>
        <w:numPr>
          <w:ilvl w:val="1"/>
          <w:numId w:val="75"/>
        </w:numPr>
        <w:rPr>
          <w:rFonts w:ascii="Arial" w:cs="Arial" w:eastAsia="Arial" w:hAnsi="Arial"/>
          <w:sz w:val="15"/>
          <w:szCs w:val="15"/>
          <w:color w:val="auto"/>
        </w:rPr>
      </w:pPr>
      <w:r>
        <w:rPr>
          <w:rFonts w:ascii="Arial" w:cs="Arial" w:eastAsia="Arial" w:hAnsi="Arial"/>
          <w:sz w:val="18"/>
          <w:szCs w:val="18"/>
          <w:color w:val="auto"/>
        </w:rPr>
        <w:t>the ownership of TI stock and all holders of that class of stock receive the same benefit on a pro-rata basis;</w:t>
      </w:r>
    </w:p>
    <w:p>
      <w:pPr>
        <w:ind w:left="960" w:right="20" w:hanging="540"/>
        <w:spacing w:after="0" w:line="238"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Transactions in the ordinary course of business where the only relationship of a TI director or executive officer, or their Immediate Family Member, is as an employee (other than an executive officer) and/or less than a 10 percent beneficial owner of the other entity if (i) the TI director or executive officer is not involved in negotiating the terms of the transaction and (ii) amounts involved for the fiscal year do not exceed the greater of $200,000 or 2 percent of the entity’s consolidated gross revenues for that year;</w:t>
      </w:r>
    </w:p>
    <w:p>
      <w:pPr>
        <w:spacing w:after="0" w:line="130"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51</w:t>
            </w:r>
          </w:p>
        </w:tc>
      </w:tr>
    </w:tbl>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0" w:hanging="540"/>
        <w:spacing w:after="0" w:line="234"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percent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3" w:lineRule="exact"/>
        <w:rPr>
          <w:rFonts w:ascii="Arial" w:cs="Arial" w:eastAsia="Arial" w:hAnsi="Arial"/>
          <w:sz w:val="18"/>
          <w:szCs w:val="18"/>
          <w:color w:val="auto"/>
        </w:rPr>
      </w:pPr>
    </w:p>
    <w:p>
      <w:pPr>
        <w:ind w:left="960" w:right="220" w:hanging="540"/>
        <w:spacing w:after="0" w:line="239"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2017, the son of R. Gregory Delagi (Senior Vice President) was employed in our facilities organization. Mr. Delagi was not involved in any decisions regarding his son’s employment at TI, and the compensation of his son was consistent with that of similarly situated employees.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Compensation committee interlocks and insider participation</w:t>
      </w:r>
    </w:p>
    <w:p>
      <w:pPr>
        <w:spacing w:after="0" w:line="205"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During 2017, Messrs. Carp and Sanchez and Mses. Patsley and Whitman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Cost of solicitation</w:t>
      </w:r>
    </w:p>
    <w:p>
      <w:pPr>
        <w:spacing w:after="0" w:line="205"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20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Without receiving additional compensation, officials and regular employees of TI may solicit proxies personally, by telephone, fax or email, from some stockholders if proxies are not promptly received. We have also hired Georgeson Inc. to assist in the solicitation of proxies at a cost of $12,000 plus out-of-pocket expenses.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Stockholder proposals and nominations for 2019</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shows the deadlines for stockholders to submit proposals or director nominations for next year’s annual meeting.</w:t>
      </w:r>
    </w:p>
    <w:p>
      <w:pPr>
        <w:spacing w:after="0" w:line="226"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Other Proposals/Nominees to be</w:t>
      </w:r>
    </w:p>
    <w:p>
      <w:pPr>
        <w:spacing w:after="0" w:line="19" w:lineRule="exact"/>
        <w:rPr>
          <w:sz w:val="20"/>
          <w:szCs w:val="20"/>
          <w:color w:val="auto"/>
        </w:rPr>
      </w:pPr>
    </w:p>
    <w:p>
      <w:pPr>
        <w:ind w:left="5920"/>
        <w:spacing w:after="0"/>
        <w:tabs>
          <w:tab w:leader="none" w:pos="8700" w:val="left"/>
        </w:tabs>
        <w:rPr>
          <w:sz w:val="20"/>
          <w:szCs w:val="20"/>
          <w:color w:val="auto"/>
        </w:rPr>
      </w:pPr>
      <w:r>
        <w:rPr>
          <w:rFonts w:ascii="Arial" w:cs="Arial" w:eastAsia="Arial" w:hAnsi="Arial"/>
          <w:sz w:val="14"/>
          <w:szCs w:val="14"/>
          <w:b w:val="1"/>
          <w:bCs w:val="1"/>
          <w:color w:val="auto"/>
        </w:rPr>
        <w:t>Director Nominees for Inclusion</w:t>
      </w:r>
      <w:r>
        <w:rPr>
          <w:sz w:val="20"/>
          <w:szCs w:val="20"/>
          <w:color w:val="auto"/>
        </w:rPr>
        <w:tab/>
      </w:r>
      <w:r>
        <w:rPr>
          <w:rFonts w:ascii="Arial" w:cs="Arial" w:eastAsia="Arial" w:hAnsi="Arial"/>
          <w:sz w:val="14"/>
          <w:szCs w:val="14"/>
          <w:b w:val="1"/>
          <w:bCs w:val="1"/>
          <w:color w:val="auto"/>
        </w:rPr>
        <w:t>Presented at 2019 Annual Meeting</w:t>
      </w:r>
    </w:p>
    <w:p>
      <w:pPr>
        <w:spacing w:after="0" w:line="1" w:lineRule="exact"/>
        <w:rPr>
          <w:sz w:val="20"/>
          <w:szCs w:val="20"/>
          <w:color w:val="auto"/>
        </w:rPr>
      </w:pPr>
    </w:p>
    <w:p>
      <w:pPr>
        <w:ind w:left="3420"/>
        <w:spacing w:after="0"/>
        <w:tabs>
          <w:tab w:leader="none" w:pos="6360" w:val="left"/>
          <w:tab w:leader="none" w:pos="9040" w:val="left"/>
        </w:tabs>
        <w:rPr>
          <w:sz w:val="20"/>
          <w:szCs w:val="20"/>
          <w:color w:val="auto"/>
        </w:rPr>
      </w:pPr>
      <w:r>
        <w:rPr>
          <w:rFonts w:ascii="Arial" w:cs="Arial" w:eastAsia="Arial" w:hAnsi="Arial"/>
          <w:sz w:val="14"/>
          <w:szCs w:val="14"/>
          <w:b w:val="1"/>
          <w:bCs w:val="1"/>
          <w:color w:val="auto"/>
        </w:rPr>
        <w:t>Proposals for Inclusion in</w:t>
      </w:r>
      <w:r>
        <w:rPr>
          <w:sz w:val="20"/>
          <w:szCs w:val="20"/>
          <w:color w:val="auto"/>
        </w:rPr>
        <w:tab/>
      </w:r>
      <w:r>
        <w:rPr>
          <w:rFonts w:ascii="Arial" w:cs="Arial" w:eastAsia="Arial" w:hAnsi="Arial"/>
          <w:sz w:val="14"/>
          <w:szCs w:val="14"/>
          <w:b w:val="1"/>
          <w:bCs w:val="1"/>
          <w:color w:val="auto"/>
        </w:rPr>
        <w:t>in 2019 Proxy Materials</w:t>
      </w:r>
      <w:r>
        <w:rPr>
          <w:sz w:val="20"/>
          <w:szCs w:val="20"/>
          <w:color w:val="auto"/>
        </w:rPr>
        <w:tab/>
      </w:r>
      <w:r>
        <w:rPr>
          <w:rFonts w:ascii="Arial" w:cs="Arial" w:eastAsia="Arial" w:hAnsi="Arial"/>
          <w:sz w:val="14"/>
          <w:szCs w:val="14"/>
          <w:b w:val="1"/>
          <w:bCs w:val="1"/>
          <w:color w:val="auto"/>
        </w:rPr>
        <w:t>(and Not for Inclusion in</w:t>
      </w:r>
    </w:p>
    <w:p>
      <w:pPr>
        <w:spacing w:after="0" w:line="1" w:lineRule="exact"/>
        <w:rPr>
          <w:sz w:val="20"/>
          <w:szCs w:val="20"/>
          <w:color w:val="auto"/>
        </w:rPr>
      </w:pPr>
    </w:p>
    <w:p>
      <w:pPr>
        <w:ind w:left="3600"/>
        <w:spacing w:after="0"/>
        <w:tabs>
          <w:tab w:leader="none" w:pos="6640" w:val="left"/>
          <w:tab w:leader="none" w:pos="9320" w:val="left"/>
        </w:tabs>
        <w:rPr>
          <w:sz w:val="20"/>
          <w:szCs w:val="20"/>
          <w:color w:val="auto"/>
        </w:rPr>
      </w:pPr>
      <w:r>
        <w:rPr>
          <w:rFonts w:ascii="Arial" w:cs="Arial" w:eastAsia="Arial" w:hAnsi="Arial"/>
          <w:sz w:val="14"/>
          <w:szCs w:val="14"/>
          <w:b w:val="1"/>
          <w:bCs w:val="1"/>
          <w:color w:val="auto"/>
        </w:rPr>
        <w:t>2019 Proxy Materials</w:t>
      </w:r>
      <w:r>
        <w:rPr>
          <w:sz w:val="20"/>
          <w:szCs w:val="20"/>
          <w:color w:val="auto"/>
        </w:rPr>
        <w:tab/>
      </w:r>
      <w:r>
        <w:rPr>
          <w:rFonts w:ascii="Arial" w:cs="Arial" w:eastAsia="Arial" w:hAnsi="Arial"/>
          <w:sz w:val="14"/>
          <w:szCs w:val="14"/>
          <w:b w:val="1"/>
          <w:bCs w:val="1"/>
          <w:color w:val="auto"/>
        </w:rPr>
        <w:t>(Proxy Access)</w:t>
      </w:r>
      <w:r>
        <w:rPr>
          <w:sz w:val="20"/>
          <w:szCs w:val="20"/>
          <w:color w:val="auto"/>
        </w:rPr>
        <w:tab/>
      </w:r>
      <w:r>
        <w:rPr>
          <w:rFonts w:ascii="Arial" w:cs="Arial" w:eastAsia="Arial" w:hAnsi="Arial"/>
          <w:sz w:val="14"/>
          <w:szCs w:val="14"/>
          <w:b w:val="1"/>
          <w:bCs w:val="1"/>
          <w:color w:val="auto"/>
        </w:rPr>
        <w:t>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6997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18" w:lineRule="exact"/>
        <w:rPr>
          <w:sz w:val="20"/>
          <w:szCs w:val="20"/>
          <w:color w:val="auto"/>
        </w:rPr>
      </w:pPr>
    </w:p>
    <w:p>
      <w:pPr>
        <w:ind w:left="200"/>
        <w:spacing w:after="0"/>
        <w:tabs>
          <w:tab w:leader="none" w:pos="3140" w:val="left"/>
        </w:tabs>
        <w:rPr>
          <w:sz w:val="20"/>
          <w:szCs w:val="20"/>
          <w:color w:val="auto"/>
        </w:rPr>
      </w:pPr>
      <w:r>
        <w:rPr>
          <w:rFonts w:ascii="Arial" w:cs="Arial" w:eastAsia="Arial" w:hAnsi="Arial"/>
          <w:sz w:val="18"/>
          <w:szCs w:val="18"/>
          <w:color w:val="auto"/>
        </w:rPr>
        <w:t>When proposal must be</w:t>
      </w:r>
      <w:r>
        <w:rPr>
          <w:sz w:val="20"/>
          <w:szCs w:val="20"/>
          <w:color w:val="auto"/>
        </w:rPr>
        <w:tab/>
      </w:r>
      <w:r>
        <w:rPr>
          <w:rFonts w:ascii="Arial" w:cs="Arial" w:eastAsia="Arial" w:hAnsi="Arial"/>
          <w:sz w:val="18"/>
          <w:szCs w:val="18"/>
          <w:color w:val="auto"/>
        </w:rPr>
        <w:t>On or before November 13, 2018 No earlier than October 14,</w:t>
      </w:r>
    </w:p>
    <w:p>
      <w:pPr>
        <w:ind w:left="200"/>
        <w:spacing w:after="0" w:line="234" w:lineRule="auto"/>
        <w:tabs>
          <w:tab w:leader="none" w:pos="5880" w:val="left"/>
        </w:tabs>
        <w:rPr>
          <w:sz w:val="20"/>
          <w:szCs w:val="20"/>
          <w:color w:val="auto"/>
        </w:rPr>
      </w:pPr>
      <w:r>
        <w:rPr>
          <w:rFonts w:ascii="Arial" w:cs="Arial" w:eastAsia="Arial" w:hAnsi="Arial"/>
          <w:sz w:val="18"/>
          <w:szCs w:val="18"/>
          <w:color w:val="auto"/>
        </w:rPr>
        <w:t>received by Texas Instruments</w:t>
      </w:r>
      <w:r>
        <w:rPr>
          <w:sz w:val="20"/>
          <w:szCs w:val="20"/>
          <w:color w:val="auto"/>
        </w:rPr>
        <w:tab/>
      </w:r>
      <w:r>
        <w:rPr>
          <w:rFonts w:ascii="Arial" w:cs="Arial" w:eastAsia="Arial" w:hAnsi="Arial"/>
          <w:sz w:val="18"/>
          <w:szCs w:val="18"/>
          <w:color w:val="auto"/>
        </w:rPr>
        <w:t>2018, and no later than</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November 13, 2018</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No earlier than December 27, 2018, and no later than January 26, 2019</w:t>
      </w:r>
    </w:p>
    <w:p>
      <w:pPr>
        <w:spacing w:after="0" w:line="200" w:lineRule="exact"/>
        <w:rPr>
          <w:sz w:val="20"/>
          <w:szCs w:val="20"/>
          <w:color w:val="auto"/>
        </w:rPr>
      </w:pPr>
    </w:p>
    <w:p>
      <w:pPr>
        <w:sectPr>
          <w:pgSz w:w="11900" w:h="16838" w:orient="portrait"/>
          <w:cols w:equalWidth="0" w:num="2">
            <w:col w:w="8080" w:space="480"/>
            <w:col w:w="2620"/>
          </w:cols>
          <w:pgMar w:left="240" w:top="459" w:right="47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Proposals are to be sent to: Texas Instruments Incorporated, 12500 TI Boulevard, MS 8658, Dallas, TX 75243, Attn: Secretary.</w:t>
      </w:r>
    </w:p>
    <w:p>
      <w:pPr>
        <w:spacing w:after="0" w:line="212"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We reserve the right to reject, rule out of order, or take any other appropriate action with respect to any proposal or nomination that does not comply with these and other applicable requirements.</w:t>
      </w:r>
    </w:p>
    <w:p>
      <w:pPr>
        <w:spacing w:after="0" w:line="197"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In addition, all suggestions from stockholders concerning the company’s business are welcome and will be carefully considered by TI’s management. To ensure that your suggestions receive appropriate review, the GSR Committee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See “Communications with the board” for information on contacting the board.</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Benefit plan voting</w:t>
      </w:r>
    </w:p>
    <w:p>
      <w:pPr>
        <w:spacing w:after="0" w:line="205"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and are entitled to direct the voting of shares allocable to your accounts under these plans. The trustee</w:t>
      </w:r>
    </w:p>
    <w:p>
      <w:pPr>
        <w:spacing w:after="0" w:line="124"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52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180"/>
          </w:cols>
          <w:pgMar w:left="240" w:top="459" w:right="47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administering your plan will vote your shares in accordance with your instructions. If you wish to instruct the trustee on the voting of shares held for your accounts, you should do so by April 23, 2018, in the manner described in the notice of annual meeting.</w:t>
      </w:r>
    </w:p>
    <w:p>
      <w:pPr>
        <w:spacing w:after="0" w:line="197"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23, 2018, will be voted in the same proportions as the shares in the plans for which voting instructions have been received by that date unless otherwise required by law.</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16(a) beneficial ownership reporting compliance</w:t>
      </w:r>
    </w:p>
    <w:p>
      <w:pPr>
        <w:spacing w:after="0" w:line="205"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Section 16(a) of the Securities Exchange Act requires certain persons, including the company’s directors and executive officers, to file reports with the SEC regarding beneficial ownership of certain equity securities of the company. Due to an administrative error, there was one late filing for Mr. Xie with respect to a gift of shares. The company believes that all other reports during 2017 were timely filed by its directors and executive officers.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Telephone and internet voting</w:t>
      </w:r>
    </w:p>
    <w:p>
      <w:pPr>
        <w:spacing w:after="0" w:line="205" w:lineRule="exact"/>
        <w:rPr>
          <w:sz w:val="20"/>
          <w:szCs w:val="20"/>
          <w:color w:val="auto"/>
        </w:rPr>
      </w:pPr>
    </w:p>
    <w:p>
      <w:pPr>
        <w:ind w:left="200" w:right="80"/>
        <w:spacing w:after="0"/>
        <w:rPr>
          <w:sz w:val="20"/>
          <w:szCs w:val="20"/>
          <w:color w:val="auto"/>
        </w:rPr>
      </w:pPr>
      <w:r>
        <w:rPr>
          <w:rFonts w:ascii="Arial" w:cs="Arial" w:eastAsia="Arial" w:hAnsi="Arial"/>
          <w:sz w:val="18"/>
          <w:szCs w:val="18"/>
          <w:u w:val="single" w:color="auto"/>
          <w:color w:val="auto"/>
        </w:rPr>
        <w:t>Registered stockholders and benefit plan participants</w:t>
      </w:r>
      <w:r>
        <w:rPr>
          <w:rFonts w:ascii="Arial" w:cs="Arial" w:eastAsia="Arial" w:hAnsi="Arial"/>
          <w:sz w:val="18"/>
          <w:szCs w:val="18"/>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203" w:lineRule="exact"/>
        <w:rPr>
          <w:sz w:val="20"/>
          <w:szCs w:val="20"/>
          <w:color w:val="auto"/>
        </w:rPr>
      </w:pPr>
    </w:p>
    <w:p>
      <w:pPr>
        <w:jc w:val="both"/>
        <w:ind w:left="200" w:right="260"/>
        <w:spacing w:after="0" w:line="239"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Broadridge Financial Solutions, Inc., are consistent with the requirements of applicable law.</w:t>
      </w:r>
    </w:p>
    <w:p>
      <w:pPr>
        <w:spacing w:after="0" w:line="202" w:lineRule="exact"/>
        <w:rPr>
          <w:sz w:val="20"/>
          <w:szCs w:val="20"/>
          <w:color w:val="auto"/>
        </w:rPr>
      </w:pPr>
    </w:p>
    <w:p>
      <w:pPr>
        <w:ind w:left="200" w:right="100"/>
        <w:spacing w:after="0"/>
        <w:rPr>
          <w:sz w:val="20"/>
          <w:szCs w:val="20"/>
          <w:color w:val="auto"/>
        </w:rPr>
      </w:pPr>
      <w:r>
        <w:rPr>
          <w:rFonts w:ascii="Arial" w:cs="Arial" w:eastAsia="Arial" w:hAnsi="Arial"/>
          <w:sz w:val="18"/>
          <w:szCs w:val="18"/>
          <w:u w:val="single" w:color="auto"/>
          <w:color w:val="auto"/>
        </w:rPr>
        <w:t>Stockholders with shares registered in the name of a brokerage firm or bank</w:t>
      </w:r>
      <w:r>
        <w:rPr>
          <w:rFonts w:ascii="Arial" w:cs="Arial" w:eastAsia="Arial" w:hAnsi="Arial"/>
          <w:sz w:val="18"/>
          <w:szCs w:val="18"/>
          <w:color w:val="auto"/>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20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Stockholders sharing the same address</w:t>
      </w:r>
    </w:p>
    <w:p>
      <w:pPr>
        <w:spacing w:after="0" w:line="205"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 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(866) 540-7095 or writing to Investor Relations at the address given above.</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Electronic delivery of proxy materials and copies of our Form 10-K</w:t>
      </w:r>
    </w:p>
    <w:p>
      <w:pPr>
        <w:spacing w:after="0" w:line="205"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visit www-us.computershare.com/investor or call TI Investor Relations at (214) 479-3773 for more information. If you are a participant in a TI benefit plan and would like to request electronic delivery, call TI Investor Relations for more information.</w:t>
      </w:r>
    </w:p>
    <w:p>
      <w:pPr>
        <w:spacing w:after="0" w:line="131"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53</w:t>
            </w:r>
          </w:p>
        </w:tc>
      </w:tr>
    </w:tbl>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26, 2018. This 2018 proxy statement and the company’s 2017 annual report are accessible at: www.proxyvote.com.</w:t>
      </w:r>
    </w:p>
    <w:p>
      <w:pPr>
        <w:spacing w:after="0" w:line="176" w:lineRule="exact"/>
        <w:rPr>
          <w:sz w:val="20"/>
          <w:szCs w:val="20"/>
          <w:color w:val="auto"/>
        </w:rPr>
      </w:pPr>
    </w:p>
    <w:p>
      <w:pPr>
        <w:ind w:left="200" w:right="260"/>
        <w:spacing w:after="0" w:line="248" w:lineRule="auto"/>
        <w:rPr>
          <w:sz w:val="20"/>
          <w:szCs w:val="20"/>
          <w:color w:val="auto"/>
        </w:rPr>
      </w:pPr>
      <w:r>
        <w:rPr>
          <w:rFonts w:ascii="Arial" w:cs="Arial" w:eastAsia="Arial" w:hAnsi="Arial"/>
          <w:sz w:val="17"/>
          <w:szCs w:val="17"/>
          <w:color w:val="auto"/>
        </w:rPr>
        <w:t xml:space="preserve">The company’s annual report to stockholders, which contains consolidated financial statements for the year ended December 31, 2017, accompanies this proxy statement. </w:t>
      </w:r>
      <w:r>
        <w:rPr>
          <w:rFonts w:ascii="Arial" w:cs="Arial" w:eastAsia="Arial" w:hAnsi="Arial"/>
          <w:sz w:val="17"/>
          <w:szCs w:val="17"/>
          <w:b w:val="1"/>
          <w:bCs w:val="1"/>
          <w:color w:val="auto"/>
        </w:rPr>
        <w:t>You may also obtain a copy of the company’s annual report on Form 10-K for the year ended</w:t>
      </w:r>
    </w:p>
    <w:p>
      <w:pPr>
        <w:spacing w:after="0" w:line="1" w:lineRule="exact"/>
        <w:rPr>
          <w:sz w:val="20"/>
          <w:szCs w:val="20"/>
          <w:color w:val="auto"/>
        </w:rPr>
      </w:pPr>
    </w:p>
    <w:p>
      <w:pPr>
        <w:ind w:left="200" w:right="600"/>
        <w:spacing w:after="0" w:line="246" w:lineRule="auto"/>
        <w:rPr>
          <w:sz w:val="20"/>
          <w:szCs w:val="20"/>
          <w:color w:val="auto"/>
        </w:rPr>
      </w:pPr>
      <w:r>
        <w:rPr>
          <w:rFonts w:ascii="Arial" w:cs="Arial" w:eastAsia="Arial" w:hAnsi="Arial"/>
          <w:sz w:val="18"/>
          <w:szCs w:val="18"/>
          <w:b w:val="1"/>
          <w:bCs w:val="1"/>
          <w:color w:val="auto"/>
        </w:rPr>
        <w:t xml:space="preserve">December 31, 2017, that was filed with the SEC without charge by writing to Investor Relations, P.O. Box 660199, MS 8657, Dallas, TX 75266-0199. </w:t>
      </w:r>
      <w:r>
        <w:rPr>
          <w:rFonts w:ascii="Arial" w:cs="Arial" w:eastAsia="Arial" w:hAnsi="Arial"/>
          <w:sz w:val="18"/>
          <w:szCs w:val="18"/>
          <w:color w:val="auto"/>
        </w:rPr>
        <w:t>Our Form 10-K is also available in the “Investor Relations” section of our website at www.ti.com.</w:t>
      </w:r>
    </w:p>
    <w:p>
      <w:pPr>
        <w:spacing w:after="0" w:line="19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152400</wp:posOffset>
            </wp:positionV>
            <wp:extent cx="2066925" cy="6000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669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Cynthia Hoff Trochu</w:t>
      </w:r>
    </w:p>
    <w:p>
      <w:pPr>
        <w:ind w:left="7280"/>
        <w:spacing w:after="0" w:line="234" w:lineRule="auto"/>
        <w:rPr>
          <w:sz w:val="20"/>
          <w:szCs w:val="20"/>
          <w:color w:val="auto"/>
        </w:rPr>
      </w:pPr>
      <w:r>
        <w:rPr>
          <w:rFonts w:ascii="Arial" w:cs="Arial" w:eastAsia="Arial" w:hAnsi="Arial"/>
          <w:sz w:val="18"/>
          <w:szCs w:val="18"/>
          <w:color w:val="auto"/>
        </w:rPr>
        <w:t>Senior Vice President,</w:t>
      </w:r>
    </w:p>
    <w:p>
      <w:pPr>
        <w:spacing w:after="0" w:line="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Secretary and General Counsel</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13, 2018</w:t>
      </w:r>
    </w:p>
    <w:p>
      <w:pPr>
        <w:ind w:left="200"/>
        <w:spacing w:after="0"/>
        <w:rPr>
          <w:sz w:val="20"/>
          <w:szCs w:val="20"/>
          <w:color w:val="auto"/>
        </w:rPr>
      </w:pPr>
      <w:r>
        <w:rPr>
          <w:rFonts w:ascii="Arial" w:cs="Arial" w:eastAsia="Arial" w:hAnsi="Arial"/>
          <w:sz w:val="18"/>
          <w:szCs w:val="18"/>
          <w:color w:val="auto"/>
        </w:rPr>
        <w:t>Dallas, Texas</w:t>
      </w:r>
    </w:p>
    <w:p>
      <w:pPr>
        <w:spacing w:after="0" w:line="3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38"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This proxy statement includes forward-looking statements intended to qualify for the safe harbor from liability established by the Private Securities Litigation Reform Act of 1995. Statements herein that describe TI’s business strategy, plans, goals, future capital spending levels and potential for growth, improved profit margins and cash generation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2017. The forward-looking statements included in this proxy statement are made only as of the date of this proxy statement, and we undertake no obligation to update the forward-looking statements to reflect subsequent events or circumstances.</w:t>
      </w:r>
    </w:p>
    <w:p>
      <w:pPr>
        <w:spacing w:after="0" w:line="136"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54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Directions and other annual meeting information</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Directions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From DFW airport: </w:t>
      </w:r>
      <w:r>
        <w:rPr>
          <w:rFonts w:ascii="Arial" w:cs="Arial" w:eastAsia="Arial" w:hAnsi="Arial"/>
          <w:sz w:val="18"/>
          <w:szCs w:val="18"/>
          <w:color w:val="auto"/>
        </w:rPr>
        <w:t>Take the North Airport exit to IH-635E. Take IH-635E to the Greenville Avenue exit. Turn right (South) on Greenville.</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Turn right (West) on Forest Lane. Texas Instruments will be on your right at the second traffic light.</w:t>
      </w:r>
    </w:p>
    <w:p>
      <w:pPr>
        <w:spacing w:after="0" w:line="194" w:lineRule="exact"/>
        <w:rPr>
          <w:sz w:val="20"/>
          <w:szCs w:val="20"/>
          <w:color w:val="auto"/>
        </w:rPr>
      </w:pPr>
    </w:p>
    <w:p>
      <w:pPr>
        <w:ind w:left="200" w:right="120"/>
        <w:spacing w:after="0" w:line="267" w:lineRule="auto"/>
        <w:rPr>
          <w:sz w:val="20"/>
          <w:szCs w:val="20"/>
          <w:color w:val="auto"/>
        </w:rPr>
      </w:pPr>
      <w:r>
        <w:rPr>
          <w:rFonts w:ascii="Arial" w:cs="Arial" w:eastAsia="Arial" w:hAnsi="Arial"/>
          <w:sz w:val="18"/>
          <w:szCs w:val="18"/>
          <w:i w:val="1"/>
          <w:iCs w:val="1"/>
          <w:color w:val="auto"/>
        </w:rPr>
        <w:t xml:space="preserve">From Love Field airport: </w:t>
      </w:r>
      <w:r>
        <w:rPr>
          <w:rFonts w:ascii="Arial" w:cs="Arial" w:eastAsia="Arial" w:hAnsi="Arial"/>
          <w:sz w:val="18"/>
          <w:szCs w:val="18"/>
          <w:color w:val="auto"/>
        </w:rPr>
        <w:t>Take Mockingbird Lane East to US-75N (Central Expressway). Travel North on 75N to the Forest Lane exit. Turn</w:t>
      </w:r>
      <w:r>
        <w:rPr>
          <w:rFonts w:ascii="Arial" w:cs="Arial" w:eastAsia="Arial" w:hAnsi="Arial"/>
          <w:sz w:val="18"/>
          <w:szCs w:val="18"/>
          <w:i w:val="1"/>
          <w:iCs w:val="1"/>
          <w:color w:val="auto"/>
        </w:rPr>
        <w:t xml:space="preserve"> </w:t>
      </w:r>
      <w:r>
        <w:rPr>
          <w:rFonts w:ascii="Arial" w:cs="Arial" w:eastAsia="Arial" w:hAnsi="Arial"/>
          <w:sz w:val="18"/>
          <w:szCs w:val="18"/>
          <w:color w:val="auto"/>
        </w:rPr>
        <w:t>right (East) on Forest Lane. You will pass two traffic lights. At the third light, the entrance to Texas Instruments will be on your left.</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Parking</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visitors should park at the South Lobby, where reserved parking will be available.</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Security</w:t>
      </w:r>
    </w:p>
    <w:p>
      <w:pPr>
        <w:spacing w:after="0" w:line="205" w:lineRule="exact"/>
        <w:rPr>
          <w:sz w:val="20"/>
          <w:szCs w:val="20"/>
          <w:color w:val="auto"/>
        </w:rPr>
      </w:pPr>
    </w:p>
    <w:p>
      <w:pPr>
        <w:ind w:left="200" w:right="540"/>
        <w:spacing w:after="0" w:line="246" w:lineRule="auto"/>
        <w:rPr>
          <w:sz w:val="20"/>
          <w:szCs w:val="20"/>
          <w:color w:val="auto"/>
        </w:rPr>
      </w:pPr>
      <w:r>
        <w:rPr>
          <w:rFonts w:ascii="Arial" w:cs="Arial" w:eastAsia="Arial" w:hAnsi="Arial"/>
          <w:sz w:val="18"/>
          <w:szCs w:val="18"/>
          <w:color w:val="auto"/>
        </w:rPr>
        <w:t>Be advised that TI’s security policy forbids weapons, cameras and audio/video recording devices inside TI buildings. All bags will be subject to search upon entry into the building.</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Attendance</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additional information about attending the annual meeting see the discussion under “Attendance requirements” on page 4.</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20" w:type="dxa"/>
            <w:vAlign w:val="bottom"/>
          </w:tcPr>
          <w:p>
            <w:pPr>
              <w:jc w:val="right"/>
              <w:spacing w:after="0"/>
              <w:rPr>
                <w:sz w:val="20"/>
                <w:szCs w:val="20"/>
                <w:color w:val="auto"/>
              </w:rPr>
            </w:pPr>
            <w:r>
              <w:rPr>
                <w:rFonts w:ascii="Arial" w:cs="Arial" w:eastAsia="Arial" w:hAnsi="Arial"/>
                <w:sz w:val="13"/>
                <w:szCs w:val="13"/>
                <w:color w:val="666666"/>
              </w:rPr>
              <w:t>55</w:t>
            </w:r>
          </w:p>
        </w:tc>
      </w:tr>
    </w:tbl>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Appendix A</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Non-GAAP reconciliations</w:t>
      </w:r>
    </w:p>
    <w:p>
      <w:pPr>
        <w:spacing w:after="0" w:line="205"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This proxy statement refers to ratios based on free cash flow. These are financial measures that were not prepared in accordance with generally accepted accounting principles in the U.S. (GAAP). Free cash flow is a non-GAAP measure calculated by subtracting Capital expenditures from the most directly comparable GAAP measure, Cash flows from operating activities (also referred to as Cash flow from operations). We believe free cash flow and these ratios based on it provide insight into our liquidity, our cash-generating capability and the amount of cash potentially available to return to shareholders, as well as insight into our financial performance. These non-GAAP measures are supplemental to the comparable GAAP measures and are reconciled in the table below to the most directly comparable GAAP measures.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Percentage of Revenue</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4"/>
          </w:tcPr>
          <w:p>
            <w:pPr>
              <w:ind w:left="340"/>
              <w:spacing w:after="0" w:line="143" w:lineRule="exact"/>
              <w:rPr>
                <w:sz w:val="20"/>
                <w:szCs w:val="20"/>
                <w:color w:val="auto"/>
              </w:rPr>
            </w:pPr>
            <w:r>
              <w:rPr>
                <w:rFonts w:ascii="Arial" w:cs="Arial" w:eastAsia="Arial" w:hAnsi="Arial"/>
                <w:sz w:val="14"/>
                <w:szCs w:val="14"/>
                <w:b w:val="1"/>
                <w:bCs w:val="1"/>
                <w:color w:val="auto"/>
              </w:rPr>
              <w:t>For Years Ended</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Free Cash Flow as a Percentage of Revenue</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rPr>
              <w:t>For Years Ended December 31,</w:t>
            </w:r>
          </w:p>
        </w:tc>
        <w:tc>
          <w:tcPr>
            <w:tcW w:w="100" w:type="dxa"/>
            <w:vAlign w:val="bottom"/>
          </w:tcPr>
          <w:p>
            <w:pPr>
              <w:spacing w:after="0"/>
              <w:rPr>
                <w:sz w:val="15"/>
                <w:szCs w:val="15"/>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460" w:type="dxa"/>
            <w:vAlign w:val="bottom"/>
            <w:tcBorders>
              <w:bottom w:val="single" w:sz="8" w:color="auto"/>
            </w:tcBorders>
            <w:gridSpan w:val="2"/>
            <w:vMerge w:val="continue"/>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(Millions of dollars)</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14,961</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13,370</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$ 41,331</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Cash flow from operations (GAAP)</w:t>
            </w:r>
          </w:p>
        </w:tc>
        <w:tc>
          <w:tcPr>
            <w:tcW w:w="11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5,363</w:t>
            </w:r>
          </w:p>
        </w:tc>
        <w:tc>
          <w:tcPr>
            <w:tcW w:w="1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4,614</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4,397</w:t>
            </w:r>
          </w:p>
        </w:tc>
        <w:tc>
          <w:tcPr>
            <w:tcW w:w="1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$ 14,374</w:t>
            </w:r>
          </w:p>
        </w:tc>
        <w:tc>
          <w:tcPr>
            <w:tcW w:w="220" w:type="dxa"/>
            <w:vAlign w:val="bottom"/>
          </w:tcPr>
          <w:p>
            <w:pPr>
              <w:spacing w:after="0"/>
              <w:rPr>
                <w:sz w:val="17"/>
                <w:szCs w:val="17"/>
                <w:color w:val="auto"/>
              </w:rPr>
            </w:pPr>
          </w:p>
        </w:tc>
        <w:tc>
          <w:tcPr>
            <w:tcW w:w="660" w:type="dxa"/>
            <w:vAlign w:val="bottom"/>
          </w:tcPr>
          <w:p>
            <w:pPr>
              <w:jc w:val="right"/>
              <w:ind w:right="22"/>
              <w:spacing w:after="0" w:line="202" w:lineRule="exact"/>
              <w:rPr>
                <w:sz w:val="20"/>
                <w:szCs w:val="20"/>
                <w:color w:val="auto"/>
              </w:rPr>
            </w:pPr>
            <w:r>
              <w:rPr>
                <w:rFonts w:ascii="Arial" w:cs="Arial" w:eastAsia="Arial" w:hAnsi="Arial"/>
                <w:sz w:val="18"/>
                <w:szCs w:val="18"/>
                <w:b w:val="1"/>
                <w:bCs w:val="1"/>
                <w:color w:val="auto"/>
              </w:rPr>
              <w:t>35.8%</w:t>
            </w:r>
          </w:p>
        </w:tc>
        <w:tc>
          <w:tcPr>
            <w:tcW w:w="720" w:type="dxa"/>
            <w:vAlign w:val="bottom"/>
          </w:tcPr>
          <w:p>
            <w:pPr>
              <w:ind w:left="100"/>
              <w:spacing w:after="0" w:line="202" w:lineRule="exact"/>
              <w:rPr>
                <w:sz w:val="20"/>
                <w:szCs w:val="20"/>
                <w:color w:val="auto"/>
              </w:rPr>
            </w:pPr>
            <w:r>
              <w:rPr>
                <w:rFonts w:ascii="Arial" w:cs="Arial" w:eastAsia="Arial" w:hAnsi="Arial"/>
                <w:sz w:val="18"/>
                <w:szCs w:val="18"/>
                <w:color w:val="auto"/>
              </w:rPr>
              <w:t>34.5%</w:t>
            </w: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33.8%</w:t>
            </w:r>
          </w:p>
        </w:tc>
        <w:tc>
          <w:tcPr>
            <w:tcW w:w="64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(551)</w:t>
            </w: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(1,777)</w:t>
            </w: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gridSpan w:val="2"/>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vMerge w:val="restart"/>
          </w:tcPr>
          <w:p>
            <w:pPr>
              <w:jc w:val="right"/>
              <w:ind w:right="22"/>
              <w:spacing w:after="0"/>
              <w:rPr>
                <w:sz w:val="20"/>
                <w:szCs w:val="20"/>
                <w:color w:val="auto"/>
              </w:rPr>
            </w:pPr>
            <w:r>
              <w:rPr>
                <w:rFonts w:ascii="Arial" w:cs="Arial" w:eastAsia="Arial" w:hAnsi="Arial"/>
                <w:sz w:val="18"/>
                <w:szCs w:val="18"/>
                <w:b w:val="1"/>
                <w:bCs w:val="1"/>
                <w:color w:val="auto"/>
              </w:rPr>
              <w:t>31.2%</w:t>
            </w: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30.5%</w:t>
            </w:r>
          </w:p>
        </w:tc>
        <w:tc>
          <w:tcPr>
            <w:tcW w:w="0" w:type="dxa"/>
            <w:vAlign w:val="bottom"/>
          </w:tcPr>
          <w:p>
            <w:pPr>
              <w:spacing w:after="0" w:line="20" w:lineRule="exact"/>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8"/>
                <w:szCs w:val="18"/>
                <w:color w:val="auto"/>
              </w:rPr>
              <w:t>Free cash flow (non-GAAP)</w:t>
            </w:r>
          </w:p>
        </w:tc>
        <w:tc>
          <w:tcPr>
            <w:tcW w:w="10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4,668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4,083</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3,846</w:t>
            </w: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6"/>
              </w:rPr>
              <w:t>$ 12,597</w:t>
            </w:r>
          </w:p>
        </w:tc>
        <w:tc>
          <w:tcPr>
            <w:tcW w:w="2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30.5%</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3"/>
                <w:szCs w:val="13"/>
                <w:color w:val="666666"/>
              </w:rPr>
              <w:t>A-1</w:t>
            </w:r>
          </w:p>
        </w:tc>
        <w:tc>
          <w:tcPr>
            <w:tcW w:w="1900" w:type="dxa"/>
            <w:vAlign w:val="bottom"/>
            <w:gridSpan w:val="5"/>
          </w:tcPr>
          <w:p>
            <w:pPr>
              <w:jc w:val="right"/>
              <w:ind w:right="80"/>
              <w:spacing w:after="0"/>
              <w:rPr>
                <w:sz w:val="20"/>
                <w:szCs w:val="20"/>
                <w:color w:val="auto"/>
              </w:rPr>
            </w:pPr>
            <w:r>
              <w:rPr>
                <w:rFonts w:ascii="Arial" w:cs="Arial" w:eastAsia="Arial" w:hAnsi="Arial"/>
                <w:sz w:val="13"/>
                <w:szCs w:val="13"/>
                <w:color w:val="666666"/>
              </w:rPr>
              <w:t>TEXAS INSTRUMENTS</w:t>
            </w:r>
          </w:p>
        </w:tc>
        <w:tc>
          <w:tcPr>
            <w:tcW w:w="220" w:type="dxa"/>
            <w:vAlign w:val="bottom"/>
            <w:gridSpan w:val="2"/>
          </w:tcPr>
          <w:p>
            <w:pPr>
              <w:jc w:val="right"/>
              <w:ind w:right="30"/>
              <w:spacing w:after="0"/>
              <w:rPr>
                <w:sz w:val="20"/>
                <w:szCs w:val="20"/>
                <w:color w:val="auto"/>
              </w:rPr>
            </w:pPr>
            <w:r>
              <w:rPr>
                <w:rFonts w:ascii="Arial" w:cs="Arial" w:eastAsia="Arial" w:hAnsi="Arial"/>
                <w:sz w:val="13"/>
                <w:szCs w:val="13"/>
                <w:color w:val="666666"/>
              </w:rPr>
              <w:t>•</w:t>
            </w:r>
          </w:p>
        </w:tc>
        <w:tc>
          <w:tcPr>
            <w:tcW w:w="1680" w:type="dxa"/>
            <w:vAlign w:val="bottom"/>
            <w:gridSpan w:val="6"/>
          </w:tcPr>
          <w:p>
            <w:pPr>
              <w:jc w:val="right"/>
              <w:ind w:right="140"/>
              <w:spacing w:after="0"/>
              <w:rPr>
                <w:sz w:val="20"/>
                <w:szCs w:val="20"/>
                <w:color w:val="auto"/>
              </w:rPr>
            </w:pPr>
            <w:r>
              <w:rPr>
                <w:rFonts w:ascii="Arial" w:cs="Arial" w:eastAsia="Arial" w:hAnsi="Arial"/>
                <w:sz w:val="13"/>
                <w:szCs w:val="13"/>
                <w:color w:val="666666"/>
                <w:w w:val="94"/>
              </w:rPr>
              <w:t>2018 PROXY STATEMENT</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Appendix B</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TEXAS INSTRUMENTS 2018 DIRECTOR COMPENSATION PLAN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Dated April 26, 2018</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 PURPOSE.</w:t>
      </w:r>
    </w:p>
    <w:p>
      <w:pPr>
        <w:spacing w:after="0" w:line="205"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Texas Instruments 2018 Director Compensation Plan (“the Plan”) is intended as a successor plan to the Company’s 2009 Director Compensation Plan. This Plan is designed to attract and retain qualified individuals to serve as directors of the Company and to increase the proprietary and vested interest of such directors in the growth and performance of the Company. This Plan is effective for Awards granted on or after the Effective Date.</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2. DEFINITIONS.</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1"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11 of the Plan.</w:t>
      </w:r>
    </w:p>
    <w:p>
      <w:pPr>
        <w:spacing w:after="0" w:line="238" w:lineRule="exact"/>
        <w:rPr>
          <w:rFonts w:ascii="Arial" w:cs="Arial" w:eastAsia="Arial" w:hAnsi="Arial"/>
          <w:sz w:val="18"/>
          <w:szCs w:val="18"/>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238" w:lineRule="exact"/>
        <w:rPr>
          <w:rFonts w:ascii="Arial" w:cs="Arial" w:eastAsia="Arial" w:hAnsi="Arial"/>
          <w:sz w:val="18"/>
          <w:szCs w:val="18"/>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Stock Appreciation Right or other stock-based award under the Plan.</w:t>
      </w:r>
    </w:p>
    <w:p>
      <w:pPr>
        <w:spacing w:after="0" w:line="238" w:lineRule="exact"/>
        <w:rPr>
          <w:rFonts w:ascii="Arial" w:cs="Arial" w:eastAsia="Arial" w:hAnsi="Arial"/>
          <w:sz w:val="18"/>
          <w:szCs w:val="18"/>
          <w:color w:val="auto"/>
        </w:rPr>
      </w:pPr>
    </w:p>
    <w:p>
      <w:pPr>
        <w:ind w:left="640" w:right="280" w:hanging="436"/>
        <w:spacing w:after="0" w:line="297" w:lineRule="auto"/>
        <w:tabs>
          <w:tab w:leader="none" w:pos="64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“Award Agreement” </w:t>
      </w:r>
      <w:r>
        <w:rPr>
          <w:rFonts w:ascii="Arial" w:cs="Arial" w:eastAsia="Arial" w:hAnsi="Arial"/>
          <w:sz w:val="17"/>
          <w:szCs w:val="17"/>
          <w:color w:val="auto"/>
        </w:rPr>
        <w:t>means any written agreement, contract or other instrument or document evidencing any Award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which may, but need not, be executed or acknowledged by a Director. An Award Agreement may be in electronic form.</w:t>
      </w:r>
    </w:p>
    <w:p>
      <w:pPr>
        <w:spacing w:after="0" w:line="164" w:lineRule="exact"/>
        <w:rPr>
          <w:rFonts w:ascii="Arial" w:cs="Arial" w:eastAsia="Arial" w:hAnsi="Arial"/>
          <w:sz w:val="17"/>
          <w:szCs w:val="17"/>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238" w:lineRule="exact"/>
        <w:rPr>
          <w:rFonts w:ascii="Arial" w:cs="Arial" w:eastAsia="Arial" w:hAnsi="Arial"/>
          <w:sz w:val="18"/>
          <w:szCs w:val="18"/>
          <w:color w:val="auto"/>
        </w:rPr>
      </w:pPr>
    </w:p>
    <w:p>
      <w:pPr>
        <w:ind w:left="640" w:right="160" w:hanging="436"/>
        <w:spacing w:after="0" w:line="267"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accounts established or maintained pursuant to Section 11(b)(i) on behalf of each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who elects pursuant to Section 11(b) to have any of his or her Deferred Compensation credited to a cash account.</w:t>
      </w:r>
    </w:p>
    <w:p>
      <w:pPr>
        <w:spacing w:after="0" w:line="187" w:lineRule="exact"/>
        <w:rPr>
          <w:rFonts w:ascii="Arial" w:cs="Arial" w:eastAsia="Arial" w:hAnsi="Arial"/>
          <w:sz w:val="18"/>
          <w:szCs w:val="18"/>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mean an event that will be deemed to have occurred:</w:t>
      </w:r>
    </w:p>
    <w:p>
      <w:pPr>
        <w:spacing w:after="0" w:line="256" w:lineRule="exact"/>
        <w:rPr>
          <w:rFonts w:ascii="Arial" w:cs="Arial" w:eastAsia="Arial" w:hAnsi="Arial"/>
          <w:sz w:val="18"/>
          <w:szCs w:val="18"/>
          <w:color w:val="auto"/>
        </w:rPr>
      </w:pPr>
    </w:p>
    <w:p>
      <w:pPr>
        <w:ind w:left="1060" w:right="40" w:hanging="424"/>
        <w:spacing w:after="0" w:line="236" w:lineRule="auto"/>
        <w:tabs>
          <w:tab w:leader="none" w:pos="10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On the date any Person, other than (i) the Company or any of its Subsidiaries, (ii) a trustee or other fiduciary holding stock under an employee benefit plan of the Company or any of its Affiliates, (iii) an underwriter temporarily holding stock pursuant to an offering of such stock, or (iv)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w:t>
      </w:r>
    </w:p>
    <w:p>
      <w:pPr>
        <w:spacing w:after="0" w:line="235" w:lineRule="exact"/>
        <w:rPr>
          <w:rFonts w:ascii="Arial" w:cs="Arial" w:eastAsia="Arial" w:hAnsi="Arial"/>
          <w:sz w:val="18"/>
          <w:szCs w:val="18"/>
          <w:color w:val="auto"/>
        </w:rPr>
      </w:pPr>
    </w:p>
    <w:p>
      <w:pPr>
        <w:ind w:left="1060" w:right="380" w:hanging="424"/>
        <w:spacing w:after="0" w:line="246" w:lineRule="auto"/>
        <w:tabs>
          <w:tab w:leader="none" w:pos="10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223" w:lineRule="exact"/>
        <w:rPr>
          <w:rFonts w:ascii="Arial" w:cs="Arial" w:eastAsia="Arial" w:hAnsi="Arial"/>
          <w:sz w:val="18"/>
          <w:szCs w:val="18"/>
          <w:color w:val="auto"/>
        </w:rPr>
      </w:pPr>
    </w:p>
    <w:p>
      <w:pPr>
        <w:ind w:left="1060" w:hanging="424"/>
        <w:spacing w:after="0" w:line="234" w:lineRule="auto"/>
        <w:tabs>
          <w:tab w:leader="none" w:pos="10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 (iii) 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w:t>
      </w:r>
    </w:p>
    <w:p>
      <w:pPr>
        <w:spacing w:after="0" w:line="7"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50 percent of the total value or voting power of the outstanding stock of the Company.</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6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40" w:type="dxa"/>
            <w:vAlign w:val="bottom"/>
          </w:tcPr>
          <w:p>
            <w:pPr>
              <w:ind w:left="1840"/>
              <w:spacing w:after="0"/>
              <w:rPr>
                <w:sz w:val="20"/>
                <w:szCs w:val="20"/>
                <w:color w:val="auto"/>
              </w:rPr>
            </w:pPr>
            <w:r>
              <w:rPr>
                <w:rFonts w:ascii="Arial" w:cs="Arial" w:eastAsia="Arial" w:hAnsi="Arial"/>
                <w:sz w:val="13"/>
                <w:szCs w:val="13"/>
                <w:color w:val="666666"/>
                <w:w w:val="88"/>
              </w:rPr>
              <w:t>B-1</w:t>
            </w:r>
          </w:p>
        </w:tc>
      </w:tr>
    </w:tbl>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hanging="424"/>
        <w:spacing w:after="0"/>
        <w:tabs>
          <w:tab w:leader="none" w:pos="10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For purposes of (i), (ii) and (iii) of this Section 2(g):</w:t>
      </w:r>
    </w:p>
    <w:p>
      <w:pPr>
        <w:spacing w:after="0" w:line="238" w:lineRule="exact"/>
        <w:rPr>
          <w:rFonts w:ascii="Arial" w:cs="Arial" w:eastAsia="Arial" w:hAnsi="Arial"/>
          <w:sz w:val="18"/>
          <w:szCs w:val="18"/>
          <w:color w:val="auto"/>
        </w:rPr>
      </w:pPr>
    </w:p>
    <w:p>
      <w:pPr>
        <w:ind w:left="1620" w:hanging="538"/>
        <w:spacing w:after="0" w:line="246" w:lineRule="auto"/>
        <w:tabs>
          <w:tab w:leader="none" w:pos="1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Section 12 of the Securities Exchange Act of 1934, as amended;</w:t>
      </w:r>
    </w:p>
    <w:p>
      <w:pPr>
        <w:spacing w:after="0" w:line="223" w:lineRule="exact"/>
        <w:rPr>
          <w:rFonts w:ascii="Arial" w:cs="Arial" w:eastAsia="Arial" w:hAnsi="Arial"/>
          <w:sz w:val="18"/>
          <w:szCs w:val="18"/>
          <w:color w:val="auto"/>
        </w:rPr>
      </w:pPr>
    </w:p>
    <w:p>
      <w:pPr>
        <w:ind w:left="1620" w:right="280" w:hanging="538"/>
        <w:spacing w:after="0" w:line="246" w:lineRule="auto"/>
        <w:tabs>
          <w:tab w:leader="none" w:pos="1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“Person” shall have the meaning given in Section 7701(a)(1) of the Code. Person shall include more than one Person acting as a group as defined by the Final Treasury Regulations issued under Section 409A of the Code; and</w:t>
      </w:r>
    </w:p>
    <w:p>
      <w:pPr>
        <w:spacing w:after="0" w:line="223" w:lineRule="exact"/>
        <w:rPr>
          <w:rFonts w:ascii="Arial" w:cs="Arial" w:eastAsia="Arial" w:hAnsi="Arial"/>
          <w:sz w:val="18"/>
          <w:szCs w:val="18"/>
          <w:color w:val="auto"/>
        </w:rPr>
      </w:pPr>
    </w:p>
    <w:p>
      <w:pPr>
        <w:ind w:left="1620" w:right="80" w:hanging="538"/>
        <w:spacing w:after="0"/>
        <w:tabs>
          <w:tab w:leader="none" w:pos="1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229" w:lineRule="exact"/>
        <w:rPr>
          <w:rFonts w:ascii="Arial" w:cs="Arial" w:eastAsia="Arial" w:hAnsi="Arial"/>
          <w:sz w:val="18"/>
          <w:szCs w:val="18"/>
          <w:color w:val="auto"/>
        </w:rPr>
      </w:pPr>
    </w:p>
    <w:p>
      <w:pPr>
        <w:ind w:left="1060" w:right="20" w:hanging="424"/>
        <w:spacing w:after="0"/>
        <w:tabs>
          <w:tab w:leader="none" w:pos="10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Notwithstanding the foregoing, in no case will an event in (i), (ii) or (iii) of this Section 2(g) be treated as a Change in Control unless such event also constitutes a “change in control event” with respect to the Company within the meaning of Treas. Reg. § 1.409A-3(i)(5) or any successor provision.</w:t>
      </w:r>
    </w:p>
    <w:p>
      <w:pPr>
        <w:spacing w:after="0" w:line="211"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38"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238" w:lineRule="exact"/>
        <w:rPr>
          <w:rFonts w:ascii="Arial" w:cs="Arial" w:eastAsia="Arial" w:hAnsi="Arial"/>
          <w:sz w:val="18"/>
          <w:szCs w:val="18"/>
          <w:color w:val="auto"/>
        </w:rPr>
      </w:pPr>
    </w:p>
    <w:p>
      <w:pPr>
        <w:ind w:left="640" w:right="20" w:hanging="436"/>
        <w:spacing w:after="0" w:line="267"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“Deferred Cash Compensation” </w:t>
      </w:r>
      <w:r>
        <w:rPr>
          <w:rFonts w:ascii="Arial" w:cs="Arial" w:eastAsia="Arial" w:hAnsi="Arial"/>
          <w:sz w:val="18"/>
          <w:szCs w:val="18"/>
          <w:color w:val="auto"/>
        </w:rPr>
        <w:t>means that portion of any Director’s Eligible Compensation that is payable in cash and that he or she</w:t>
      </w:r>
      <w:r>
        <w:rPr>
          <w:rFonts w:ascii="Arial" w:cs="Arial" w:eastAsia="Arial" w:hAnsi="Arial"/>
          <w:sz w:val="18"/>
          <w:szCs w:val="18"/>
          <w:i w:val="1"/>
          <w:iCs w:val="1"/>
          <w:color w:val="auto"/>
        </w:rPr>
        <w:t xml:space="preserve"> </w:t>
      </w:r>
      <w:r>
        <w:rPr>
          <w:rFonts w:ascii="Arial" w:cs="Arial" w:eastAsia="Arial" w:hAnsi="Arial"/>
          <w:sz w:val="18"/>
          <w:szCs w:val="18"/>
          <w:color w:val="auto"/>
        </w:rPr>
        <w:t>elects pursuant to Section 11(a) to be deferred in accordance with this Plan.</w:t>
      </w:r>
    </w:p>
    <w:p>
      <w:pPr>
        <w:spacing w:after="0" w:line="187" w:lineRule="exact"/>
        <w:rPr>
          <w:rFonts w:ascii="Arial" w:cs="Arial" w:eastAsia="Arial" w:hAnsi="Arial"/>
          <w:sz w:val="18"/>
          <w:szCs w:val="18"/>
          <w:color w:val="auto"/>
        </w:rPr>
      </w:pPr>
    </w:p>
    <w:p>
      <w:pPr>
        <w:ind w:left="640" w:right="80" w:hanging="436"/>
        <w:spacing w:after="0" w:line="267"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11(a)</w:t>
      </w:r>
      <w:r>
        <w:rPr>
          <w:rFonts w:ascii="Arial" w:cs="Arial" w:eastAsia="Arial" w:hAnsi="Arial"/>
          <w:sz w:val="18"/>
          <w:szCs w:val="18"/>
          <w:i w:val="1"/>
          <w:iCs w:val="1"/>
          <w:color w:val="auto"/>
        </w:rPr>
        <w:t xml:space="preserve"> </w:t>
      </w:r>
      <w:r>
        <w:rPr>
          <w:rFonts w:ascii="Arial" w:cs="Arial" w:eastAsia="Arial" w:hAnsi="Arial"/>
          <w:sz w:val="18"/>
          <w:szCs w:val="18"/>
          <w:color w:val="auto"/>
        </w:rPr>
        <w:t>to be deferred in accordance with this Plan.</w:t>
      </w:r>
    </w:p>
    <w:p>
      <w:pPr>
        <w:spacing w:after="0" w:line="187" w:lineRule="exact"/>
        <w:rPr>
          <w:rFonts w:ascii="Arial" w:cs="Arial" w:eastAsia="Arial" w:hAnsi="Arial"/>
          <w:sz w:val="18"/>
          <w:szCs w:val="18"/>
          <w:color w:val="auto"/>
        </w:rPr>
      </w:pPr>
    </w:p>
    <w:p>
      <w:pPr>
        <w:ind w:left="640" w:right="20" w:hanging="436"/>
        <w:spacing w:after="0" w:line="267"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Account” </w:t>
      </w:r>
      <w:r>
        <w:rPr>
          <w:rFonts w:ascii="Arial" w:cs="Arial" w:eastAsia="Arial" w:hAnsi="Arial"/>
          <w:sz w:val="18"/>
          <w:szCs w:val="18"/>
          <w:color w:val="auto"/>
        </w:rPr>
        <w:t>means a Cash Account or Stock Unit Account containing amounts earned and deferred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Restricted Stock Units, the receipt of which a Director has elected to defer.</w:t>
      </w:r>
    </w:p>
    <w:p>
      <w:pPr>
        <w:spacing w:after="0" w:line="187"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238"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this Plan is approved by stockholders of the Company.</w:t>
      </w:r>
    </w:p>
    <w:p>
      <w:pPr>
        <w:spacing w:after="0" w:line="238" w:lineRule="exact"/>
        <w:rPr>
          <w:rFonts w:ascii="Arial" w:cs="Arial" w:eastAsia="Arial" w:hAnsi="Arial"/>
          <w:sz w:val="18"/>
          <w:szCs w:val="18"/>
          <w:color w:val="auto"/>
        </w:rPr>
      </w:pPr>
    </w:p>
    <w:p>
      <w:pPr>
        <w:ind w:left="640" w:right="60" w:hanging="436"/>
        <w:spacing w:after="0" w:line="242"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Compensation</w:t>
      </w:r>
      <w:r>
        <w:rPr>
          <w:rFonts w:ascii="Arial" w:cs="Arial" w:eastAsia="Arial" w:hAnsi="Arial"/>
          <w:sz w:val="18"/>
          <w:szCs w:val="18"/>
          <w:color w:val="auto"/>
        </w:rPr>
        <w:t>” means (i) the cash portion of any 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 (ii) any Restricted Stock Units granted by the Company to a Director for his or her services as a Director, and (iii) any dividend equivalents paid on Restricted Stock Units pursuant to Section 9(d).</w:t>
      </w:r>
    </w:p>
    <w:p>
      <w:pPr>
        <w:spacing w:after="0" w:line="212" w:lineRule="exact"/>
        <w:rPr>
          <w:rFonts w:ascii="Arial" w:cs="Arial" w:eastAsia="Arial" w:hAnsi="Arial"/>
          <w:sz w:val="18"/>
          <w:szCs w:val="18"/>
          <w:color w:val="auto"/>
        </w:rPr>
      </w:pPr>
    </w:p>
    <w:p>
      <w:pPr>
        <w:ind w:left="640" w:right="100" w:hanging="436"/>
        <w:spacing w:after="0" w:line="251"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the closing price of the Shares on the date specified (or, if there is no trading on The NASDAQ Stock</w:t>
      </w:r>
      <w:r>
        <w:rPr>
          <w:rFonts w:ascii="Arial" w:cs="Arial" w:eastAsia="Arial" w:hAnsi="Arial"/>
          <w:sz w:val="18"/>
          <w:szCs w:val="18"/>
          <w:i w:val="1"/>
          <w:iCs w:val="1"/>
          <w:color w:val="auto"/>
        </w:rPr>
        <w:t xml:space="preserve"> </w:t>
      </w:r>
      <w:r>
        <w:rPr>
          <w:rFonts w:ascii="Arial" w:cs="Arial" w:eastAsia="Arial" w:hAnsi="Arial"/>
          <w:sz w:val="18"/>
          <w:szCs w:val="18"/>
          <w:color w:val="auto"/>
        </w:rPr>
        <w:t>Market on such date, then on the first previous date on which there is such trading) as reported by WSJ.com or Bloomberg L.P.</w:t>
      </w:r>
      <w:r>
        <w:rPr>
          <w:rFonts w:ascii="Arial" w:cs="Arial" w:eastAsia="Arial" w:hAnsi="Arial"/>
          <w:sz w:val="18"/>
          <w:szCs w:val="18"/>
          <w:i w:val="1"/>
          <w:iCs w:val="1"/>
          <w:color w:val="auto"/>
        </w:rPr>
        <w:t>,</w:t>
      </w:r>
      <w:r>
        <w:rPr>
          <w:rFonts w:ascii="Arial" w:cs="Arial" w:eastAsia="Arial" w:hAnsi="Arial"/>
          <w:sz w:val="18"/>
          <w:szCs w:val="18"/>
          <w:color w:val="auto"/>
        </w:rPr>
        <w:t xml:space="preserve"> or if unavailable, then by reference to any other source as may be deemed appropriate by the GSR Committee.</w:t>
      </w:r>
    </w:p>
    <w:p>
      <w:pPr>
        <w:spacing w:after="0" w:line="201"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“GSR Committee” </w:t>
      </w:r>
      <w:r>
        <w:rPr>
          <w:rFonts w:ascii="Arial" w:cs="Arial" w:eastAsia="Arial" w:hAnsi="Arial"/>
          <w:sz w:val="18"/>
          <w:szCs w:val="18"/>
          <w:color w:val="auto"/>
        </w:rPr>
        <w:t>means the Governance and Stockholder Relations Committee of the Board or any successor committee.</w:t>
      </w:r>
    </w:p>
    <w:p>
      <w:pPr>
        <w:spacing w:after="0" w:line="238" w:lineRule="exact"/>
        <w:rPr>
          <w:rFonts w:ascii="Arial" w:cs="Arial" w:eastAsia="Arial" w:hAnsi="Arial"/>
          <w:sz w:val="18"/>
          <w:szCs w:val="18"/>
          <w:color w:val="auto"/>
        </w:rPr>
      </w:pPr>
    </w:p>
    <w:p>
      <w:pPr>
        <w:ind w:left="640" w:right="520" w:hanging="436"/>
        <w:spacing w:after="0" w:line="267"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this Plan to purchase Shares on the terms and conditions set forth in the Plan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Award Agreement.</w:t>
      </w:r>
    </w:p>
    <w:p>
      <w:pPr>
        <w:spacing w:after="0" w:line="187"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238"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2018 Director Compensation Plan.</w:t>
      </w:r>
    </w:p>
    <w:p>
      <w:pPr>
        <w:spacing w:after="0" w:line="117" w:lineRule="exact"/>
        <w:rPr>
          <w:rFonts w:ascii="Arial" w:cs="Arial" w:eastAsia="Arial" w:hAnsi="Arial"/>
          <w:sz w:val="18"/>
          <w:szCs w:val="18"/>
          <w:color w:val="auto"/>
        </w:rPr>
      </w:pPr>
    </w:p>
    <w:p>
      <w:pPr>
        <w:ind w:left="640" w:right="120" w:hanging="436"/>
        <w:spacing w:after="0" w:line="267"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this Plan that is denominated in Shares, each of which represents a</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receive a Share on the terms and conditions set forth in the Plan and the applicable Award Agreement.</w:t>
      </w:r>
    </w:p>
    <w:p>
      <w:pPr>
        <w:spacing w:after="0" w:line="187"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157"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B-2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right="180" w:hanging="436"/>
        <w:spacing w:after="0" w:line="241"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 from Service”</w:t>
      </w:r>
      <w:r>
        <w:rPr>
          <w:rFonts w:ascii="Arial" w:cs="Arial" w:eastAsia="Arial" w:hAnsi="Arial"/>
          <w:sz w:val="18"/>
          <w:szCs w:val="18"/>
          <w:color w:val="auto"/>
        </w:rPr>
        <w:t xml:space="preserve"> means a termination of services provided by a Participant as a member of the Board or of the board of directors of any other member of the controlled group of corporations (as defined in Section 414(b) of the Code) which includes the Company (for purposes of this Section 2(x), the controlled group members other than the Company are referred to collectively as “ERISA Affiliates”), whether such termination is voluntary or involuntary, as determined by the Administrator in accordance with Treas. Reg. §1.409A-1(h). In determining whether a Participant has experienced a Separation from Service as a member of the Board or of a board of directors of an ERISA Affiliate, the following provisions shall apply:</w:t>
      </w:r>
    </w:p>
    <w:p>
      <w:pPr>
        <w:spacing w:after="0" w:line="229" w:lineRule="exact"/>
        <w:rPr>
          <w:rFonts w:ascii="Arial" w:cs="Arial" w:eastAsia="Arial" w:hAnsi="Arial"/>
          <w:sz w:val="18"/>
          <w:szCs w:val="18"/>
          <w:color w:val="auto"/>
        </w:rPr>
      </w:pPr>
    </w:p>
    <w:p>
      <w:pPr>
        <w:ind w:left="1060" w:right="280" w:hanging="424"/>
        <w:spacing w:after="0" w:line="238" w:lineRule="auto"/>
        <w:tabs>
          <w:tab w:leader="none" w:pos="10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a Director also provides services to the Company or any ERISA Affiliate as an employee at the time of his Separation from Service as a member of the Board, the services such Participant provides as an employee shall not be taken into account in determining whether the Participant has a Separation from Service as a Director for purposes of this Plan (provided that this Plan is not, at the time of such determination, aggregated under Treas. Reg. §1.409A-1(c)(2)(ii) with any plan in which the Participant participates as an employee).</w:t>
      </w:r>
    </w:p>
    <w:p>
      <w:pPr>
        <w:spacing w:after="0" w:line="229" w:lineRule="exact"/>
        <w:rPr>
          <w:rFonts w:ascii="Arial" w:cs="Arial" w:eastAsia="Arial" w:hAnsi="Arial"/>
          <w:sz w:val="18"/>
          <w:szCs w:val="18"/>
          <w:color w:val="auto"/>
        </w:rPr>
      </w:pPr>
    </w:p>
    <w:p>
      <w:pPr>
        <w:ind w:left="1060" w:hanging="424"/>
        <w:spacing w:after="0" w:line="239" w:lineRule="auto"/>
        <w:tabs>
          <w:tab w:leader="none" w:pos="10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 Participant shall be considered to have experienced a termination of services when the facts and circumstances indicate that the Participant, the Company and each ERISA Affiliate reasonably anticipate that the Participant will perform no further services for the Company or any ERISA Affiliate as a member of the Board (or the board of directors of any ERISA Affiliate), and the Participant’s term as a member of the Board has expired.</w:t>
      </w:r>
    </w:p>
    <w:p>
      <w:pPr>
        <w:spacing w:after="0" w:line="228" w:lineRule="exact"/>
        <w:rPr>
          <w:rFonts w:ascii="Arial" w:cs="Arial" w:eastAsia="Arial" w:hAnsi="Arial"/>
          <w:sz w:val="18"/>
          <w:szCs w:val="18"/>
          <w:color w:val="auto"/>
        </w:rPr>
      </w:pPr>
    </w:p>
    <w:p>
      <w:pPr>
        <w:ind w:left="1060" w:hanging="424"/>
        <w:spacing w:after="0"/>
        <w:tabs>
          <w:tab w:leader="none" w:pos="10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a Director is also providing additional services to the Company as an independent contractor, he or she cannot have a Separation from Service for purposes of Section 409A of the Code until he or she has separated from service both as a Director and as an independent contractor.</w:t>
      </w:r>
    </w:p>
    <w:p>
      <w:pPr>
        <w:spacing w:after="0" w:line="211" w:lineRule="exact"/>
        <w:rPr>
          <w:rFonts w:ascii="Arial" w:cs="Arial" w:eastAsia="Arial" w:hAnsi="Arial"/>
          <w:sz w:val="18"/>
          <w:szCs w:val="18"/>
          <w:color w:val="auto"/>
        </w:rPr>
      </w:pPr>
    </w:p>
    <w:p>
      <w:pPr>
        <w:ind w:left="640" w:hanging="43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238" w:lineRule="exact"/>
        <w:rPr>
          <w:rFonts w:ascii="Arial" w:cs="Arial" w:eastAsia="Arial" w:hAnsi="Arial"/>
          <w:sz w:val="18"/>
          <w:szCs w:val="18"/>
          <w:color w:val="auto"/>
        </w:rPr>
      </w:pPr>
    </w:p>
    <w:p>
      <w:pPr>
        <w:ind w:left="640" w:right="60" w:hanging="436"/>
        <w:spacing w:after="0" w:line="251"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means any Participant who is determined to be a “key employee” (as defined under Section 416(i) of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regard to paragraph (5) thereof) for the applicable period, as determined annually by the Administrator in accordance with Treas. Reg. §1.409A-1(i). In determining whether a Participant is a Specified Employee, the following provisions shall apply:</w:t>
      </w:r>
    </w:p>
    <w:p>
      <w:pPr>
        <w:spacing w:after="0" w:line="215" w:lineRule="exact"/>
        <w:rPr>
          <w:rFonts w:ascii="Arial" w:cs="Arial" w:eastAsia="Arial" w:hAnsi="Arial"/>
          <w:sz w:val="18"/>
          <w:szCs w:val="18"/>
          <w:color w:val="auto"/>
        </w:rPr>
      </w:pPr>
    </w:p>
    <w:p>
      <w:pPr>
        <w:ind w:left="1060" w:hanging="424"/>
        <w:spacing w:after="0"/>
        <w:tabs>
          <w:tab w:leader="none" w:pos="10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Identification of the individuals who fall within the above-referenced definition of “key employee” shall be based upon the</w:t>
      </w:r>
    </w:p>
    <w:p>
      <w:pPr>
        <w:ind w:left="1060" w:right="300"/>
        <w:spacing w:after="0" w:line="239" w:lineRule="auto"/>
        <w:rPr>
          <w:rFonts w:ascii="Arial" w:cs="Arial" w:eastAsia="Arial" w:hAnsi="Arial"/>
          <w:sz w:val="18"/>
          <w:szCs w:val="18"/>
          <w:color w:val="auto"/>
        </w:rPr>
      </w:pPr>
      <w:r>
        <w:rPr>
          <w:rFonts w:ascii="Arial" w:cs="Arial" w:eastAsia="Arial" w:hAnsi="Arial"/>
          <w:sz w:val="18"/>
          <w:szCs w:val="18"/>
          <w:color w:val="auto"/>
        </w:rPr>
        <w:t>12-month period ending on each December 31st (referred to below as the “identification date”). In applying the applicable provisions of Code Section 416(i) to identify such individuals, “compensation” shall be determined in accordance with Treas. Reg. §1.415(c)2(a) without regard to (i) any safe harbor provided in Treas. Reg. §1.415(c)-2(d), (ii) any of the special timing rules provided in Treas. Reg. §1.415(c)-2(e), and (iii) any of the special rules provided in Treas. Reg. §1.415(c)-2(g); and</w:t>
      </w:r>
    </w:p>
    <w:p>
      <w:pPr>
        <w:spacing w:after="0" w:line="228" w:lineRule="exact"/>
        <w:rPr>
          <w:rFonts w:ascii="Arial" w:cs="Arial" w:eastAsia="Arial" w:hAnsi="Arial"/>
          <w:sz w:val="18"/>
          <w:szCs w:val="18"/>
          <w:color w:val="auto"/>
        </w:rPr>
      </w:pPr>
    </w:p>
    <w:p>
      <w:pPr>
        <w:ind w:left="1060" w:right="280" w:hanging="424"/>
        <w:spacing w:after="0"/>
        <w:tabs>
          <w:tab w:leader="none" w:pos="10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Participant who is among the individuals identified as a “key employee” in accordance with part (i) of this Section 2(z) shall be treated as a Specified Employee for purposes of this Plan if such Participant experiences a Separation from Service during the 12-month period that begins on the April 1st following the applicable identification date.</w:t>
      </w:r>
    </w:p>
    <w:p>
      <w:pPr>
        <w:spacing w:after="0" w:line="207" w:lineRule="exact"/>
        <w:rPr>
          <w:rFonts w:ascii="Arial" w:cs="Arial" w:eastAsia="Arial" w:hAnsi="Arial"/>
          <w:sz w:val="18"/>
          <w:szCs w:val="18"/>
          <w:color w:val="auto"/>
        </w:rPr>
      </w:pPr>
    </w:p>
    <w:p>
      <w:pPr>
        <w:ind w:left="640" w:right="220" w:hanging="436"/>
        <w:spacing w:after="0" w:line="247"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“Stock Appreciation Right</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“SAR” </w:t>
      </w:r>
      <w:r>
        <w:rPr>
          <w:rFonts w:ascii="Arial" w:cs="Arial" w:eastAsia="Arial" w:hAnsi="Arial"/>
          <w:sz w:val="18"/>
          <w:szCs w:val="18"/>
          <w:color w:val="auto"/>
        </w:rPr>
        <w:t>means a right granted pursuant to Section 10 to receive, upon exercise by the Participant,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(i) the Fair Market Value of one Share on the date of exercise or any date or dates during a specified period before the date of exercise over (ii) the grant price of the right, which grant price shall not be less than the Fair Market Value of one Share on the date of grant of the right.</w:t>
      </w:r>
    </w:p>
    <w:p>
      <w:pPr>
        <w:spacing w:after="0" w:line="205" w:lineRule="exact"/>
        <w:rPr>
          <w:sz w:val="20"/>
          <w:szCs w:val="20"/>
          <w:color w:val="auto"/>
        </w:rPr>
      </w:pPr>
    </w:p>
    <w:p>
      <w:pPr>
        <w:ind w:left="640" w:right="380" w:hanging="436"/>
        <w:spacing w:after="0" w:line="267"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accounts established, pursuant to Section 11(b)(ii), on behalf of each Director who</w:t>
      </w:r>
      <w:r>
        <w:rPr>
          <w:rFonts w:ascii="Arial" w:cs="Arial" w:eastAsia="Arial" w:hAnsi="Arial"/>
          <w:sz w:val="18"/>
          <w:szCs w:val="18"/>
          <w:i w:val="1"/>
          <w:iCs w:val="1"/>
          <w:color w:val="auto"/>
        </w:rPr>
        <w:t xml:space="preserve"> </w:t>
      </w:r>
      <w:r>
        <w:rPr>
          <w:rFonts w:ascii="Arial" w:cs="Arial" w:eastAsia="Arial" w:hAnsi="Arial"/>
          <w:sz w:val="18"/>
          <w:szCs w:val="18"/>
          <w:color w:val="auto"/>
        </w:rPr>
        <w:t>elects, pursuant to Section 11(b), to have any of his or her Deferred Cash Compensation credited to a stock unit account.</w:t>
      </w:r>
    </w:p>
    <w:p>
      <w:pPr>
        <w:spacing w:after="0" w:line="187" w:lineRule="exact"/>
        <w:rPr>
          <w:rFonts w:ascii="Arial" w:cs="Arial" w:eastAsia="Arial" w:hAnsi="Arial"/>
          <w:sz w:val="18"/>
          <w:szCs w:val="18"/>
          <w:color w:val="auto"/>
        </w:rPr>
      </w:pPr>
    </w:p>
    <w:p>
      <w:pPr>
        <w:ind w:left="640" w:right="160" w:hanging="436"/>
        <w:spacing w:after="0" w:line="241"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“Unforeseeable Emergency” </w:t>
      </w:r>
      <w:r>
        <w:rPr>
          <w:rFonts w:ascii="Arial" w:cs="Arial" w:eastAsia="Arial" w:hAnsi="Arial"/>
          <w:sz w:val="18"/>
          <w:szCs w:val="18"/>
          <w:color w:val="auto"/>
        </w:rPr>
        <w:t>means a severe financial hardship to the Participant resulting from (i) an illness or accident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or the Participant’s spouse, beneficiary, or dependent (as defined in Section 152 of the Code, without regard to Sections 152(b)(1), (b)(2), and (d)(1)(B) of the Code), (ii) loss of the Participant’s property due to casualty, or (iii) other similar extraordinary and unforeseeable circumstances arising as a result of events beyond the Participant’s control, all as determined by the Administrator based on the relevant facts and circumstances and as provided for in Treas. Reg. §1.409A-3(i)(3) or any successor provision.</w:t>
      </w:r>
    </w:p>
    <w:p>
      <w:pPr>
        <w:spacing w:after="0" w:line="211" w:lineRule="exact"/>
        <w:rPr>
          <w:rFonts w:ascii="Arial" w:cs="Arial" w:eastAsia="Arial" w:hAnsi="Arial"/>
          <w:sz w:val="18"/>
          <w:szCs w:val="18"/>
          <w:color w:val="auto"/>
        </w:rPr>
      </w:pPr>
    </w:p>
    <w:p>
      <w:pPr>
        <w:ind w:left="640" w:hanging="43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157"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6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40" w:type="dxa"/>
            <w:vAlign w:val="bottom"/>
          </w:tcPr>
          <w:p>
            <w:pPr>
              <w:ind w:left="1840"/>
              <w:spacing w:after="0"/>
              <w:rPr>
                <w:sz w:val="20"/>
                <w:szCs w:val="20"/>
                <w:color w:val="auto"/>
              </w:rPr>
            </w:pPr>
            <w:r>
              <w:rPr>
                <w:rFonts w:ascii="Arial" w:cs="Arial" w:eastAsia="Arial" w:hAnsi="Arial"/>
                <w:sz w:val="13"/>
                <w:szCs w:val="13"/>
                <w:color w:val="666666"/>
                <w:w w:val="88"/>
              </w:rPr>
              <w:t>B-3</w:t>
            </w:r>
          </w:p>
        </w:tc>
      </w:tr>
    </w:tbl>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3. ELIGIBILITY.</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Director shall be eligible to defer Eligible Compensation and to receive Awards under the Plan.</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4. ADMINISTRATION.</w:t>
      </w:r>
    </w:p>
    <w:p>
      <w:pPr>
        <w:spacing w:after="0" w:line="205"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This Plan shall be administered by the Administrator. Subject to the terms of the Plan and applicable law, the Administrator shall have full power and authority to: (i) 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5. SHARES AVAILABLE FOR AWARDS.</w:t>
      </w:r>
    </w:p>
    <w:p>
      <w:pPr>
        <w:spacing w:after="0" w:line="232" w:lineRule="exact"/>
        <w:rPr>
          <w:sz w:val="20"/>
          <w:szCs w:val="20"/>
          <w:color w:val="auto"/>
        </w:rPr>
      </w:pPr>
    </w:p>
    <w:p>
      <w:pPr>
        <w:ind w:left="640" w:right="40" w:hanging="43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 to adjustment as provided in this Section 5, the number of Shares available for issuance under the Plan shall be 2,000,000 Shares. Notwithstanding anything to the contrary set forth herein, in any given Year, the total value of Awards granted to any Director shall not exceed $500,000 in grant-date value.</w:t>
      </w:r>
    </w:p>
    <w:p>
      <w:pPr>
        <w:spacing w:after="0" w:line="229" w:lineRule="exact"/>
        <w:rPr>
          <w:rFonts w:ascii="Arial" w:cs="Arial" w:eastAsia="Arial" w:hAnsi="Arial"/>
          <w:sz w:val="18"/>
          <w:szCs w:val="18"/>
          <w:color w:val="auto"/>
        </w:rPr>
      </w:pPr>
    </w:p>
    <w:p>
      <w:pPr>
        <w:ind w:left="640" w:hanging="436"/>
        <w:spacing w:after="0" w:line="236"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If, after the effective date of the Plan, (i) any Shares covered by an Award or Stock Unit Account, or to which such an Award relates, are forfeited, or (ii) if an Award or Account expires or is cancelled or is otherwise terminated without the delivery of Shares, then such Shares, to the extent of any such forfeiture, expiration, cancellation, or termination, shall again be, or shall become, available for issuance under the Plan. For purposes of this Section, awards and options granted under any previous director compensation plan of the Company shall be treated as Awards, and accounts established under any such plan shall be treated as Accounts. For the avoidance of doubt, the number of Shares available for issuance under the Plan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increased by: (1) the withholding of Shares as a result of the net settlement of an outstanding Option; (2) the delivery of Shares to pay the exercise price or withholding taxes relating to an Award; or (3) the repurchase of Shares on the open market using the proceeds of an Option’s exercise.</w:t>
      </w:r>
    </w:p>
    <w:p>
      <w:pPr>
        <w:spacing w:after="0" w:line="235" w:lineRule="exact"/>
        <w:rPr>
          <w:rFonts w:ascii="Arial" w:cs="Arial" w:eastAsia="Arial" w:hAnsi="Arial"/>
          <w:sz w:val="18"/>
          <w:szCs w:val="18"/>
          <w:color w:val="auto"/>
        </w:rPr>
      </w:pPr>
    </w:p>
    <w:p>
      <w:pPr>
        <w:ind w:left="640" w:right="560" w:hanging="436"/>
        <w:spacing w:after="0" w:line="246"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of treasury Shares or of both.</w:t>
      </w:r>
    </w:p>
    <w:p>
      <w:pPr>
        <w:spacing w:after="0" w:line="223" w:lineRule="exact"/>
        <w:rPr>
          <w:rFonts w:ascii="Arial" w:cs="Arial" w:eastAsia="Arial" w:hAnsi="Arial"/>
          <w:sz w:val="18"/>
          <w:szCs w:val="18"/>
          <w:color w:val="auto"/>
        </w:rPr>
      </w:pPr>
    </w:p>
    <w:p>
      <w:pPr>
        <w:ind w:left="640" w:right="20" w:hanging="436"/>
        <w:spacing w:after="0" w:line="236"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Administrator shall equitably adjust any or all of (i) the number of outstanding Restricted Stock Units, (ii) the number and type of Shares credited to Stock Unit Accounts, (iii) the number and type of Shares subject to Options and SARs, (iv) the exercise price with respect to any Option or SAR or, if deemed appropriate, make provision for a cash payment to the holder of an outstanding Option or SAR, and (v) the limits specified in Section 5(a); provided, however, that no fractional Restricted Stock Units or Shares shall be issued or outstanding hereunder. Any such adjustment with respect to a “Stock Right” outstanding under the Plan as defined in Section 409A of the Code, shall be made in a manner that is intended to avoid imposition of any additional tax or penalty under Section 409A.</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6. EQUITY GRANT UPON INITIAL ELECTION.</w:t>
      </w:r>
    </w:p>
    <w:p>
      <w:pPr>
        <w:spacing w:after="0" w:line="214" w:lineRule="exact"/>
        <w:rPr>
          <w:sz w:val="20"/>
          <w:szCs w:val="20"/>
          <w:color w:val="auto"/>
        </w:rPr>
      </w:pPr>
    </w:p>
    <w:p>
      <w:pPr>
        <w:ind w:left="640" w:right="40" w:hanging="436"/>
        <w:spacing w:after="0" w:line="267"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Initial Grant</w:t>
      </w:r>
      <w:r>
        <w:rPr>
          <w:rFonts w:ascii="Arial" w:cs="Arial" w:eastAsia="Arial" w:hAnsi="Arial"/>
          <w:sz w:val="18"/>
          <w:szCs w:val="18"/>
          <w:color w:val="auto"/>
        </w:rPr>
        <w:t>. Following the effective date of this Plan, each Director shall, effective as of the date of such individual’s initial election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to the Board, be granted 2,000 Restricted Stock Units.</w:t>
      </w:r>
    </w:p>
    <w:p>
      <w:pPr>
        <w:spacing w:after="0" w:line="187" w:lineRule="exact"/>
        <w:rPr>
          <w:rFonts w:ascii="Arial" w:cs="Arial" w:eastAsia="Arial" w:hAnsi="Arial"/>
          <w:sz w:val="18"/>
          <w:szCs w:val="18"/>
          <w:color w:val="auto"/>
        </w:rPr>
      </w:pPr>
    </w:p>
    <w:p>
      <w:pPr>
        <w:ind w:left="640" w:right="120" w:hanging="436"/>
        <w:spacing w:after="0" w:line="267"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The terms and conditions of each Restricted Stock Unit granted under this Section 6 shall be as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9.</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7. ANNUAL EQUITY GRANTS.</w:t>
      </w:r>
    </w:p>
    <w:p>
      <w:pPr>
        <w:spacing w:after="0" w:line="214" w:lineRule="exact"/>
        <w:rPr>
          <w:sz w:val="20"/>
          <w:szCs w:val="20"/>
          <w:color w:val="auto"/>
        </w:rPr>
      </w:pPr>
    </w:p>
    <w:p>
      <w:pPr>
        <w:ind w:left="640" w:hanging="436"/>
        <w:spacing w:after="0" w:line="245"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Annual Grant</w:t>
      </w:r>
      <w:r>
        <w:rPr>
          <w:rFonts w:ascii="Arial" w:cs="Arial" w:eastAsia="Arial" w:hAnsi="Arial"/>
          <w:sz w:val="18"/>
          <w:szCs w:val="18"/>
          <w:color w:val="auto"/>
        </w:rPr>
        <w:t>. Each Director will be granted annually an Option with a grant-date value of approximately $100,000 determined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a Black-Scholes option-pricing model and a Restricted Stock Unit Award with a grant-date value of approximately $100,000, in each case rounded down to the nearest whole share. The Restricted Stock Units granted under this Section 7(a) shall be in addition to any RSUs granted to any Director pursuant to Section 6.</w:t>
      </w:r>
    </w:p>
    <w:p>
      <w:pPr>
        <w:spacing w:after="0" w:line="127"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B-4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right="180" w:hanging="436"/>
        <w:spacing w:after="0" w:line="242"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Effective Date of Annual Grant</w:t>
      </w:r>
      <w:r>
        <w:rPr>
          <w:rFonts w:ascii="Arial" w:cs="Arial" w:eastAsia="Arial" w:hAnsi="Arial"/>
          <w:sz w:val="18"/>
          <w:szCs w:val="18"/>
          <w:color w:val="auto"/>
        </w:rPr>
        <w:t>. In each year the effective date for the annual grant of equity to the Company’s executive officers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of the Board (or any successor committee) shall be the date the Options and Restricted Stock Units are granted; provided that in any year in which the Compensation Committee does not grant equity to any of the Company’s executive officers in connection with the annual compensation review process, then the third trading day after the release of the Company’s financial results for the first quarter of such year shall be the date the Options and Restricted Stock Units are granted.</w:t>
      </w:r>
    </w:p>
    <w:p>
      <w:pPr>
        <w:spacing w:after="0" w:line="212" w:lineRule="exact"/>
        <w:rPr>
          <w:rFonts w:ascii="Arial" w:cs="Arial" w:eastAsia="Arial" w:hAnsi="Arial"/>
          <w:sz w:val="18"/>
          <w:szCs w:val="18"/>
          <w:color w:val="auto"/>
        </w:rPr>
      </w:pPr>
    </w:p>
    <w:p>
      <w:pPr>
        <w:ind w:left="640" w:right="200" w:hanging="436"/>
        <w:spacing w:after="0" w:line="267"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Terms and Conditions</w:t>
      </w:r>
      <w:r>
        <w:rPr>
          <w:rFonts w:ascii="Arial" w:cs="Arial" w:eastAsia="Arial" w:hAnsi="Arial"/>
          <w:sz w:val="18"/>
          <w:szCs w:val="18"/>
          <w:color w:val="auto"/>
        </w:rPr>
        <w:t>. The terms and conditions of each Option and Restricted Stock Unit granted under this Section 6 shall be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Sections 8 and 9, respectively.</w:t>
      </w:r>
    </w:p>
    <w:p>
      <w:pPr>
        <w:spacing w:after="0" w:line="187" w:lineRule="exact"/>
        <w:rPr>
          <w:rFonts w:ascii="Arial" w:cs="Arial" w:eastAsia="Arial" w:hAnsi="Arial"/>
          <w:sz w:val="18"/>
          <w:szCs w:val="18"/>
          <w:color w:val="auto"/>
        </w:rPr>
      </w:pPr>
    </w:p>
    <w:p>
      <w:pPr>
        <w:ind w:left="640" w:right="120" w:hanging="436"/>
        <w:spacing w:after="0" w:line="251"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Reductions in Awards</w:t>
      </w:r>
      <w:r>
        <w:rPr>
          <w:rFonts w:ascii="Arial" w:cs="Arial" w:eastAsia="Arial" w:hAnsi="Arial"/>
          <w:sz w:val="18"/>
          <w:szCs w:val="18"/>
          <w:color w:val="auto"/>
        </w:rPr>
        <w:t>. Prior to the effective date of any annual grant as described in this Section 7, the Board shall have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reductions in the Awards to be granted under this Section 7. In determining whether to reduce any Award and the amount of any reduction, the Board shall take into consideration such factors as the Board shall determine.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8. OPTIONS.</w:t>
      </w:r>
    </w:p>
    <w:p>
      <w:pPr>
        <w:spacing w:after="0" w:line="97"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The Options granted under this Plan will be nonstatutory stock options not intended to qualify under Section 422 of the Code and shall have the terms and conditions described in this Section 8:</w:t>
      </w:r>
    </w:p>
    <w:p>
      <w:pPr>
        <w:spacing w:after="0" w:line="206" w:lineRule="exact"/>
        <w:rPr>
          <w:sz w:val="20"/>
          <w:szCs w:val="20"/>
          <w:color w:val="auto"/>
        </w:rPr>
      </w:pPr>
    </w:p>
    <w:p>
      <w:pPr>
        <w:ind w:left="640" w:right="240" w:hanging="436"/>
        <w:spacing w:after="0" w:line="267"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Price and Term of Options</w:t>
      </w:r>
      <w:r>
        <w:rPr>
          <w:rFonts w:ascii="Arial" w:cs="Arial" w:eastAsia="Arial" w:hAnsi="Arial"/>
          <w:sz w:val="18"/>
          <w:szCs w:val="18"/>
          <w:color w:val="auto"/>
        </w:rPr>
        <w:t>. The purchase price per share of Shares deliverable upon the exercise of each Option shall be 100%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per share of the Shares on the effective date of the grant as determined in Section 7(b).</w:t>
      </w:r>
    </w:p>
    <w:p>
      <w:pPr>
        <w:spacing w:after="0" w:line="187" w:lineRule="exact"/>
        <w:rPr>
          <w:rFonts w:ascii="Arial" w:cs="Arial" w:eastAsia="Arial" w:hAnsi="Arial"/>
          <w:sz w:val="18"/>
          <w:szCs w:val="18"/>
          <w:color w:val="auto"/>
        </w:rPr>
      </w:pPr>
    </w:p>
    <w:p>
      <w:pPr>
        <w:ind w:left="640" w:right="60" w:hanging="436"/>
        <w:spacing w:after="0" w:line="251"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other property, or any combination thereof, having a Fair Market Value on the exercise date equal to the relevant exercise price, in which payment of the exercise price with respect to an Option may be made or deemed to have been made.</w:t>
      </w:r>
    </w:p>
    <w:p>
      <w:pPr>
        <w:spacing w:after="0" w:line="201" w:lineRule="exact"/>
        <w:rPr>
          <w:rFonts w:ascii="Arial" w:cs="Arial" w:eastAsia="Arial" w:hAnsi="Arial"/>
          <w:sz w:val="18"/>
          <w:szCs w:val="18"/>
          <w:color w:val="auto"/>
        </w:rPr>
      </w:pPr>
    </w:p>
    <w:p>
      <w:pPr>
        <w:ind w:left="640" w:right="240" w:hanging="436"/>
        <w:spacing w:after="0" w:line="267"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 8(d), Options shall become exercisable in four equal annual installments commencing 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date of the grant.</w:t>
      </w:r>
    </w:p>
    <w:p>
      <w:pPr>
        <w:spacing w:after="0" w:line="187" w:lineRule="exact"/>
        <w:rPr>
          <w:rFonts w:ascii="Arial" w:cs="Arial" w:eastAsia="Arial" w:hAnsi="Arial"/>
          <w:sz w:val="18"/>
          <w:szCs w:val="18"/>
          <w:color w:val="auto"/>
        </w:rPr>
      </w:pPr>
    </w:p>
    <w:p>
      <w:pPr>
        <w:ind w:left="640" w:hanging="436"/>
        <w:spacing w:after="0"/>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Service as a Director. </w:t>
      </w:r>
      <w:r>
        <w:rPr>
          <w:rFonts w:ascii="Arial" w:cs="Arial" w:eastAsia="Arial" w:hAnsi="Arial"/>
          <w:sz w:val="17"/>
          <w:szCs w:val="17"/>
          <w:color w:val="auto"/>
        </w:rPr>
        <w:t>The effect of a Participant’s termination of service as a member of the Board shall be as follows:</w:t>
      </w:r>
    </w:p>
    <w:p>
      <w:pPr>
        <w:spacing w:after="0" w:line="268" w:lineRule="exact"/>
        <w:rPr>
          <w:rFonts w:ascii="Arial" w:cs="Arial" w:eastAsia="Arial" w:hAnsi="Arial"/>
          <w:sz w:val="17"/>
          <w:szCs w:val="17"/>
          <w:color w:val="auto"/>
        </w:rPr>
      </w:pPr>
    </w:p>
    <w:p>
      <w:pPr>
        <w:ind w:left="1060" w:hanging="424"/>
        <w:spacing w:after="0"/>
        <w:tabs>
          <w:tab w:leader="none" w:pos="1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Termination for cause: All outstanding Options held by the Participant shall be canceled immediately upon termination.</w:t>
      </w:r>
    </w:p>
    <w:p>
      <w:pPr>
        <w:spacing w:after="0" w:line="238" w:lineRule="exact"/>
        <w:rPr>
          <w:rFonts w:ascii="Arial" w:cs="Arial" w:eastAsia="Arial" w:hAnsi="Arial"/>
          <w:sz w:val="18"/>
          <w:szCs w:val="18"/>
          <w:color w:val="auto"/>
        </w:rPr>
      </w:pPr>
    </w:p>
    <w:p>
      <w:pPr>
        <w:ind w:left="1060" w:right="460" w:hanging="424"/>
        <w:spacing w:after="0" w:line="246" w:lineRule="auto"/>
        <w:tabs>
          <w:tab w:leader="none" w:pos="1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Death: All outstanding Options held by the Participant shall continue to full term, becoming exercisable in accordance with Section 8(c), and shall be exercisable by such Participant’s heirs or legal representatives.</w:t>
      </w:r>
    </w:p>
    <w:p>
      <w:pPr>
        <w:spacing w:after="0" w:line="223" w:lineRule="exact"/>
        <w:rPr>
          <w:rFonts w:ascii="Arial" w:cs="Arial" w:eastAsia="Arial" w:hAnsi="Arial"/>
          <w:sz w:val="18"/>
          <w:szCs w:val="18"/>
          <w:color w:val="auto"/>
        </w:rPr>
      </w:pPr>
    </w:p>
    <w:p>
      <w:pPr>
        <w:ind w:left="1060" w:right="260" w:hanging="424"/>
        <w:spacing w:after="0"/>
        <w:tabs>
          <w:tab w:leader="none" w:pos="1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Permanent disability, termination after 8 years of service, or termination for reason of ineligibility to stand for reelection under the Company’s By-Laws: All outstanding Options held by the Participant shall continue to full term, becoming exercisable in accordance with Section 8(c).</w:t>
      </w:r>
    </w:p>
    <w:p>
      <w:pPr>
        <w:spacing w:after="0" w:line="229" w:lineRule="exact"/>
        <w:rPr>
          <w:rFonts w:ascii="Arial" w:cs="Arial" w:eastAsia="Arial" w:hAnsi="Arial"/>
          <w:sz w:val="18"/>
          <w:szCs w:val="18"/>
          <w:color w:val="auto"/>
        </w:rPr>
      </w:pPr>
    </w:p>
    <w:p>
      <w:pPr>
        <w:jc w:val="both"/>
        <w:ind w:left="1060" w:right="500" w:hanging="424"/>
        <w:spacing w:after="0"/>
        <w:tabs>
          <w:tab w:leader="none" w:pos="1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Change in Control: If a Participant experiences a Separation From Service (other than for cause) within 24 months after a Change in Control, the provisions of Section 8(c) shall not apply and Options held by the Participant shall be immediately exercisable and shall continue to full term.</w:t>
      </w:r>
    </w:p>
    <w:p>
      <w:pPr>
        <w:spacing w:after="0" w:line="229" w:lineRule="exact"/>
        <w:rPr>
          <w:rFonts w:ascii="Arial" w:cs="Arial" w:eastAsia="Arial" w:hAnsi="Arial"/>
          <w:sz w:val="18"/>
          <w:szCs w:val="18"/>
          <w:color w:val="auto"/>
        </w:rPr>
      </w:pPr>
    </w:p>
    <w:p>
      <w:pPr>
        <w:ind w:left="1060" w:hanging="424"/>
        <w:spacing w:after="0" w:line="238" w:lineRule="auto"/>
        <w:tabs>
          <w:tab w:leader="none" w:pos="1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that 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211" w:lineRule="exact"/>
        <w:rPr>
          <w:rFonts w:ascii="Arial" w:cs="Arial" w:eastAsia="Arial" w:hAnsi="Arial"/>
          <w:sz w:val="18"/>
          <w:szCs w:val="18"/>
          <w:color w:val="auto"/>
        </w:rPr>
      </w:pPr>
    </w:p>
    <w:p>
      <w:pPr>
        <w:ind w:left="640" w:right="140" w:hanging="436"/>
        <w:spacing w:after="0" w:line="267"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under this Plan shall be evidenced by an Award Agreement with the Company,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the terms and provisions set forth herein and shall otherwise be consistent with the provisions of the Plan.</w:t>
      </w:r>
    </w:p>
    <w:p>
      <w:pPr>
        <w:spacing w:after="0" w:line="106"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6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40" w:type="dxa"/>
            <w:vAlign w:val="bottom"/>
          </w:tcPr>
          <w:p>
            <w:pPr>
              <w:ind w:left="1840"/>
              <w:spacing w:after="0"/>
              <w:rPr>
                <w:sz w:val="20"/>
                <w:szCs w:val="20"/>
                <w:color w:val="auto"/>
              </w:rPr>
            </w:pPr>
            <w:r>
              <w:rPr>
                <w:rFonts w:ascii="Arial" w:cs="Arial" w:eastAsia="Arial" w:hAnsi="Arial"/>
                <w:sz w:val="13"/>
                <w:szCs w:val="13"/>
                <w:color w:val="666666"/>
                <w:w w:val="88"/>
              </w:rPr>
              <w:t>B-5</w:t>
            </w:r>
          </w:p>
        </w:tc>
      </w:tr>
    </w:tbl>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9. RESTRICTED STOCK UNITS.</w:t>
      </w:r>
    </w:p>
    <w:p>
      <w:pPr>
        <w:spacing w:after="0" w:line="205"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Each Restricted Stock Unit granted under this Plan shall be paid or settled by the issuance of one Share and shall have the terms and conditions described in this Section 9:</w:t>
      </w:r>
    </w:p>
    <w:p>
      <w:pPr>
        <w:spacing w:after="0" w:line="206" w:lineRule="exact"/>
        <w:rPr>
          <w:sz w:val="20"/>
          <w:szCs w:val="20"/>
          <w:color w:val="auto"/>
        </w:rPr>
      </w:pPr>
    </w:p>
    <w:p>
      <w:pPr>
        <w:ind w:left="640" w:right="140" w:hanging="436"/>
        <w:spacing w:after="0" w:line="251"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Vesting and Settlement</w:t>
      </w:r>
      <w:r>
        <w:rPr>
          <w:rFonts w:ascii="Arial" w:cs="Arial" w:eastAsia="Arial" w:hAnsi="Arial"/>
          <w:sz w:val="18"/>
          <w:szCs w:val="18"/>
          <w:color w:val="auto"/>
        </w:rPr>
        <w:t>. Subject to Section 9(b) and subject to a Director’s election to defer the settlement of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 the shares covered by the Restricted Stock Units shall be paid or settled as soon as practicable after the fourth anniversary of the date of grant.</w:t>
      </w:r>
    </w:p>
    <w:p>
      <w:pPr>
        <w:spacing w:after="0" w:line="201" w:lineRule="exact"/>
        <w:rPr>
          <w:rFonts w:ascii="Arial" w:cs="Arial" w:eastAsia="Arial" w:hAnsi="Arial"/>
          <w:sz w:val="18"/>
          <w:szCs w:val="18"/>
          <w:color w:val="auto"/>
        </w:rPr>
      </w:pPr>
    </w:p>
    <w:p>
      <w:pPr>
        <w:ind w:left="640" w:hanging="436"/>
        <w:spacing w:after="0"/>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Termination of Service as a Director</w:t>
      </w:r>
      <w:r>
        <w:rPr>
          <w:rFonts w:ascii="Arial" w:cs="Arial" w:eastAsia="Arial" w:hAnsi="Arial"/>
          <w:sz w:val="17"/>
          <w:szCs w:val="17"/>
          <w:color w:val="auto"/>
        </w:rPr>
        <w:t>. The effect of a Participant’s termination of service as a member of the Board shall be as follows:</w:t>
      </w:r>
    </w:p>
    <w:p>
      <w:pPr>
        <w:spacing w:after="0" w:line="268" w:lineRule="exact"/>
        <w:rPr>
          <w:rFonts w:ascii="Arial" w:cs="Arial" w:eastAsia="Arial" w:hAnsi="Arial"/>
          <w:sz w:val="17"/>
          <w:szCs w:val="17"/>
          <w:color w:val="auto"/>
        </w:rPr>
      </w:pPr>
    </w:p>
    <w:p>
      <w:pPr>
        <w:ind w:left="1060" w:right="260" w:hanging="424"/>
        <w:spacing w:after="0"/>
        <w:tabs>
          <w:tab w:leader="none" w:pos="1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Death: All outstanding Restricted Stock Units held by the Participant shall continue to full term subject to the other terms and conditions of this Plan, and shares shall be issued to such Participant’s heirs at such times and in such manner as if the Participant were still a member of the Board.</w:t>
      </w:r>
    </w:p>
    <w:p>
      <w:pPr>
        <w:spacing w:after="0" w:line="229" w:lineRule="exact"/>
        <w:rPr>
          <w:rFonts w:ascii="Arial" w:cs="Arial" w:eastAsia="Arial" w:hAnsi="Arial"/>
          <w:sz w:val="18"/>
          <w:szCs w:val="18"/>
          <w:color w:val="auto"/>
        </w:rPr>
      </w:pPr>
    </w:p>
    <w:p>
      <w:pPr>
        <w:ind w:left="1060" w:right="120" w:hanging="424"/>
        <w:spacing w:after="0" w:line="239" w:lineRule="auto"/>
        <w:tabs>
          <w:tab w:leader="none" w:pos="1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Permanent disability, termination after 8 years of service, or termination for reason of ineligibility to stand for reelection under the Company’s By-Laws: All outstanding Restricted Stock Units held by the Participant shall continue to full term subject to the other terms and conditions of this Plan, and shares shall be issued to such Participant at such times and in such manner as if the Participant were still a member of the Board.</w:t>
      </w:r>
    </w:p>
    <w:p>
      <w:pPr>
        <w:spacing w:after="0" w:line="228" w:lineRule="exact"/>
        <w:rPr>
          <w:rFonts w:ascii="Arial" w:cs="Arial" w:eastAsia="Arial" w:hAnsi="Arial"/>
          <w:sz w:val="18"/>
          <w:szCs w:val="18"/>
          <w:color w:val="auto"/>
        </w:rPr>
      </w:pPr>
    </w:p>
    <w:p>
      <w:pPr>
        <w:ind w:left="1060" w:right="460" w:hanging="424"/>
        <w:spacing w:after="0" w:line="246" w:lineRule="auto"/>
        <w:tabs>
          <w:tab w:leader="none" w:pos="1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Separation From Service after a Change in Control: If a Participant experiences a Separation From Service (other than for cause) within 24 months after a Change in Control, the provisions of Section 9(a) shall not apply and:</w:t>
      </w:r>
    </w:p>
    <w:p>
      <w:pPr>
        <w:spacing w:after="0" w:line="223" w:lineRule="exact"/>
        <w:rPr>
          <w:rFonts w:ascii="Arial" w:cs="Arial" w:eastAsia="Arial" w:hAnsi="Arial"/>
          <w:sz w:val="18"/>
          <w:szCs w:val="18"/>
          <w:color w:val="auto"/>
        </w:rPr>
      </w:pPr>
    </w:p>
    <w:p>
      <w:pPr>
        <w:ind w:left="1620" w:right="180" w:hanging="538"/>
        <w:spacing w:after="0" w:line="237" w:lineRule="auto"/>
        <w:tabs>
          <w:tab w:leader="none" w:pos="1620" w:val="left"/>
        </w:tabs>
        <w:numPr>
          <w:ilvl w:val="2"/>
          <w:numId w:val="87"/>
        </w:numPr>
        <w:rPr>
          <w:rFonts w:ascii="Arial" w:cs="Arial" w:eastAsia="Arial" w:hAnsi="Arial"/>
          <w:sz w:val="18"/>
          <w:szCs w:val="18"/>
          <w:color w:val="auto"/>
        </w:rPr>
      </w:pPr>
      <w:r>
        <w:rPr>
          <w:rFonts w:ascii="Arial" w:cs="Arial" w:eastAsia="Arial" w:hAnsi="Arial"/>
          <w:sz w:val="18"/>
          <w:szCs w:val="18"/>
          <w:color w:val="auto"/>
        </w:rPr>
        <w:t>To the extent permitted without additional tax or penalty by Section 409A of the Code, all shares underlying such Restricted Stock Units held by the Participant (including any such Restricted Stock Units subject to an election to defer settlement under Section 11) will be issued on, or as soon as practicable (but no later than 60 days) after, the Participant’s Separation From Service; provided, however, that if the participant is a Specified Employee upon such Separation From Service, the shares will be issued on, or as soon as practicable (but no more than 10 days) after, the first day of the seventh month following the Separation From Service and any such Restricted Stock Units outstanding under this Plan shall vest and be paid immediately.</w:t>
      </w:r>
    </w:p>
    <w:p>
      <w:pPr>
        <w:spacing w:after="0" w:line="230" w:lineRule="exact"/>
        <w:rPr>
          <w:rFonts w:ascii="Arial" w:cs="Arial" w:eastAsia="Arial" w:hAnsi="Arial"/>
          <w:sz w:val="18"/>
          <w:szCs w:val="18"/>
          <w:color w:val="auto"/>
        </w:rPr>
      </w:pPr>
    </w:p>
    <w:p>
      <w:pPr>
        <w:ind w:left="1620" w:right="240" w:hanging="538"/>
        <w:spacing w:after="0" w:line="239" w:lineRule="auto"/>
        <w:tabs>
          <w:tab w:leader="none" w:pos="1620" w:val="left"/>
        </w:tabs>
        <w:numPr>
          <w:ilvl w:val="2"/>
          <w:numId w:val="87"/>
        </w:numPr>
        <w:rPr>
          <w:rFonts w:ascii="Arial" w:cs="Arial" w:eastAsia="Arial" w:hAnsi="Arial"/>
          <w:sz w:val="18"/>
          <w:szCs w:val="18"/>
          <w:color w:val="auto"/>
        </w:rPr>
      </w:pPr>
      <w:r>
        <w:rPr>
          <w:rFonts w:ascii="Arial" w:cs="Arial" w:eastAsia="Arial" w:hAnsi="Arial"/>
          <w:sz w:val="18"/>
          <w:szCs w:val="18"/>
          <w:color w:val="auto"/>
        </w:rPr>
        <w:t>To the extent that the issuance of shares is not permitted without additional tax or penalty by Section 409A, the Award will continue to full term and the shares will be issued at the issuance date specified in the Award Agreement as if the Participant were still a Director on such date or (for any such Restricted Stock Units subject to an election to defer settlement pursuant to Section 11) in accordance with Section 11(h)(i).</w:t>
      </w:r>
    </w:p>
    <w:p>
      <w:pPr>
        <w:spacing w:after="0" w:line="228" w:lineRule="exact"/>
        <w:rPr>
          <w:rFonts w:ascii="Arial" w:cs="Arial" w:eastAsia="Arial" w:hAnsi="Arial"/>
          <w:sz w:val="18"/>
          <w:szCs w:val="18"/>
          <w:color w:val="auto"/>
        </w:rPr>
      </w:pPr>
    </w:p>
    <w:p>
      <w:pPr>
        <w:ind w:left="1060" w:right="60" w:hanging="424"/>
        <w:spacing w:after="0" w:line="246" w:lineRule="auto"/>
        <w:tabs>
          <w:tab w:leader="none" w:pos="1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Other: For any termination other than those specified above, all outstanding Restricted Stock Units held by the Participant shall terminate and become void without any shares being issued.</w:t>
      </w:r>
    </w:p>
    <w:p>
      <w:pPr>
        <w:spacing w:after="0" w:line="205" w:lineRule="exact"/>
        <w:rPr>
          <w:rFonts w:ascii="Arial" w:cs="Arial" w:eastAsia="Arial" w:hAnsi="Arial"/>
          <w:sz w:val="18"/>
          <w:szCs w:val="18"/>
          <w:color w:val="auto"/>
        </w:rPr>
      </w:pPr>
    </w:p>
    <w:p>
      <w:pPr>
        <w:ind w:left="640" w:right="280" w:hanging="436"/>
        <w:spacing w:after="0" w:line="251"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Restricted Stock Unit Agreement</w:t>
      </w:r>
      <w:r>
        <w:rPr>
          <w:rFonts w:ascii="Arial" w:cs="Arial" w:eastAsia="Arial" w:hAnsi="Arial"/>
          <w:sz w:val="18"/>
          <w:szCs w:val="18"/>
          <w:color w:val="auto"/>
        </w:rPr>
        <w:t>. Each Restricted Stock Unit Award granted under this Plan shall be evidenced by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the Company, which shall contain the terms and conditions set forth herein and shall otherwise be consistent with the provisions of this Plan.</w:t>
      </w:r>
    </w:p>
    <w:p>
      <w:pPr>
        <w:spacing w:after="0" w:line="201" w:lineRule="exact"/>
        <w:rPr>
          <w:rFonts w:ascii="Arial" w:cs="Arial" w:eastAsia="Arial" w:hAnsi="Arial"/>
          <w:sz w:val="18"/>
          <w:szCs w:val="18"/>
          <w:color w:val="auto"/>
        </w:rPr>
      </w:pPr>
    </w:p>
    <w:p>
      <w:pPr>
        <w:ind w:left="640" w:right="20" w:hanging="436"/>
        <w:spacing w:after="0" w:line="258" w:lineRule="auto"/>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 xml:space="preserve">Right to Dividend Equivalents. </w:t>
      </w:r>
      <w:r>
        <w:rPr>
          <w:rFonts w:ascii="Arial" w:cs="Arial" w:eastAsia="Arial" w:hAnsi="Arial"/>
          <w:sz w:val="17"/>
          <w:szCs w:val="17"/>
          <w:color w:val="auto"/>
        </w:rPr>
        <w:t>Each recipient of Restricted Stock Units under this Plan shall have the right, during the period when</w:t>
      </w:r>
      <w:r>
        <w:rPr>
          <w:rFonts w:ascii="Arial" w:cs="Arial" w:eastAsia="Arial" w:hAnsi="Arial"/>
          <w:sz w:val="17"/>
          <w:szCs w:val="17"/>
          <w:i w:val="1"/>
          <w:iCs w:val="1"/>
          <w:color w:val="auto"/>
        </w:rPr>
        <w:t xml:space="preserve"> </w:t>
      </w:r>
      <w:r>
        <w:rPr>
          <w:rFonts w:ascii="Arial" w:cs="Arial" w:eastAsia="Arial" w:hAnsi="Arial"/>
          <w:sz w:val="17"/>
          <w:szCs w:val="17"/>
          <w:color w:val="auto"/>
        </w:rPr>
        <w:t>such Restricted 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unless a Director has elected to defer receipt of such dividend equivalents pursuant to Section 11, pay such accumulated amounts without interest in December of each fiscal year, but no later than March 15 of the calendar year following the calendar year in which the related dividend is declared.</w:t>
      </w:r>
    </w:p>
    <w:p>
      <w:pPr>
        <w:spacing w:after="0" w:line="197" w:lineRule="exact"/>
        <w:rPr>
          <w:rFonts w:ascii="Arial" w:cs="Arial" w:eastAsia="Arial" w:hAnsi="Arial"/>
          <w:sz w:val="17"/>
          <w:szCs w:val="17"/>
          <w:color w:val="auto"/>
        </w:rPr>
      </w:pPr>
    </w:p>
    <w:p>
      <w:pPr>
        <w:ind w:left="640" w:right="20" w:hanging="436"/>
        <w:spacing w:after="0" w:line="251"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Issuance of Shares</w:t>
      </w:r>
      <w:r>
        <w:rPr>
          <w:rFonts w:ascii="Arial" w:cs="Arial" w:eastAsia="Arial" w:hAnsi="Arial"/>
          <w:sz w:val="18"/>
          <w:szCs w:val="18"/>
          <w:color w:val="auto"/>
        </w:rPr>
        <w:t>. A stock certificate or certificates shall be registered and issued or other indicia of ownership of shares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the name or for the benefit of the holder of Restricted Stock Units and delivered to such holder as soon as practicable after such Restricted Stock Units have become payable or settleable in accordance with the terms of the Plan.</w:t>
      </w:r>
    </w:p>
    <w:p>
      <w:pPr>
        <w:spacing w:after="0" w:line="120"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B-6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10. STOCK APPRECIATION RIGHTS (SARs).</w:t>
      </w:r>
    </w:p>
    <w:p>
      <w:pPr>
        <w:spacing w:after="0" w:line="232" w:lineRule="exact"/>
        <w:rPr>
          <w:sz w:val="20"/>
          <w:szCs w:val="20"/>
          <w:color w:val="auto"/>
        </w:rPr>
      </w:pPr>
    </w:p>
    <w:p>
      <w:pPr>
        <w:ind w:left="640" w:right="440" w:hanging="436"/>
        <w:spacing w:after="0" w:line="246"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SARs may be granted to Directors with such terms and conditions as the Administrator shall determine not inconsistent with the provisions of the Plan.</w:t>
      </w:r>
    </w:p>
    <w:p>
      <w:pPr>
        <w:spacing w:after="0" w:line="223" w:lineRule="exact"/>
        <w:rPr>
          <w:rFonts w:ascii="Arial" w:cs="Arial" w:eastAsia="Arial" w:hAnsi="Arial"/>
          <w:sz w:val="18"/>
          <w:szCs w:val="18"/>
          <w:color w:val="auto"/>
        </w:rPr>
      </w:pPr>
    </w:p>
    <w:p>
      <w:pPr>
        <w:ind w:left="640" w:hanging="43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term of each SAR shall be fixed by the Administrator but shall not exceed 10 years.</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11. DEFERRED COMPENSATION.</w:t>
      </w:r>
    </w:p>
    <w:p>
      <w:pPr>
        <w:spacing w:after="0" w:line="214" w:lineRule="exact"/>
        <w:rPr>
          <w:sz w:val="20"/>
          <w:szCs w:val="20"/>
          <w:color w:val="auto"/>
        </w:rPr>
      </w:pPr>
    </w:p>
    <w:p>
      <w:pPr>
        <w:ind w:left="640" w:right="20" w:hanging="436"/>
        <w:spacing w:after="0" w:line="267"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Director may elect, with respect to any Year, that all or any percentage of his or her Eligible Compensation be</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 accordance with the terms of this Plan.</w:t>
      </w:r>
    </w:p>
    <w:p>
      <w:pPr>
        <w:spacing w:after="0" w:line="187" w:lineRule="exact"/>
        <w:rPr>
          <w:rFonts w:ascii="Arial" w:cs="Arial" w:eastAsia="Arial" w:hAnsi="Arial"/>
          <w:sz w:val="18"/>
          <w:szCs w:val="18"/>
          <w:color w:val="auto"/>
        </w:rPr>
      </w:pPr>
    </w:p>
    <w:p>
      <w:pPr>
        <w:ind w:left="640" w:right="180" w:hanging="436"/>
        <w:spacing w:after="0" w:line="267"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Cash Compensation Investment Alternatives</w:t>
      </w:r>
      <w:r>
        <w:rPr>
          <w:rFonts w:ascii="Arial" w:cs="Arial" w:eastAsia="Arial" w:hAnsi="Arial"/>
          <w:sz w:val="18"/>
          <w:szCs w:val="18"/>
          <w:color w:val="auto"/>
        </w:rPr>
        <w:t>. Each Director may elect that his or her Deferred Cash Compensation for any Year be</w:t>
      </w:r>
      <w:r>
        <w:rPr>
          <w:rFonts w:ascii="Arial" w:cs="Arial" w:eastAsia="Arial" w:hAnsi="Arial"/>
          <w:sz w:val="18"/>
          <w:szCs w:val="18"/>
          <w:i w:val="1"/>
          <w:iCs w:val="1"/>
          <w:color w:val="auto"/>
        </w:rPr>
        <w:t xml:space="preserve"> </w:t>
      </w:r>
      <w:r>
        <w:rPr>
          <w:rFonts w:ascii="Arial" w:cs="Arial" w:eastAsia="Arial" w:hAnsi="Arial"/>
          <w:sz w:val="18"/>
          <w:szCs w:val="18"/>
          <w:color w:val="auto"/>
        </w:rPr>
        <w:t>credited to a Cash Account or a Stock Unit Account or to any combination thereof.</w:t>
      </w:r>
    </w:p>
    <w:p>
      <w:pPr>
        <w:spacing w:after="0" w:line="187" w:lineRule="exact"/>
        <w:rPr>
          <w:rFonts w:ascii="Arial" w:cs="Arial" w:eastAsia="Arial" w:hAnsi="Arial"/>
          <w:sz w:val="18"/>
          <w:szCs w:val="18"/>
          <w:color w:val="auto"/>
        </w:rPr>
      </w:pPr>
    </w:p>
    <w:p>
      <w:pPr>
        <w:ind w:left="1060" w:hanging="424"/>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620" w:right="340" w:hanging="538"/>
        <w:spacing w:after="0" w:line="246" w:lineRule="auto"/>
        <w:tabs>
          <w:tab w:leader="none" w:pos="1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Cash Accounts for each Director who has elected that any portion of his or her Deferred Cash Compensation be credited to a Cash Account.</w:t>
      </w:r>
    </w:p>
    <w:p>
      <w:pPr>
        <w:spacing w:after="0" w:line="223" w:lineRule="exact"/>
        <w:rPr>
          <w:rFonts w:ascii="Arial" w:cs="Arial" w:eastAsia="Arial" w:hAnsi="Arial"/>
          <w:sz w:val="18"/>
          <w:szCs w:val="18"/>
          <w:color w:val="auto"/>
        </w:rPr>
      </w:pPr>
    </w:p>
    <w:p>
      <w:pPr>
        <w:ind w:left="1620" w:right="480" w:hanging="538"/>
        <w:spacing w:after="0"/>
        <w:tabs>
          <w:tab w:leader="none" w:pos="1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229" w:lineRule="exact"/>
        <w:rPr>
          <w:rFonts w:ascii="Arial" w:cs="Arial" w:eastAsia="Arial" w:hAnsi="Arial"/>
          <w:sz w:val="18"/>
          <w:szCs w:val="18"/>
          <w:color w:val="auto"/>
        </w:rPr>
      </w:pPr>
    </w:p>
    <w:p>
      <w:pPr>
        <w:ind w:left="1620" w:hanging="538"/>
        <w:spacing w:after="0" w:line="237" w:lineRule="auto"/>
        <w:tabs>
          <w:tab w:leader="none" w:pos="1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that would qualify as a “reasonable rate of interest” as defined by Section 409A of the Code, as may be determined by the GSR Committee for each Year.</w:t>
      </w:r>
    </w:p>
    <w:p>
      <w:pPr>
        <w:spacing w:after="0" w:line="214" w:lineRule="exact"/>
        <w:rPr>
          <w:rFonts w:ascii="Arial" w:cs="Arial" w:eastAsia="Arial" w:hAnsi="Arial"/>
          <w:sz w:val="18"/>
          <w:szCs w:val="18"/>
          <w:color w:val="auto"/>
        </w:rPr>
      </w:pPr>
    </w:p>
    <w:p>
      <w:pPr>
        <w:ind w:left="1060" w:hanging="424"/>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Stock Unit Accounts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620" w:right="320" w:hanging="538"/>
        <w:spacing w:after="0" w:line="275" w:lineRule="auto"/>
        <w:tabs>
          <w:tab w:leader="none" w:pos="1620" w:val="left"/>
        </w:tabs>
        <w:numPr>
          <w:ilvl w:val="2"/>
          <w:numId w:val="89"/>
        </w:numPr>
        <w:rPr>
          <w:rFonts w:ascii="Arial" w:cs="Arial" w:eastAsia="Arial" w:hAnsi="Arial"/>
          <w:sz w:val="17"/>
          <w:szCs w:val="17"/>
          <w:color w:val="auto"/>
        </w:rPr>
      </w:pPr>
      <w:r>
        <w:rPr>
          <w:rFonts w:ascii="Arial" w:cs="Arial" w:eastAsia="Arial" w:hAnsi="Arial"/>
          <w:sz w:val="17"/>
          <w:szCs w:val="17"/>
          <w:color w:val="auto"/>
        </w:rPr>
        <w:t>The Company shall establish and maintain, as appropriate, separate unfunded Stock Unit Accounts for each Director who has elected that any portion of his or her Deferred Cash Compensation be credited to a Stock Unit Account.</w:t>
      </w:r>
    </w:p>
    <w:p>
      <w:pPr>
        <w:spacing w:after="0" w:line="200" w:lineRule="exact"/>
        <w:rPr>
          <w:rFonts w:ascii="Arial" w:cs="Arial" w:eastAsia="Arial" w:hAnsi="Arial"/>
          <w:sz w:val="17"/>
          <w:szCs w:val="17"/>
          <w:color w:val="auto"/>
        </w:rPr>
      </w:pPr>
    </w:p>
    <w:p>
      <w:pPr>
        <w:ind w:left="1620" w:right="180" w:hanging="538"/>
        <w:spacing w:after="0" w:line="239" w:lineRule="auto"/>
        <w:tabs>
          <w:tab w:leader="none" w:pos="1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Cash Compensation as such Director has elected be credited to his or her Stock Unit Account.</w:t>
      </w:r>
    </w:p>
    <w:p>
      <w:pPr>
        <w:spacing w:after="0" w:line="228" w:lineRule="exact"/>
        <w:rPr>
          <w:rFonts w:ascii="Arial" w:cs="Arial" w:eastAsia="Arial" w:hAnsi="Arial"/>
          <w:sz w:val="18"/>
          <w:szCs w:val="18"/>
          <w:color w:val="auto"/>
        </w:rPr>
      </w:pPr>
    </w:p>
    <w:p>
      <w:pPr>
        <w:ind w:left="1620" w:right="40" w:hanging="538"/>
        <w:spacing w:after="0" w:line="238" w:lineRule="auto"/>
        <w:tabs>
          <w:tab w:leader="none" w:pos="1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211" w:lineRule="exact"/>
        <w:rPr>
          <w:rFonts w:ascii="Arial" w:cs="Arial" w:eastAsia="Arial" w:hAnsi="Arial"/>
          <w:sz w:val="18"/>
          <w:szCs w:val="18"/>
          <w:color w:val="auto"/>
        </w:rPr>
      </w:pPr>
    </w:p>
    <w:p>
      <w:pPr>
        <w:ind w:left="640" w:hanging="43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Each Director may elect to defer all or a portion of any Restricted Stock Unit Award.</w:t>
      </w:r>
    </w:p>
    <w:p>
      <w:pPr>
        <w:spacing w:after="0" w:line="238" w:lineRule="exact"/>
        <w:rPr>
          <w:rFonts w:ascii="Arial" w:cs="Arial" w:eastAsia="Arial" w:hAnsi="Arial"/>
          <w:sz w:val="18"/>
          <w:szCs w:val="18"/>
          <w:color w:val="auto"/>
        </w:rPr>
      </w:pPr>
    </w:p>
    <w:p>
      <w:pPr>
        <w:ind w:left="640" w:hanging="43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Each Director may elect to defer all or a portion of any dividend equivalents paid on Restricted Stock Units.</w:t>
      </w:r>
    </w:p>
    <w:p>
      <w:pPr>
        <w:spacing w:after="0" w:line="238" w:lineRule="exact"/>
        <w:rPr>
          <w:rFonts w:ascii="Arial" w:cs="Arial" w:eastAsia="Arial" w:hAnsi="Arial"/>
          <w:sz w:val="18"/>
          <w:szCs w:val="18"/>
          <w:color w:val="auto"/>
        </w:rPr>
      </w:pPr>
    </w:p>
    <w:p>
      <w:pPr>
        <w:ind w:left="640" w:right="380" w:hanging="436"/>
        <w:spacing w:after="0" w:line="267"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Time of Election. </w:t>
      </w:r>
      <w:r>
        <w:rPr>
          <w:rFonts w:ascii="Arial" w:cs="Arial" w:eastAsia="Arial" w:hAnsi="Arial"/>
          <w:sz w:val="18"/>
          <w:szCs w:val="18"/>
          <w:color w:val="auto"/>
        </w:rPr>
        <w:t>An election to defer all or any portion of Eligible Compensation for any Year shall be made in writing in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Form”) prescribed by the Secretary.</w:t>
      </w:r>
    </w:p>
    <w:p>
      <w:pPr>
        <w:spacing w:after="0" w:line="106"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6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40" w:type="dxa"/>
            <w:vAlign w:val="bottom"/>
          </w:tcPr>
          <w:p>
            <w:pPr>
              <w:ind w:left="1840"/>
              <w:spacing w:after="0"/>
              <w:rPr>
                <w:sz w:val="20"/>
                <w:szCs w:val="20"/>
                <w:color w:val="auto"/>
              </w:rPr>
            </w:pPr>
            <w:r>
              <w:rPr>
                <w:rFonts w:ascii="Arial" w:cs="Arial" w:eastAsia="Arial" w:hAnsi="Arial"/>
                <w:sz w:val="13"/>
                <w:szCs w:val="13"/>
                <w:color w:val="666666"/>
                <w:w w:val="88"/>
              </w:rPr>
              <w:t>B-7</w:t>
            </w:r>
          </w:p>
        </w:tc>
      </w:tr>
    </w:tbl>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right="180" w:hanging="424"/>
        <w:spacing w:after="0" w:line="237" w:lineRule="auto"/>
        <w:tabs>
          <w:tab w:leader="none" w:pos="10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Except as hereinafter provided, to be effective, an Election Form relating to payments for a Year, or to Restricted Stock Units that may be granted in such Year, must be received by the Secretary on or before December 31 of the preceding Year. In the case of a Director’s initial election to the Board, the initial Election Form must be received not more than 30 days following his or her election to the Board and, if received within such 30-day period, the Election Form shall be effective only for Eligible Compensation earned after the election becomes irrevocable pursuant to Section 11(f). The time of election and the time of distribution shall comply in all respects with the applicable requirements of Section 409A of the Code.</w:t>
      </w:r>
    </w:p>
    <w:p>
      <w:pPr>
        <w:spacing w:after="0" w:line="214" w:lineRule="exact"/>
        <w:rPr>
          <w:rFonts w:ascii="Arial" w:cs="Arial" w:eastAsia="Arial" w:hAnsi="Arial"/>
          <w:sz w:val="18"/>
          <w:szCs w:val="18"/>
          <w:color w:val="auto"/>
        </w:rPr>
      </w:pPr>
    </w:p>
    <w:p>
      <w:pPr>
        <w:ind w:left="640" w:right="420" w:hanging="436"/>
        <w:spacing w:after="0" w:line="267"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Irrevocability of Election. </w:t>
      </w:r>
      <w:r>
        <w:rPr>
          <w:rFonts w:ascii="Arial" w:cs="Arial" w:eastAsia="Arial" w:hAnsi="Arial"/>
          <w:sz w:val="18"/>
          <w:szCs w:val="18"/>
          <w:color w:val="auto"/>
        </w:rPr>
        <w:t>A Director’s election to defer all or any portion of his or her Eligible Compensation for any Year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irrevocable upon receipt by the Secretary of a completed Election Form from the Director.</w:t>
      </w:r>
    </w:p>
    <w:p>
      <w:pPr>
        <w:spacing w:after="0" w:line="187" w:lineRule="exact"/>
        <w:rPr>
          <w:rFonts w:ascii="Arial" w:cs="Arial" w:eastAsia="Arial" w:hAnsi="Arial"/>
          <w:sz w:val="18"/>
          <w:szCs w:val="18"/>
          <w:color w:val="auto"/>
        </w:rPr>
      </w:pPr>
    </w:p>
    <w:p>
      <w:pPr>
        <w:ind w:left="640" w:hanging="43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Form of Distributions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620" w:hanging="538"/>
        <w:spacing w:after="0"/>
        <w:tabs>
          <w:tab w:leader="none" w:pos="16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Distributions of amounts credited to each Participant’s Cash Account shall be made in cash.</w:t>
      </w:r>
    </w:p>
    <w:p>
      <w:pPr>
        <w:spacing w:after="0" w:line="238" w:lineRule="exact"/>
        <w:rPr>
          <w:rFonts w:ascii="Arial" w:cs="Arial" w:eastAsia="Arial" w:hAnsi="Arial"/>
          <w:sz w:val="18"/>
          <w:szCs w:val="18"/>
          <w:color w:val="auto"/>
        </w:rPr>
      </w:pPr>
    </w:p>
    <w:p>
      <w:pPr>
        <w:ind w:left="1620" w:right="240" w:hanging="538"/>
        <w:spacing w:after="0" w:line="246" w:lineRule="auto"/>
        <w:tabs>
          <w:tab w:leader="none" w:pos="16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Distributions of units credited to each Participant’s Stock Unit Account shall be made by issuing to such Participant an equivalent number of Shares.</w:t>
      </w:r>
    </w:p>
    <w:p>
      <w:pPr>
        <w:spacing w:after="0" w:line="223" w:lineRule="exact"/>
        <w:rPr>
          <w:rFonts w:ascii="Arial" w:cs="Arial" w:eastAsia="Arial" w:hAnsi="Arial"/>
          <w:sz w:val="18"/>
          <w:szCs w:val="18"/>
          <w:color w:val="auto"/>
        </w:rPr>
      </w:pPr>
    </w:p>
    <w:p>
      <w:pPr>
        <w:ind w:left="1620" w:hanging="538"/>
        <w:spacing w:after="0" w:line="238" w:lineRule="auto"/>
        <w:tabs>
          <w:tab w:leader="none" w:pos="16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Distribution of Shares relating to vested Restricted Stock Units the Participant has elected to defer shall be made by issuing to such Participant the whole number of Shares attributable to such vested Restricted Stock Units. Notwithstanding the foregoing, no fractional shares will be issued and any fractional unit will be distributed by payment of cash in the amount represented by such fractional unit based on the Fair Market Value on the date preceding the date of payment.</w:t>
      </w:r>
    </w:p>
    <w:p>
      <w:pPr>
        <w:spacing w:after="0" w:line="211" w:lineRule="exact"/>
        <w:rPr>
          <w:rFonts w:ascii="Arial" w:cs="Arial" w:eastAsia="Arial" w:hAnsi="Arial"/>
          <w:sz w:val="18"/>
          <w:szCs w:val="18"/>
          <w:color w:val="auto"/>
        </w:rPr>
      </w:pPr>
    </w:p>
    <w:p>
      <w:pPr>
        <w:ind w:left="640" w:hanging="43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Time of Distributions.</w:t>
      </w:r>
    </w:p>
    <w:p>
      <w:pPr>
        <w:spacing w:after="0" w:line="256" w:lineRule="exact"/>
        <w:rPr>
          <w:rFonts w:ascii="Arial" w:cs="Arial" w:eastAsia="Arial" w:hAnsi="Arial"/>
          <w:sz w:val="18"/>
          <w:szCs w:val="18"/>
          <w:color w:val="auto"/>
        </w:rPr>
      </w:pPr>
    </w:p>
    <w:p>
      <w:pPr>
        <w:ind w:left="1060" w:right="180" w:hanging="424"/>
        <w:spacing w:after="0"/>
        <w:tabs>
          <w:tab w:leader="none" w:pos="10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Normal Distributions. Except as otherwise hereinafter provided, distributions from a Participant’s Deferred Compensation Account shall be made on the first day of the month following such Participant’s Separation from Service on the Board for any reason other than death.</w:t>
      </w:r>
    </w:p>
    <w:p>
      <w:pPr>
        <w:spacing w:after="0" w:line="202" w:lineRule="exact"/>
        <w:rPr>
          <w:rFonts w:ascii="Arial" w:cs="Arial" w:eastAsia="Arial" w:hAnsi="Arial"/>
          <w:sz w:val="18"/>
          <w:szCs w:val="18"/>
          <w:color w:val="auto"/>
        </w:rPr>
      </w:pPr>
    </w:p>
    <w:p>
      <w:pPr>
        <w:ind w:left="1080" w:right="280"/>
        <w:spacing w:after="0" w:line="246" w:lineRule="auto"/>
        <w:rPr>
          <w:rFonts w:ascii="Arial" w:cs="Arial" w:eastAsia="Arial" w:hAnsi="Arial"/>
          <w:sz w:val="18"/>
          <w:szCs w:val="18"/>
          <w:color w:val="auto"/>
        </w:rPr>
      </w:pPr>
      <w:r>
        <w:rPr>
          <w:rFonts w:ascii="Arial" w:cs="Arial" w:eastAsia="Arial" w:hAnsi="Arial"/>
          <w:sz w:val="18"/>
          <w:szCs w:val="18"/>
          <w:color w:val="auto"/>
        </w:rPr>
        <w:t>Notwithstanding the foregoing, no distribution may be made to a Specified Employee before the date that is six months after the date of Separation from Service or, if earlier, the date of death.</w:t>
      </w:r>
    </w:p>
    <w:p>
      <w:pPr>
        <w:spacing w:after="0" w:line="224" w:lineRule="exact"/>
        <w:rPr>
          <w:sz w:val="20"/>
          <w:szCs w:val="20"/>
          <w:color w:val="auto"/>
        </w:rPr>
      </w:pPr>
    </w:p>
    <w:p>
      <w:pPr>
        <w:ind w:left="1060" w:right="100" w:hanging="424"/>
        <w:spacing w:after="0" w:line="257"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Change in Control. In the event a Participant experiences a Separation From Service (other than for cause) within 24 months after a Change in Control, then, to the extent permitted without additional tax or penalty by Section 409A of the Code, such Participant shall receive a distribution of the balances credited to the Participant’s Account which are attributable to amounts credited to the account. See Section 9(b)(iii) for the effect of such Separation From Service on deferred Restricted Stock Units.</w:t>
      </w:r>
    </w:p>
    <w:p>
      <w:pPr>
        <w:spacing w:after="0" w:line="189" w:lineRule="exact"/>
        <w:rPr>
          <w:rFonts w:ascii="Arial" w:cs="Arial" w:eastAsia="Arial" w:hAnsi="Arial"/>
          <w:sz w:val="17"/>
          <w:szCs w:val="17"/>
          <w:color w:val="auto"/>
        </w:rPr>
      </w:pPr>
    </w:p>
    <w:p>
      <w:pPr>
        <w:ind w:left="1080" w:right="80"/>
        <w:spacing w:after="0" w:line="239" w:lineRule="auto"/>
        <w:rPr>
          <w:rFonts w:ascii="Arial" w:cs="Arial" w:eastAsia="Arial" w:hAnsi="Arial"/>
          <w:sz w:val="17"/>
          <w:szCs w:val="17"/>
          <w:color w:val="auto"/>
        </w:rPr>
      </w:pPr>
      <w:r>
        <w:rPr>
          <w:rFonts w:ascii="Arial" w:cs="Arial" w:eastAsia="Arial" w:hAnsi="Arial"/>
          <w:sz w:val="18"/>
          <w:szCs w:val="18"/>
          <w:color w:val="auto"/>
        </w:rPr>
        <w:t>The amounts to be distributed pursuant to this Section 11(h)(ii) shall be paid on, or as soon as practicable (but no later than 60 days) after, the Participant’s Separation from Service, provided, however, that if the Participant is a Specified Employee upon such Separation From Service, the balances credited to the Participant’s Account will be distributed on, or as soon as practicable (but no more than 10 days) after, the first day of the seventh month following such Separation From Service.</w:t>
      </w:r>
    </w:p>
    <w:p>
      <w:pPr>
        <w:spacing w:after="0" w:line="201" w:lineRule="exact"/>
        <w:rPr>
          <w:rFonts w:ascii="Arial" w:cs="Arial" w:eastAsia="Arial" w:hAnsi="Arial"/>
          <w:sz w:val="17"/>
          <w:szCs w:val="17"/>
          <w:color w:val="auto"/>
        </w:rPr>
      </w:pPr>
    </w:p>
    <w:p>
      <w:pPr>
        <w:jc w:val="both"/>
        <w:ind w:left="1080" w:right="180"/>
        <w:spacing w:after="0" w:line="248" w:lineRule="auto"/>
        <w:rPr>
          <w:rFonts w:ascii="Arial" w:cs="Arial" w:eastAsia="Arial" w:hAnsi="Arial"/>
          <w:sz w:val="17"/>
          <w:szCs w:val="17"/>
          <w:color w:val="auto"/>
        </w:rPr>
      </w:pPr>
      <w:r>
        <w:rPr>
          <w:rFonts w:ascii="Arial" w:cs="Arial" w:eastAsia="Arial" w:hAnsi="Arial"/>
          <w:sz w:val="17"/>
          <w:szCs w:val="17"/>
          <w:color w:val="auto"/>
        </w:rPr>
        <w:t>To the extent that distributions of amounts pursuant to this Section 11(h)(ii) are not permitted without additional tax or penalty by Section 409A of the Code, the affected Participant shall receive distribution of the amounts referred to in this Section 11(h)</w:t>
      </w:r>
    </w:p>
    <w:p>
      <w:pPr>
        <w:spacing w:after="0" w:line="1" w:lineRule="exact"/>
        <w:rPr>
          <w:rFonts w:ascii="Arial" w:cs="Arial" w:eastAsia="Arial" w:hAnsi="Arial"/>
          <w:sz w:val="17"/>
          <w:szCs w:val="17"/>
          <w:color w:val="auto"/>
        </w:rPr>
      </w:pPr>
    </w:p>
    <w:p>
      <w:pPr>
        <w:ind w:left="1340" w:hanging="255"/>
        <w:spacing w:after="0"/>
        <w:tabs>
          <w:tab w:leader="none" w:pos="13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 accordance with Section 11(h)(i).</w:t>
      </w:r>
    </w:p>
    <w:p>
      <w:pPr>
        <w:spacing w:after="0" w:line="238" w:lineRule="exact"/>
        <w:rPr>
          <w:rFonts w:ascii="Arial" w:cs="Arial" w:eastAsia="Arial" w:hAnsi="Arial"/>
          <w:sz w:val="18"/>
          <w:szCs w:val="18"/>
          <w:color w:val="auto"/>
        </w:rPr>
      </w:pPr>
    </w:p>
    <w:p>
      <w:pPr>
        <w:ind w:left="1060" w:right="60" w:hanging="424"/>
        <w:spacing w:after="0" w:line="238"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Unforeseeable Emergency. An earlier distribution may be made upon a finding that the Participant is suffering from an Unforeseeable Emergency. A withdrawal on account of Unforeseeable Emergency may not be made to the extent that such emergency is or may be relieved (A) through reimbursement or compensation from insurance or otherwise, (B) by liquidation of the Participant’s assets, to the extent the liquidation of such assets would not cause severe financial hardship, or (C) by cessation of deferrals under the Plan.</w:t>
      </w:r>
    </w:p>
    <w:p>
      <w:pPr>
        <w:spacing w:after="0" w:line="130" w:lineRule="exact"/>
        <w:rPr>
          <w:sz w:val="20"/>
          <w:szCs w:val="20"/>
          <w:color w:val="auto"/>
        </w:rPr>
      </w:pPr>
    </w:p>
    <w:p>
      <w:pPr>
        <w:ind w:left="220"/>
        <w:spacing w:after="0"/>
        <w:tabs>
          <w:tab w:leader="none" w:pos="4100" w:val="left"/>
          <w:tab w:leader="none" w:pos="5600" w:val="left"/>
          <w:tab w:leader="none" w:pos="5780" w:val="left"/>
        </w:tabs>
        <w:rPr>
          <w:sz w:val="20"/>
          <w:szCs w:val="20"/>
          <w:color w:val="auto"/>
        </w:rPr>
      </w:pPr>
      <w:r>
        <w:rPr>
          <w:rFonts w:ascii="Arial" w:cs="Arial" w:eastAsia="Arial" w:hAnsi="Arial"/>
          <w:sz w:val="13"/>
          <w:szCs w:val="13"/>
          <w:color w:val="666666"/>
        </w:rPr>
        <w:t>B-8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80"/>
        <w:spacing w:after="0" w:line="237" w:lineRule="auto"/>
        <w:rPr>
          <w:sz w:val="20"/>
          <w:szCs w:val="20"/>
          <w:color w:val="auto"/>
        </w:rPr>
      </w:pPr>
      <w:r>
        <w:rPr>
          <w:rFonts w:ascii="Arial" w:cs="Arial" w:eastAsia="Arial" w:hAnsi="Arial"/>
          <w:sz w:val="18"/>
          <w:szCs w:val="18"/>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Administrator, in its sole discretion. The Participant must apply in writing for a payment upon an “Unforeseeable Emergency,” using the form prescribed by the Administrator. The Administrator retains the sole and absolute discretion to grant or deny a payment upon an Unforeseeable Emergency. In the event of approval of a payment upon an Unforeseeable Emergency, the Participant’s outstanding deferral elections under the Plan shall be cancelled.</w:t>
      </w:r>
    </w:p>
    <w:p>
      <w:pPr>
        <w:spacing w:after="0" w:line="212" w:lineRule="exact"/>
        <w:rPr>
          <w:sz w:val="20"/>
          <w:szCs w:val="20"/>
          <w:color w:val="auto"/>
        </w:rPr>
      </w:pPr>
    </w:p>
    <w:p>
      <w:pPr>
        <w:ind w:left="640" w:hanging="436"/>
        <w:spacing w:after="0" w:line="241" w:lineRule="auto"/>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Death of Participant</w:t>
      </w:r>
      <w:r>
        <w:rPr>
          <w:rFonts w:ascii="Arial" w:cs="Arial" w:eastAsia="Arial" w:hAnsi="Arial"/>
          <w:sz w:val="18"/>
          <w:szCs w:val="18"/>
          <w:color w:val="auto"/>
        </w:rPr>
        <w:t>. Notwithstanding the foregoing, in the event of the death of a Participant prior to receipt by such Participant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amount of cash and number of shares to be distributed from his or her Deferred Compensation Account, all such cash and/or shares will be distributed to the beneficiary or beneficiaries designated by the Participant, or if no beneficiary has been designated, to the Participant’s estate as soon as practicable following the month in which the death occurred. Shares to be distributed to the Participant in connection with deferred Restricted Stock Units shall also be distributed as described in the preceding sentence but in no event earlier than the fourth anniversary of the date of grant.</w:t>
      </w:r>
    </w:p>
    <w:p>
      <w:pPr>
        <w:spacing w:after="0" w:line="211" w:lineRule="exact"/>
        <w:rPr>
          <w:rFonts w:ascii="Arial" w:cs="Arial" w:eastAsia="Arial" w:hAnsi="Arial"/>
          <w:sz w:val="18"/>
          <w:szCs w:val="18"/>
          <w:color w:val="auto"/>
        </w:rPr>
      </w:pPr>
    </w:p>
    <w:p>
      <w:pPr>
        <w:ind w:left="640" w:right="20" w:hanging="436"/>
        <w:spacing w:after="0" w:line="241" w:lineRule="auto"/>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Certain Rights Reserved by the Company</w:t>
      </w:r>
      <w:r>
        <w:rPr>
          <w:rFonts w:ascii="Arial" w:cs="Arial" w:eastAsia="Arial" w:hAnsi="Arial"/>
          <w:sz w:val="18"/>
          <w:szCs w:val="18"/>
          <w:color w:val="auto"/>
        </w:rPr>
        <w:t>. In the event that, pursuant to Section 13, the Company suspends, modifies or terminates</w:t>
      </w:r>
      <w:r>
        <w:rPr>
          <w:rFonts w:ascii="Arial" w:cs="Arial" w:eastAsia="Arial" w:hAnsi="Arial"/>
          <w:sz w:val="18"/>
          <w:szCs w:val="18"/>
          <w:i w:val="1"/>
          <w:iCs w:val="1"/>
          <w:color w:val="auto"/>
        </w:rPr>
        <w:t xml:space="preserve"> </w:t>
      </w:r>
      <w:r>
        <w:rPr>
          <w:rFonts w:ascii="Arial" w:cs="Arial" w:eastAsia="Arial" w:hAnsi="Arial"/>
          <w:sz w:val="18"/>
          <w:szCs w:val="18"/>
          <w:color w:val="auto"/>
        </w:rPr>
        <w:t>this Plan, the Company shall have the right to distribute to each Participant all amounts in such Participant’s Cash Account or Shares equivalent to units in such Participant’s Stock Unit Account, including, in the case of Stock Unit Accounts, the right to distribute cash equivalent to the units in such Accounts and all Shares attributable to vested Restricted Stock Units that a Participant has elected to defer, provided that any such suspension, modification or termination may be effected without penalty under Section 409A of the Code.</w:t>
      </w:r>
    </w:p>
    <w:p>
      <w:pPr>
        <w:spacing w:after="0" w:line="211" w:lineRule="exact"/>
        <w:rPr>
          <w:rFonts w:ascii="Arial" w:cs="Arial" w:eastAsia="Arial" w:hAnsi="Arial"/>
          <w:sz w:val="18"/>
          <w:szCs w:val="18"/>
          <w:color w:val="auto"/>
        </w:rPr>
      </w:pPr>
    </w:p>
    <w:p>
      <w:pPr>
        <w:ind w:left="640" w:right="20" w:hanging="436"/>
        <w:spacing w:after="0" w:line="242" w:lineRule="auto"/>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Certain Affiliations</w:t>
      </w:r>
      <w:r>
        <w:rPr>
          <w:rFonts w:ascii="Arial" w:cs="Arial" w:eastAsia="Arial" w:hAnsi="Arial"/>
          <w:sz w:val="18"/>
          <w:szCs w:val="18"/>
          <w:color w:val="auto"/>
        </w:rPr>
        <w:t>. In the event that a Participant terminates his or her membership on the Board and becomes affiliated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agency, all amounts in such Participant’s Cash Account, shares equivalent to units in such Participant’s Stock Unit Account and Shares attributable to Restricted Stock Units that such Participant has elected to defer will be distributed to the Participant if such payment is necessary to avoid violation of any applicable federal, state, local or foreign ethics or conflict of interest law or if necessary to comply with an ethics agreement with the federal government.</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12. OTHER STOCK-BASED AWARDS.</w:t>
      </w:r>
    </w:p>
    <w:p>
      <w:pPr>
        <w:spacing w:after="0" w:line="205"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Administrator is hereby authorized to grant to Directors such other Awards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12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 The Company intends that such other Awards granted pursuant to this Section shall comply with Section 409A of the Code if applicable.</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13. AMENDMENT AND TERMINATION.</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Except to the extent prohibited by or inconsistent with applicable law:</w:t>
      </w:r>
    </w:p>
    <w:p>
      <w:pPr>
        <w:spacing w:after="0" w:line="221" w:lineRule="exact"/>
        <w:rPr>
          <w:sz w:val="20"/>
          <w:szCs w:val="20"/>
          <w:color w:val="auto"/>
        </w:rPr>
      </w:pPr>
    </w:p>
    <w:p>
      <w:pPr>
        <w:ind w:left="640" w:right="20" w:hanging="436"/>
        <w:spacing w:after="0" w:line="238"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The Board may amend, alter, suspend, discontinue or terminate the Plan, including, without limitation,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subject to Awards granted pursuant to Sections 6, 7 and 10, without the consent of any stockholder, Participant, other holder or beneficiary of any Award, or other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amendment, alteration, suspension, discontinuation or termination shall be made without (i) stockholder approval if such approval is necessary to comply with the listing requirements of The NASDAQ Stock Market or (ii) the consent of the affected Participants, if such action would adversely affect the rights of such Participants under any outstanding Award;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no such amendment or alteration shall increase the aggregate number of shares that may be issued under the Plan or increase the total value of Awards that may be granted in any given Year, in each case except as provided in Section 5(d). In addition, any such amendment shall be in compliance with Section 409A of the Code. The Administrator may modify any outstanding Awards to comply with Section 409A without consent from Participants. Notwithstanding any other provision of the Plan or any Award Agreement, no amendment, alteration, suspension, discontinuation or termination of the Plan or any Award Agreement shall be made that would (1) permit Options or SARs to be granted with a per Share exercise</w:t>
      </w:r>
    </w:p>
    <w:p>
      <w:pPr>
        <w:spacing w:after="0" w:line="129" w:lineRule="exact"/>
        <w:rPr>
          <w:sz w:val="20"/>
          <w:szCs w:val="20"/>
          <w:color w:val="auto"/>
        </w:rPr>
      </w:pPr>
    </w:p>
    <w:tbl>
      <w:tblPr>
        <w:tblLayout w:type="fixed"/>
        <w:tblInd w:w="4120" w:type="dxa"/>
        <w:tblCellMar>
          <w:top w:w="0" w:type="dxa"/>
          <w:left w:w="0" w:type="dxa"/>
          <w:bottom w:w="0" w:type="dxa"/>
          <w:right w:w="0" w:type="dxa"/>
        </w:tblCellMar>
      </w:tblPr>
      <w:tr>
        <w:trPr>
          <w:trHeight w:val="152"/>
        </w:trPr>
        <w:tc>
          <w:tcPr>
            <w:tcW w:w="506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40" w:type="dxa"/>
            <w:vAlign w:val="bottom"/>
          </w:tcPr>
          <w:p>
            <w:pPr>
              <w:ind w:left="1840"/>
              <w:spacing w:after="0"/>
              <w:rPr>
                <w:sz w:val="20"/>
                <w:szCs w:val="20"/>
                <w:color w:val="auto"/>
              </w:rPr>
            </w:pPr>
            <w:r>
              <w:rPr>
                <w:rFonts w:ascii="Arial" w:cs="Arial" w:eastAsia="Arial" w:hAnsi="Arial"/>
                <w:sz w:val="13"/>
                <w:szCs w:val="13"/>
                <w:color w:val="666666"/>
                <w:w w:val="88"/>
              </w:rPr>
              <w:t>B-9</w:t>
            </w:r>
          </w:p>
        </w:tc>
      </w:tr>
    </w:tbl>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right="40"/>
        <w:spacing w:after="0" w:line="236" w:lineRule="auto"/>
        <w:rPr>
          <w:sz w:val="20"/>
          <w:szCs w:val="20"/>
          <w:color w:val="auto"/>
        </w:rPr>
      </w:pPr>
      <w:r>
        <w:rPr>
          <w:rFonts w:ascii="Arial" w:cs="Arial" w:eastAsia="Arial" w:hAnsi="Arial"/>
          <w:sz w:val="18"/>
          <w:szCs w:val="18"/>
          <w:color w:val="auto"/>
        </w:rPr>
        <w:t>price of less than the Fair Market Value of a Share on the date of grant thereof or (2) except as provided in Section 5(d), (w) reduce the exercise price of any Option or SAR established at the time of grant thereof, (x) be treated as a repricing under U.S. generally accepted accounting principles (“GAAP”), (y) cancel an Option or SAR in exchange for another Option, SAR, restricted stock unit or any other Award, or (z) terminate an Option or SAR in exchange for a cash amount equal to or greater than the excess, if any, of the Fair Market Value of the underlying Shares on the date of cancellation over the exercise price times the number of Shares outstanding under the Award. A cancellation and exchange described in clause (y) of the immediately preceding sentence is prohibited regardless of whether the option, SAR, restricted stock unit or other equity is delivered simultaneously with the cancellation and regardless of whether the cancellation and exchange are treated as a repricing under GAAP or are voluntary on the part of the Participant.</w:t>
      </w:r>
    </w:p>
    <w:p>
      <w:pPr>
        <w:spacing w:after="0" w:line="216" w:lineRule="exact"/>
        <w:rPr>
          <w:sz w:val="20"/>
          <w:szCs w:val="20"/>
          <w:color w:val="auto"/>
        </w:rPr>
      </w:pPr>
    </w:p>
    <w:p>
      <w:pPr>
        <w:ind w:left="640" w:right="160" w:hanging="436"/>
        <w:spacing w:after="0" w:line="297" w:lineRule="auto"/>
        <w:tabs>
          <w:tab w:leader="none" w:pos="64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Correction of Defects, Omissions and Inconsistencies</w:t>
      </w:r>
      <w:r>
        <w:rPr>
          <w:rFonts w:ascii="Arial" w:cs="Arial" w:eastAsia="Arial" w:hAnsi="Arial"/>
          <w:sz w:val="17"/>
          <w:szCs w:val="17"/>
          <w:color w:val="auto"/>
        </w:rPr>
        <w:t>. The Administrator may correct any defect, supply any omission, or reconcile</w:t>
      </w:r>
      <w:r>
        <w:rPr>
          <w:rFonts w:ascii="Arial" w:cs="Arial" w:eastAsia="Arial" w:hAnsi="Arial"/>
          <w:sz w:val="17"/>
          <w:szCs w:val="17"/>
          <w:i w:val="1"/>
          <w:iCs w:val="1"/>
          <w:color w:val="auto"/>
        </w:rPr>
        <w:t xml:space="preserve"> </w:t>
      </w:r>
      <w:r>
        <w:rPr>
          <w:rFonts w:ascii="Arial" w:cs="Arial" w:eastAsia="Arial" w:hAnsi="Arial"/>
          <w:sz w:val="17"/>
          <w:szCs w:val="17"/>
          <w:color w:val="auto"/>
        </w:rPr>
        <w:t>any inconsistency in the Plan or any Award in the manner and to the extent it shall deem desirable to carry the Plan into effect.</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14. GENERAL PROVISIONS.</w:t>
      </w:r>
    </w:p>
    <w:p>
      <w:pPr>
        <w:spacing w:after="0" w:line="214" w:lineRule="exact"/>
        <w:rPr>
          <w:sz w:val="20"/>
          <w:szCs w:val="20"/>
          <w:color w:val="auto"/>
        </w:rPr>
      </w:pPr>
    </w:p>
    <w:p>
      <w:pPr>
        <w:jc w:val="both"/>
        <w:ind w:left="640" w:right="600" w:hanging="436"/>
        <w:spacing w:after="0" w:line="272" w:lineRule="auto"/>
        <w:tabs>
          <w:tab w:leader="none" w:pos="64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No Rights of Stockholders</w:t>
      </w:r>
      <w:r>
        <w:rPr>
          <w:rFonts w:ascii="Arial" w:cs="Arial" w:eastAsia="Arial" w:hAnsi="Arial"/>
          <w:sz w:val="17"/>
          <w:szCs w:val="17"/>
          <w:color w:val="auto"/>
        </w:rPr>
        <w:t>. Neither a Participant nor a Participant’s legal representative shall be, or have any of the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privileges of, a stockholder of the Company in respect of any Shares issuable under the Plan in connection with any Award or Account, in whole or in part, unless and until certificates or other indicia of ownership of such shares shall have been issued.</w:t>
      </w:r>
    </w:p>
    <w:p>
      <w:pPr>
        <w:spacing w:after="0" w:line="186" w:lineRule="exact"/>
        <w:rPr>
          <w:rFonts w:ascii="Arial" w:cs="Arial" w:eastAsia="Arial" w:hAnsi="Arial"/>
          <w:sz w:val="17"/>
          <w:szCs w:val="17"/>
          <w:color w:val="auto"/>
        </w:rPr>
      </w:pPr>
    </w:p>
    <w:p>
      <w:pPr>
        <w:ind w:left="640" w:right="180" w:hanging="436"/>
        <w:spacing w:after="0" w:line="245"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Limits of Transfer of Awards. </w:t>
      </w:r>
      <w:r>
        <w:rPr>
          <w:rFonts w:ascii="Arial" w:cs="Arial" w:eastAsia="Arial" w:hAnsi="Arial"/>
          <w:sz w:val="18"/>
          <w:szCs w:val="18"/>
          <w:color w:val="auto"/>
        </w:rPr>
        <w:t>No Award and no right under any such Award, shall be assignable, alienable, saleable or transferable</w:t>
      </w:r>
      <w:r>
        <w:rPr>
          <w:rFonts w:ascii="Arial" w:cs="Arial" w:eastAsia="Arial" w:hAnsi="Arial"/>
          <w:sz w:val="18"/>
          <w:szCs w:val="18"/>
          <w:i w:val="1"/>
          <w:iCs w:val="1"/>
          <w:color w:val="auto"/>
        </w:rPr>
        <w:t xml:space="preserve"> </w:t>
      </w:r>
      <w:r>
        <w:rPr>
          <w:rFonts w:ascii="Arial" w:cs="Arial" w:eastAsia="Arial" w:hAnsi="Arial"/>
          <w:sz w:val="18"/>
          <w:szCs w:val="18"/>
          <w:color w:val="auto"/>
        </w:rPr>
        <w:t>by a Participant 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208" w:lineRule="exact"/>
        <w:rPr>
          <w:rFonts w:ascii="Arial" w:cs="Arial" w:eastAsia="Arial" w:hAnsi="Arial"/>
          <w:sz w:val="18"/>
          <w:szCs w:val="18"/>
          <w:color w:val="auto"/>
        </w:rPr>
      </w:pPr>
    </w:p>
    <w:p>
      <w:pPr>
        <w:ind w:left="640" w:hanging="43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No Limit on Other Compensation Arrangements</w:t>
      </w:r>
      <w:r>
        <w:rPr>
          <w:rFonts w:ascii="Arial" w:cs="Arial" w:eastAsia="Arial" w:hAnsi="Arial"/>
          <w:sz w:val="18"/>
          <w:szCs w:val="18"/>
          <w:color w:val="auto"/>
        </w:rPr>
        <w:t>. Nothing contained in the Plan shall prevent the Company from adopting</w:t>
      </w:r>
    </w:p>
    <w:p>
      <w:pPr>
        <w:spacing w:after="0" w:line="13" w:lineRule="exact"/>
        <w:rPr>
          <w:rFonts w:ascii="Arial" w:cs="Arial" w:eastAsia="Arial" w:hAnsi="Arial"/>
          <w:sz w:val="18"/>
          <w:szCs w:val="18"/>
          <w:color w:val="auto"/>
        </w:rPr>
      </w:pPr>
    </w:p>
    <w:p>
      <w:pPr>
        <w:ind w:left="640" w:right="60"/>
        <w:spacing w:after="0" w:line="246" w:lineRule="auto"/>
        <w:rPr>
          <w:rFonts w:ascii="Arial" w:cs="Arial" w:eastAsia="Arial" w:hAnsi="Arial"/>
          <w:sz w:val="18"/>
          <w:szCs w:val="18"/>
          <w:color w:val="auto"/>
        </w:rPr>
      </w:pPr>
      <w:r>
        <w:rPr>
          <w:rFonts w:ascii="Arial" w:cs="Arial" w:eastAsia="Arial" w:hAnsi="Arial"/>
          <w:sz w:val="18"/>
          <w:szCs w:val="18"/>
          <w:color w:val="auto"/>
        </w:rPr>
        <w:t>or continuing in effect other or additional compensation arrangements, and such arrangements may be either generally applicable or applicable only in specific cases.</w:t>
      </w:r>
    </w:p>
    <w:p>
      <w:pPr>
        <w:spacing w:after="0" w:line="205" w:lineRule="exact"/>
        <w:rPr>
          <w:rFonts w:ascii="Arial" w:cs="Arial" w:eastAsia="Arial" w:hAnsi="Arial"/>
          <w:sz w:val="18"/>
          <w:szCs w:val="18"/>
          <w:color w:val="auto"/>
        </w:rPr>
      </w:pPr>
    </w:p>
    <w:p>
      <w:pPr>
        <w:ind w:left="640" w:hanging="43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w:t>
      </w:r>
    </w:p>
    <w:p>
      <w:pPr>
        <w:spacing w:after="0" w:line="1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be determined in accordance with the laws of the State of Delaware without giving effect to the principles of conflict of laws thereof.</w:t>
      </w:r>
    </w:p>
    <w:p>
      <w:pPr>
        <w:spacing w:after="0" w:line="220" w:lineRule="exact"/>
        <w:rPr>
          <w:rFonts w:ascii="Arial" w:cs="Arial" w:eastAsia="Arial" w:hAnsi="Arial"/>
          <w:sz w:val="18"/>
          <w:szCs w:val="18"/>
          <w:color w:val="auto"/>
        </w:rPr>
      </w:pPr>
    </w:p>
    <w:p>
      <w:pPr>
        <w:ind w:left="640" w:right="100" w:hanging="436"/>
        <w:spacing w:after="0" w:line="241"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Agreement is or becomes or is deemed to be invalid, illegal, or unenforceable</w:t>
      </w:r>
      <w:r>
        <w:rPr>
          <w:rFonts w:ascii="Arial" w:cs="Arial" w:eastAsia="Arial" w:hAnsi="Arial"/>
          <w:sz w:val="18"/>
          <w:szCs w:val="18"/>
          <w:i w:val="1"/>
          <w:iCs w:val="1"/>
          <w:color w:val="auto"/>
        </w:rPr>
        <w:t xml:space="preserve"> </w:t>
      </w:r>
      <w:r>
        <w:rPr>
          <w:rFonts w:ascii="Arial" w:cs="Arial" w:eastAsia="Arial" w:hAnsi="Arial"/>
          <w:sz w:val="18"/>
          <w:szCs w:val="18"/>
          <w:color w:val="auto"/>
        </w:rPr>
        <w:t>in any jurisdiction, or 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211" w:lineRule="exact"/>
        <w:rPr>
          <w:rFonts w:ascii="Arial" w:cs="Arial" w:eastAsia="Arial" w:hAnsi="Arial"/>
          <w:sz w:val="18"/>
          <w:szCs w:val="18"/>
          <w:color w:val="auto"/>
        </w:rPr>
      </w:pPr>
    </w:p>
    <w:p>
      <w:pPr>
        <w:ind w:left="640" w:right="80" w:hanging="436"/>
        <w:spacing w:after="0" w:line="245"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w:t>
      </w:r>
      <w:r>
        <w:rPr>
          <w:rFonts w:ascii="Arial" w:cs="Arial" w:eastAsia="Arial" w:hAnsi="Arial"/>
          <w:sz w:val="18"/>
          <w:szCs w:val="18"/>
          <w:i w:val="1"/>
          <w:iCs w:val="1"/>
          <w:color w:val="auto"/>
        </w:rPr>
        <w:t xml:space="preserve"> </w:t>
      </w:r>
      <w:r>
        <w:rPr>
          <w:rFonts w:ascii="Arial" w:cs="Arial" w:eastAsia="Arial" w:hAnsi="Arial"/>
          <w:sz w:val="18"/>
          <w:szCs w:val="18"/>
          <w:color w:val="auto"/>
        </w:rPr>
        <w:t>of any kind or a 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208" w:lineRule="exact"/>
        <w:rPr>
          <w:rFonts w:ascii="Arial" w:cs="Arial" w:eastAsia="Arial" w:hAnsi="Arial"/>
          <w:sz w:val="18"/>
          <w:szCs w:val="18"/>
          <w:color w:val="auto"/>
        </w:rPr>
      </w:pPr>
    </w:p>
    <w:p>
      <w:pPr>
        <w:ind w:left="640" w:right="60" w:hanging="436"/>
        <w:spacing w:after="0" w:line="245"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Accounts Unsecured</w:t>
      </w:r>
      <w:r>
        <w:rPr>
          <w:rFonts w:ascii="Arial" w:cs="Arial" w:eastAsia="Arial" w:hAnsi="Arial"/>
          <w:sz w:val="18"/>
          <w:szCs w:val="18"/>
          <w:color w:val="auto"/>
        </w:rPr>
        <w:t>. Until distributed, all amounts credited to any Cash Accounts or represented by units credited to any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shall be property of the Company, available for the Company’s use, and subject to the claims of general creditors of the Company. The rights of any Participant or beneficiary to distributions under this Plan are not subject to anticipation, alienation, sale, transfer, assignment, or encumbrance, and shall not be subject to the debts or liabilities of any Participant or beneficiary.</w:t>
      </w:r>
    </w:p>
    <w:p>
      <w:pPr>
        <w:spacing w:after="0" w:line="208" w:lineRule="exact"/>
        <w:rPr>
          <w:rFonts w:ascii="Arial" w:cs="Arial" w:eastAsia="Arial" w:hAnsi="Arial"/>
          <w:sz w:val="18"/>
          <w:szCs w:val="18"/>
          <w:color w:val="auto"/>
        </w:rPr>
      </w:pPr>
    </w:p>
    <w:p>
      <w:pPr>
        <w:ind w:left="640" w:hanging="436"/>
        <w:spacing w:after="0" w:line="242"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The Company shall be authorized to withhold from any Awards granted or any transfer made under any Award or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or from any 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of the Company for the payment of any such taxes.</w:t>
      </w:r>
    </w:p>
    <w:p>
      <w:pPr>
        <w:spacing w:after="0" w:line="131" w:lineRule="exact"/>
        <w:rPr>
          <w:sz w:val="20"/>
          <w:szCs w:val="20"/>
          <w:color w:val="auto"/>
        </w:rPr>
      </w:pPr>
    </w:p>
    <w:p>
      <w:pPr>
        <w:ind w:left="220"/>
        <w:spacing w:after="0"/>
        <w:tabs>
          <w:tab w:leader="none" w:pos="4120" w:val="left"/>
          <w:tab w:leader="none" w:pos="5620" w:val="left"/>
          <w:tab w:leader="none" w:pos="5800" w:val="left"/>
        </w:tabs>
        <w:rPr>
          <w:sz w:val="20"/>
          <w:szCs w:val="20"/>
          <w:color w:val="auto"/>
        </w:rPr>
      </w:pPr>
      <w:r>
        <w:rPr>
          <w:rFonts w:ascii="Arial" w:cs="Arial" w:eastAsia="Arial" w:hAnsi="Arial"/>
          <w:sz w:val="13"/>
          <w:szCs w:val="13"/>
          <w:color w:val="666666"/>
        </w:rPr>
        <w:t>B-10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2018 PROXY STATEMENT</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right="40" w:hanging="436"/>
        <w:spacing w:after="0" w:line="245"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the 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208" w:lineRule="exact"/>
        <w:rPr>
          <w:rFonts w:ascii="Arial" w:cs="Arial" w:eastAsia="Arial" w:hAnsi="Arial"/>
          <w:sz w:val="18"/>
          <w:szCs w:val="18"/>
          <w:color w:val="auto"/>
        </w:rPr>
      </w:pPr>
    </w:p>
    <w:p>
      <w:pPr>
        <w:ind w:left="640" w:right="660" w:hanging="436"/>
        <w:spacing w:after="0" w:line="267"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409A Compliance</w:t>
      </w:r>
      <w:r>
        <w:rPr>
          <w:rFonts w:ascii="Arial" w:cs="Arial" w:eastAsia="Arial" w:hAnsi="Arial"/>
          <w:sz w:val="18"/>
          <w:szCs w:val="18"/>
          <w:color w:val="auto"/>
        </w:rPr>
        <w:t>. The Company makes no representations or covenants that any Award granted or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maintained under the Plan will comply with Section 409A of the Code.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15. EFFECTIVE DATE OF THE PLAN.</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16. TERM OF THE PLAN.</w:t>
      </w:r>
    </w:p>
    <w:p>
      <w:pPr>
        <w:spacing w:after="0" w:line="205"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No Award shall be granted or compensation deferred under the Plan after the tenth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and the Board under Section 12 to amend, alter, adjust, suspend, discontinue, or terminate any such Award or Account, or to waive any conditions or rights thereunder, shall extend beyond such date.</w:t>
      </w:r>
    </w:p>
    <w:p>
      <w:pPr>
        <w:spacing w:after="0" w:line="130" w:lineRule="exact"/>
        <w:rPr>
          <w:sz w:val="20"/>
          <w:szCs w:val="20"/>
          <w:color w:val="auto"/>
        </w:rPr>
      </w:pPr>
    </w:p>
    <w:tbl>
      <w:tblPr>
        <w:tblLayout w:type="fixed"/>
        <w:tblInd w:w="4100" w:type="dxa"/>
        <w:tblCellMar>
          <w:top w:w="0" w:type="dxa"/>
          <w:left w:w="0" w:type="dxa"/>
          <w:bottom w:w="0" w:type="dxa"/>
          <w:right w:w="0" w:type="dxa"/>
        </w:tblCellMar>
      </w:tblPr>
      <w:tr>
        <w:trPr>
          <w:trHeight w:val="152"/>
        </w:trPr>
        <w:tc>
          <w:tcPr>
            <w:tcW w:w="5040" w:type="dxa"/>
            <w:vAlign w:val="bottom"/>
          </w:tcPr>
          <w:p>
            <w:pPr>
              <w:spacing w:after="0"/>
              <w:rPr>
                <w:sz w:val="20"/>
                <w:szCs w:val="20"/>
                <w:color w:val="auto"/>
              </w:rPr>
            </w:pPr>
            <w:r>
              <w:rPr>
                <w:rFonts w:ascii="Arial" w:cs="Arial" w:eastAsia="Arial" w:hAnsi="Arial"/>
                <w:sz w:val="13"/>
                <w:szCs w:val="13"/>
                <w:color w:val="666666"/>
              </w:rPr>
              <w:t>TEXAS INSTRUMENTS  •  2018 PROXY STATEMENT</w:t>
            </w:r>
          </w:p>
        </w:tc>
        <w:tc>
          <w:tcPr>
            <w:tcW w:w="2080" w:type="dxa"/>
            <w:vAlign w:val="bottom"/>
          </w:tcPr>
          <w:p>
            <w:pPr>
              <w:ind w:left="1820"/>
              <w:spacing w:after="0"/>
              <w:rPr>
                <w:sz w:val="20"/>
                <w:szCs w:val="20"/>
                <w:color w:val="auto"/>
              </w:rPr>
            </w:pPr>
            <w:r>
              <w:rPr>
                <w:rFonts w:ascii="Arial" w:cs="Arial" w:eastAsia="Arial" w:hAnsi="Arial"/>
                <w:sz w:val="13"/>
                <w:szCs w:val="13"/>
                <w:color w:val="666666"/>
                <w:w w:val="87"/>
              </w:rPr>
              <w:t>B-11</w:t>
            </w:r>
          </w:p>
        </w:tc>
      </w:tr>
    </w:tbl>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80"/>
        <w:spacing w:after="0"/>
        <w:rPr>
          <w:sz w:val="20"/>
          <w:szCs w:val="20"/>
          <w:color w:val="auto"/>
        </w:rPr>
      </w:pPr>
      <w:r>
        <w:rPr>
          <w:rFonts w:ascii="Arial" w:cs="Arial" w:eastAsia="Arial" w:hAnsi="Arial"/>
          <w:sz w:val="13"/>
          <w:szCs w:val="13"/>
          <w:b w:val="1"/>
          <w:bCs w:val="1"/>
          <w:i w:val="1"/>
          <w:i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-596900</wp:posOffset>
            </wp:positionV>
            <wp:extent cx="1311910" cy="4457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11910" cy="445770"/>
                    </a:xfrm>
                    <a:prstGeom prst="rect">
                      <a:avLst/>
                    </a:prstGeom>
                    <a:noFill/>
                  </pic:spPr>
                </pic:pic>
              </a:graphicData>
            </a:graphic>
          </wp:anchor>
        </w:drawing>
      </w:r>
    </w:p>
    <w:p>
      <w:pPr>
        <w:ind w:left="580"/>
        <w:spacing w:after="0" w:line="237" w:lineRule="auto"/>
        <w:rPr>
          <w:sz w:val="20"/>
          <w:szCs w:val="20"/>
          <w:color w:val="auto"/>
        </w:rPr>
      </w:pPr>
      <w:r>
        <w:rPr>
          <w:rFonts w:ascii="Arial" w:cs="Arial" w:eastAsia="Arial" w:hAnsi="Arial"/>
          <w:sz w:val="14"/>
          <w:szCs w:val="14"/>
          <w:b w:val="1"/>
          <w:bCs w:val="1"/>
          <w:i w:val="1"/>
          <w:iCs w:val="1"/>
          <w:color w:val="auto"/>
        </w:rPr>
        <w:t>ATTN: JANE NAHRA</w:t>
      </w:r>
    </w:p>
    <w:p>
      <w:pPr>
        <w:ind w:left="580"/>
        <w:spacing w:after="0" w:line="222" w:lineRule="auto"/>
        <w:rPr>
          <w:sz w:val="20"/>
          <w:szCs w:val="20"/>
          <w:color w:val="auto"/>
        </w:rPr>
      </w:pPr>
      <w:r>
        <w:rPr>
          <w:rFonts w:ascii="Arial" w:cs="Arial" w:eastAsia="Arial" w:hAnsi="Arial"/>
          <w:sz w:val="14"/>
          <w:szCs w:val="14"/>
          <w:b w:val="1"/>
          <w:bCs w:val="1"/>
          <w:i w:val="1"/>
          <w:iCs w:val="1"/>
          <w:color w:val="auto"/>
        </w:rPr>
        <w:t>P.O. BOX 655474</w:t>
      </w:r>
    </w:p>
    <w:p>
      <w:pPr>
        <w:ind w:left="580"/>
        <w:spacing w:after="0" w:line="221" w:lineRule="auto"/>
        <w:rPr>
          <w:sz w:val="20"/>
          <w:szCs w:val="20"/>
          <w:color w:val="auto"/>
        </w:rPr>
      </w:pPr>
      <w:r>
        <w:rPr>
          <w:rFonts w:ascii="Arial" w:cs="Arial" w:eastAsia="Arial" w:hAnsi="Arial"/>
          <w:sz w:val="14"/>
          <w:szCs w:val="14"/>
          <w:b w:val="1"/>
          <w:bCs w:val="1"/>
          <w:i w:val="1"/>
          <w:iCs w:val="1"/>
          <w:color w:val="auto"/>
        </w:rPr>
        <w:t>MS 3999</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right="500"/>
        <w:spacing w:after="0" w:line="259" w:lineRule="auto"/>
        <w:rPr>
          <w:sz w:val="20"/>
          <w:szCs w:val="20"/>
          <w:color w:val="auto"/>
        </w:rPr>
      </w:pPr>
      <w:r>
        <w:rPr>
          <w:rFonts w:ascii="Arial" w:cs="Arial" w:eastAsia="Arial" w:hAnsi="Arial"/>
          <w:sz w:val="14"/>
          <w:szCs w:val="14"/>
          <w:b w:val="1"/>
          <w:bCs w:val="1"/>
          <w:color w:val="auto"/>
        </w:rPr>
        <w:t xml:space="preserve">For registered shares, your proxy must be received by 11:59 P.M. (Eastern time) on </w:t>
      </w:r>
      <w:r>
        <w:rPr>
          <w:rFonts w:ascii="Arial" w:cs="Arial" w:eastAsia="Arial" w:hAnsi="Arial"/>
          <w:sz w:val="14"/>
          <w:szCs w:val="14"/>
          <w:b w:val="1"/>
          <w:bCs w:val="1"/>
          <w:i w:val="1"/>
          <w:iCs w:val="1"/>
          <w:color w:val="auto"/>
        </w:rPr>
        <w:t>April 25, 2018</w:t>
      </w:r>
      <w:r>
        <w:rPr>
          <w:rFonts w:ascii="Arial" w:cs="Arial" w:eastAsia="Arial" w:hAnsi="Arial"/>
          <w:sz w:val="14"/>
          <w:szCs w:val="14"/>
          <w:b w:val="1"/>
          <w:bCs w:val="1"/>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shares allocable to a benefit plan account, your proxy must be received by 11:59 P.M.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(Eastern time) on </w:t>
      </w:r>
      <w:r>
        <w:rPr>
          <w:rFonts w:ascii="Arial" w:cs="Arial" w:eastAsia="Arial" w:hAnsi="Arial"/>
          <w:sz w:val="14"/>
          <w:szCs w:val="14"/>
          <w:b w:val="1"/>
          <w:bCs w:val="1"/>
          <w:i w:val="1"/>
          <w:iCs w:val="1"/>
          <w:color w:val="auto"/>
        </w:rPr>
        <w:t>April 23, 2018.</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100" w:lineRule="exact"/>
        <w:rPr>
          <w:sz w:val="20"/>
          <w:szCs w:val="20"/>
          <w:color w:val="auto"/>
        </w:rPr>
      </w:pPr>
    </w:p>
    <w:p>
      <w:pPr>
        <w:ind w:right="80"/>
        <w:spacing w:after="0" w:line="234"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the applicable cut-off date and time above. Have your proxy card in hand when you access the web site and follow the instructions to obtain your records and to create an electronic voting instruction form.</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00" w:lineRule="exact"/>
        <w:rPr>
          <w:sz w:val="20"/>
          <w:szCs w:val="20"/>
          <w:color w:val="auto"/>
        </w:rPr>
      </w:pPr>
    </w:p>
    <w:p>
      <w:pPr>
        <w:ind w:right="160"/>
        <w:spacing w:after="0" w:line="251"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00" w:lineRule="exact"/>
        <w:rPr>
          <w:sz w:val="20"/>
          <w:szCs w:val="20"/>
          <w:color w:val="auto"/>
        </w:rPr>
      </w:pPr>
    </w:p>
    <w:p>
      <w:pPr>
        <w:ind w:right="240"/>
        <w:spacing w:after="0" w:line="238" w:lineRule="auto"/>
        <w:rPr>
          <w:sz w:val="20"/>
          <w:szCs w:val="20"/>
          <w:color w:val="auto"/>
        </w:rPr>
      </w:pPr>
      <w:r>
        <w:rPr>
          <w:rFonts w:ascii="Arial" w:cs="Arial" w:eastAsia="Arial" w:hAnsi="Arial"/>
          <w:sz w:val="14"/>
          <w:szCs w:val="14"/>
          <w:color w:val="auto"/>
        </w:rPr>
        <w:t>Use any touch-tone telephone to transmit your voting instructions until the applicable cut-off date and time above. Have your proxy card in hand when you call and then follow the instructions.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 so that it is received by the applicable date and time above.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MEETING ADVANCE REGISTRATION</w:t>
      </w:r>
    </w:p>
    <w:p>
      <w:pPr>
        <w:spacing w:after="0" w:line="100" w:lineRule="exact"/>
        <w:rPr>
          <w:sz w:val="20"/>
          <w:szCs w:val="20"/>
          <w:color w:val="auto"/>
        </w:rPr>
      </w:pPr>
    </w:p>
    <w:p>
      <w:pPr>
        <w:ind w:right="140"/>
        <w:spacing w:after="0" w:line="234" w:lineRule="auto"/>
        <w:rPr>
          <w:sz w:val="20"/>
          <w:szCs w:val="20"/>
          <w:color w:val="auto"/>
        </w:rPr>
      </w:pPr>
      <w:r>
        <w:rPr>
          <w:rFonts w:ascii="Arial" w:cs="Arial" w:eastAsia="Arial" w:hAnsi="Arial"/>
          <w:sz w:val="14"/>
          <w:szCs w:val="14"/>
          <w:color w:val="auto"/>
        </w:rPr>
        <w:t>You must register and print your advance registration form by 11:59 p.m. April 25, 2018 at the stockholder meeting registration site: www.proxyvote.com. If you are unable to print your advance registration form, please call Stockholder Meeting Registration Phone Support (Toll Free) 1-844-318-0137 or (International Toll Call) 1-925-331-6070.</w:t>
      </w:r>
    </w:p>
    <w:p>
      <w:pPr>
        <w:spacing w:after="0" w:line="20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800" w:val="left"/>
        </w:tabs>
        <w:rPr>
          <w:sz w:val="20"/>
          <w:szCs w:val="20"/>
          <w:color w:val="auto"/>
        </w:rPr>
      </w:pPr>
      <w:r>
        <w:rPr>
          <w:rFonts w:ascii="Arial" w:cs="Arial" w:eastAsia="Arial" w:hAnsi="Arial"/>
          <w:sz w:val="14"/>
          <w:szCs w:val="14"/>
          <w:color w:val="auto"/>
        </w:rPr>
        <w:t>E37573-P02076</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72720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66"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5985" cy="37985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5985" cy="3798570"/>
                    </a:xfrm>
                    <a:prstGeom prst="rect">
                      <a:avLst/>
                    </a:prstGeom>
                    <a:noFill/>
                  </pic:spPr>
                </pic:pic>
              </a:graphicData>
            </a:graphic>
          </wp:anchor>
        </w:drawing>
      </w:r>
    </w:p>
    <w:p>
      <w:pPr>
        <w:spacing w:after="0" w:line="8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TEXAS INSTRUMENTS INCORPORATED</w:t>
      </w:r>
    </w:p>
    <w:p>
      <w:pPr>
        <w:sectPr>
          <w:pgSz w:w="11900" w:h="16838" w:orient="portrait"/>
          <w:cols w:equalWidth="0" w:num="1">
            <w:col w:w="11420"/>
          </w:cols>
          <w:pgMar w:left="240" w:top="459" w:right="239" w:bottom="1440" w:gutter="0" w:footer="0" w:header="0"/>
          <w:type w:val="continuous"/>
        </w:sectPr>
      </w:pPr>
    </w:p>
    <w:p>
      <w:pPr>
        <w:spacing w:after="0" w:line="82" w:lineRule="exact"/>
        <w:rPr>
          <w:sz w:val="20"/>
          <w:szCs w:val="20"/>
          <w:color w:val="auto"/>
        </w:rPr>
      </w:pPr>
    </w:p>
    <w:p>
      <w:pPr>
        <w:ind w:left="280" w:right="1740"/>
        <w:spacing w:after="0" w:line="297" w:lineRule="auto"/>
        <w:rPr>
          <w:sz w:val="20"/>
          <w:szCs w:val="20"/>
          <w:color w:val="auto"/>
        </w:rPr>
      </w:pPr>
      <w:r>
        <w:rPr>
          <w:rFonts w:ascii="Arial" w:cs="Arial" w:eastAsia="Arial" w:hAnsi="Arial"/>
          <w:sz w:val="13"/>
          <w:szCs w:val="13"/>
          <w:color w:val="auto"/>
        </w:rPr>
        <w:t xml:space="preserve">The Board of Directors recommends you vote </w:t>
      </w:r>
      <w:r>
        <w:rPr>
          <w:rFonts w:ascii="Arial" w:cs="Arial" w:eastAsia="Arial" w:hAnsi="Arial"/>
          <w:sz w:val="13"/>
          <w:szCs w:val="13"/>
          <w:b w:val="1"/>
          <w:bCs w:val="1"/>
          <w:color w:val="auto"/>
        </w:rPr>
        <w:t>FOR</w:t>
      </w:r>
      <w:r>
        <w:rPr>
          <w:rFonts w:ascii="Arial" w:cs="Arial" w:eastAsia="Arial" w:hAnsi="Arial"/>
          <w:sz w:val="13"/>
          <w:szCs w:val="13"/>
          <w:color w:val="auto"/>
        </w:rPr>
        <w:t xml:space="preserve"> each of the nominees for Director and </w:t>
      </w:r>
      <w:r>
        <w:rPr>
          <w:rFonts w:ascii="Arial" w:cs="Arial" w:eastAsia="Arial" w:hAnsi="Arial"/>
          <w:sz w:val="13"/>
          <w:szCs w:val="13"/>
          <w:b w:val="1"/>
          <w:bCs w:val="1"/>
          <w:color w:val="auto"/>
        </w:rPr>
        <w:t>FOR</w:t>
      </w:r>
      <w:r>
        <w:rPr>
          <w:rFonts w:ascii="Arial" w:cs="Arial" w:eastAsia="Arial" w:hAnsi="Arial"/>
          <w:sz w:val="13"/>
          <w:szCs w:val="13"/>
          <w:color w:val="auto"/>
        </w:rPr>
        <w:t xml:space="preserve"> Proposals 2 through 4.</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Vote on Directors</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252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57"/>
        </w:trPr>
        <w:tc>
          <w:tcPr>
            <w:tcW w:w="25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Nominees:</w:t>
            </w:r>
          </w:p>
        </w:tc>
        <w:tc>
          <w:tcPr>
            <w:tcW w:w="1460" w:type="dxa"/>
            <w:vAlign w:val="bottom"/>
          </w:tcPr>
          <w:p>
            <w:pPr>
              <w:jc w:val="center"/>
              <w:ind w:left="968"/>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46"/>
        </w:trPr>
        <w:tc>
          <w:tcPr>
            <w:tcW w:w="2520" w:type="dxa"/>
            <w:vAlign w:val="bottom"/>
            <w:gridSpan w:val="2"/>
          </w:tcPr>
          <w:p>
            <w:pPr>
              <w:ind w:left="180"/>
              <w:spacing w:after="0"/>
              <w:rPr>
                <w:sz w:val="20"/>
                <w:szCs w:val="20"/>
                <w:color w:val="auto"/>
              </w:rPr>
            </w:pPr>
            <w:r>
              <w:rPr>
                <w:rFonts w:ascii="Arial" w:cs="Arial" w:eastAsia="Arial" w:hAnsi="Arial"/>
                <w:sz w:val="14"/>
                <w:szCs w:val="14"/>
                <w:color w:val="auto"/>
              </w:rPr>
              <w:t>1a.  R. W. Babb, Jr.</w:t>
            </w:r>
          </w:p>
        </w:tc>
        <w:tc>
          <w:tcPr>
            <w:tcW w:w="1460" w:type="dxa"/>
            <w:vAlign w:val="bottom"/>
          </w:tcPr>
          <w:p>
            <w:pPr>
              <w:jc w:val="center"/>
              <w:ind w:left="9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1b.</w:t>
            </w:r>
          </w:p>
        </w:tc>
        <w:tc>
          <w:tcPr>
            <w:tcW w:w="2100" w:type="dxa"/>
            <w:vAlign w:val="bottom"/>
          </w:tcPr>
          <w:p>
            <w:pPr>
              <w:ind w:left="40"/>
              <w:spacing w:after="0"/>
              <w:rPr>
                <w:sz w:val="20"/>
                <w:szCs w:val="20"/>
                <w:color w:val="auto"/>
              </w:rPr>
            </w:pPr>
            <w:r>
              <w:rPr>
                <w:rFonts w:ascii="Arial" w:cs="Arial" w:eastAsia="Arial" w:hAnsi="Arial"/>
                <w:sz w:val="14"/>
                <w:szCs w:val="14"/>
                <w:color w:val="auto"/>
              </w:rPr>
              <w:t>M. A. Blinn</w:t>
            </w:r>
          </w:p>
        </w:tc>
        <w:tc>
          <w:tcPr>
            <w:tcW w:w="1460" w:type="dxa"/>
            <w:vAlign w:val="bottom"/>
          </w:tcPr>
          <w:p>
            <w:pPr>
              <w:jc w:val="center"/>
              <w:ind w:left="9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1c.</w:t>
            </w:r>
          </w:p>
        </w:tc>
        <w:tc>
          <w:tcPr>
            <w:tcW w:w="2100" w:type="dxa"/>
            <w:vAlign w:val="bottom"/>
          </w:tcPr>
          <w:p>
            <w:pPr>
              <w:ind w:left="40"/>
              <w:spacing w:after="0"/>
              <w:rPr>
                <w:sz w:val="20"/>
                <w:szCs w:val="20"/>
                <w:color w:val="auto"/>
              </w:rPr>
            </w:pPr>
            <w:r>
              <w:rPr>
                <w:rFonts w:ascii="Arial" w:cs="Arial" w:eastAsia="Arial" w:hAnsi="Arial"/>
                <w:sz w:val="14"/>
                <w:szCs w:val="14"/>
                <w:color w:val="auto"/>
              </w:rPr>
              <w:t>T. M. Bluedorn</w:t>
            </w:r>
          </w:p>
        </w:tc>
        <w:tc>
          <w:tcPr>
            <w:tcW w:w="1460" w:type="dxa"/>
            <w:vAlign w:val="bottom"/>
          </w:tcPr>
          <w:p>
            <w:pPr>
              <w:jc w:val="center"/>
              <w:ind w:left="9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1d.</w:t>
            </w:r>
          </w:p>
        </w:tc>
        <w:tc>
          <w:tcPr>
            <w:tcW w:w="2100" w:type="dxa"/>
            <w:vAlign w:val="bottom"/>
          </w:tcPr>
          <w:p>
            <w:pPr>
              <w:ind w:left="40"/>
              <w:spacing w:after="0"/>
              <w:rPr>
                <w:sz w:val="20"/>
                <w:szCs w:val="20"/>
                <w:color w:val="auto"/>
              </w:rPr>
            </w:pPr>
            <w:r>
              <w:rPr>
                <w:rFonts w:ascii="Arial" w:cs="Arial" w:eastAsia="Arial" w:hAnsi="Arial"/>
                <w:sz w:val="14"/>
                <w:szCs w:val="14"/>
                <w:color w:val="auto"/>
              </w:rPr>
              <w:t>D. A. Carp</w:t>
            </w:r>
          </w:p>
        </w:tc>
        <w:tc>
          <w:tcPr>
            <w:tcW w:w="1460" w:type="dxa"/>
            <w:vAlign w:val="bottom"/>
          </w:tcPr>
          <w:p>
            <w:pPr>
              <w:jc w:val="center"/>
              <w:ind w:left="9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1e.</w:t>
            </w:r>
          </w:p>
        </w:tc>
        <w:tc>
          <w:tcPr>
            <w:tcW w:w="2100" w:type="dxa"/>
            <w:vAlign w:val="bottom"/>
          </w:tcPr>
          <w:p>
            <w:pPr>
              <w:ind w:left="40"/>
              <w:spacing w:after="0"/>
              <w:rPr>
                <w:sz w:val="20"/>
                <w:szCs w:val="20"/>
                <w:color w:val="auto"/>
              </w:rPr>
            </w:pPr>
            <w:r>
              <w:rPr>
                <w:rFonts w:ascii="Arial" w:cs="Arial" w:eastAsia="Arial" w:hAnsi="Arial"/>
                <w:sz w:val="14"/>
                <w:szCs w:val="14"/>
                <w:color w:val="auto"/>
              </w:rPr>
              <w:t>J. F. Clark</w:t>
            </w:r>
          </w:p>
        </w:tc>
        <w:tc>
          <w:tcPr>
            <w:tcW w:w="1460" w:type="dxa"/>
            <w:vAlign w:val="bottom"/>
          </w:tcPr>
          <w:p>
            <w:pPr>
              <w:jc w:val="center"/>
              <w:ind w:left="9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1f.</w:t>
            </w:r>
          </w:p>
        </w:tc>
        <w:tc>
          <w:tcPr>
            <w:tcW w:w="2100" w:type="dxa"/>
            <w:vAlign w:val="bottom"/>
          </w:tcPr>
          <w:p>
            <w:pPr>
              <w:ind w:left="40"/>
              <w:spacing w:after="0"/>
              <w:rPr>
                <w:sz w:val="20"/>
                <w:szCs w:val="20"/>
                <w:color w:val="auto"/>
              </w:rPr>
            </w:pPr>
            <w:r>
              <w:rPr>
                <w:rFonts w:ascii="Arial" w:cs="Arial" w:eastAsia="Arial" w:hAnsi="Arial"/>
                <w:sz w:val="14"/>
                <w:szCs w:val="14"/>
                <w:color w:val="auto"/>
              </w:rPr>
              <w:t>C. S. Cox</w:t>
            </w:r>
          </w:p>
        </w:tc>
        <w:tc>
          <w:tcPr>
            <w:tcW w:w="1460" w:type="dxa"/>
            <w:vAlign w:val="bottom"/>
          </w:tcPr>
          <w:p>
            <w:pPr>
              <w:jc w:val="center"/>
              <w:ind w:left="9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1g.</w:t>
            </w:r>
          </w:p>
        </w:tc>
        <w:tc>
          <w:tcPr>
            <w:tcW w:w="2100" w:type="dxa"/>
            <w:vAlign w:val="bottom"/>
          </w:tcPr>
          <w:p>
            <w:pPr>
              <w:ind w:left="40"/>
              <w:spacing w:after="0"/>
              <w:rPr>
                <w:sz w:val="20"/>
                <w:szCs w:val="20"/>
                <w:color w:val="auto"/>
              </w:rPr>
            </w:pPr>
            <w:r>
              <w:rPr>
                <w:rFonts w:ascii="Arial" w:cs="Arial" w:eastAsia="Arial" w:hAnsi="Arial"/>
                <w:sz w:val="14"/>
                <w:szCs w:val="14"/>
                <w:color w:val="auto"/>
              </w:rPr>
              <w:t>B. T. Crutcher</w:t>
            </w:r>
          </w:p>
        </w:tc>
        <w:tc>
          <w:tcPr>
            <w:tcW w:w="1460" w:type="dxa"/>
            <w:vAlign w:val="bottom"/>
          </w:tcPr>
          <w:p>
            <w:pPr>
              <w:jc w:val="center"/>
              <w:ind w:left="9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1h.</w:t>
            </w:r>
          </w:p>
        </w:tc>
        <w:tc>
          <w:tcPr>
            <w:tcW w:w="2100" w:type="dxa"/>
            <w:vAlign w:val="bottom"/>
          </w:tcPr>
          <w:p>
            <w:pPr>
              <w:ind w:left="40"/>
              <w:spacing w:after="0"/>
              <w:rPr>
                <w:sz w:val="20"/>
                <w:szCs w:val="20"/>
                <w:color w:val="auto"/>
              </w:rPr>
            </w:pPr>
            <w:r>
              <w:rPr>
                <w:rFonts w:ascii="Arial" w:cs="Arial" w:eastAsia="Arial" w:hAnsi="Arial"/>
                <w:sz w:val="14"/>
                <w:szCs w:val="14"/>
                <w:color w:val="auto"/>
              </w:rPr>
              <w:t>J. M. Hobby</w:t>
            </w:r>
          </w:p>
        </w:tc>
        <w:tc>
          <w:tcPr>
            <w:tcW w:w="1460" w:type="dxa"/>
            <w:vAlign w:val="bottom"/>
          </w:tcPr>
          <w:p>
            <w:pPr>
              <w:jc w:val="center"/>
              <w:ind w:left="9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1i.</w:t>
            </w:r>
          </w:p>
        </w:tc>
        <w:tc>
          <w:tcPr>
            <w:tcW w:w="2100" w:type="dxa"/>
            <w:vAlign w:val="bottom"/>
          </w:tcPr>
          <w:p>
            <w:pPr>
              <w:ind w:left="40"/>
              <w:spacing w:after="0"/>
              <w:rPr>
                <w:sz w:val="20"/>
                <w:szCs w:val="20"/>
                <w:color w:val="auto"/>
              </w:rPr>
            </w:pPr>
            <w:r>
              <w:rPr>
                <w:rFonts w:ascii="Arial" w:cs="Arial" w:eastAsia="Arial" w:hAnsi="Arial"/>
                <w:sz w:val="14"/>
                <w:szCs w:val="14"/>
                <w:color w:val="auto"/>
              </w:rPr>
              <w:t>R. Kirk</w:t>
            </w:r>
          </w:p>
        </w:tc>
        <w:tc>
          <w:tcPr>
            <w:tcW w:w="1460" w:type="dxa"/>
            <w:vAlign w:val="bottom"/>
          </w:tcPr>
          <w:p>
            <w:pPr>
              <w:jc w:val="center"/>
              <w:ind w:left="9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1j.</w:t>
            </w:r>
          </w:p>
        </w:tc>
        <w:tc>
          <w:tcPr>
            <w:tcW w:w="2100" w:type="dxa"/>
            <w:vAlign w:val="bottom"/>
          </w:tcPr>
          <w:p>
            <w:pPr>
              <w:ind w:left="40"/>
              <w:spacing w:after="0"/>
              <w:rPr>
                <w:sz w:val="20"/>
                <w:szCs w:val="20"/>
                <w:color w:val="auto"/>
              </w:rPr>
            </w:pPr>
            <w:r>
              <w:rPr>
                <w:rFonts w:ascii="Arial" w:cs="Arial" w:eastAsia="Arial" w:hAnsi="Arial"/>
                <w:sz w:val="14"/>
                <w:szCs w:val="14"/>
                <w:color w:val="auto"/>
              </w:rPr>
              <w:t>P. H. Patsley</w:t>
            </w:r>
          </w:p>
        </w:tc>
        <w:tc>
          <w:tcPr>
            <w:tcW w:w="1460" w:type="dxa"/>
            <w:vAlign w:val="bottom"/>
          </w:tcPr>
          <w:p>
            <w:pPr>
              <w:jc w:val="center"/>
              <w:ind w:left="9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80" w:type="dxa"/>
            <w:vAlign w:val="bottom"/>
          </w:tcPr>
          <w:p>
            <w:pPr>
              <w:spacing w:after="0"/>
              <w:rPr>
                <w:sz w:val="16"/>
                <w:szCs w:val="16"/>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color w:val="auto"/>
              </w:rPr>
              <w:t>1k.</w:t>
            </w:r>
          </w:p>
        </w:tc>
        <w:tc>
          <w:tcPr>
            <w:tcW w:w="3440" w:type="dxa"/>
            <w:vAlign w:val="bottom"/>
            <w:vMerge w:val="restart"/>
          </w:tcPr>
          <w:p>
            <w:pPr>
              <w:ind w:left="60"/>
              <w:spacing w:after="0"/>
              <w:rPr>
                <w:sz w:val="20"/>
                <w:szCs w:val="20"/>
                <w:color w:val="auto"/>
              </w:rPr>
            </w:pPr>
            <w:r>
              <w:rPr>
                <w:rFonts w:ascii="Arial" w:cs="Arial" w:eastAsia="Arial" w:hAnsi="Arial"/>
                <w:sz w:val="14"/>
                <w:szCs w:val="14"/>
                <w:color w:val="auto"/>
              </w:rPr>
              <w:t>R. E. Sanchez</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3440" w:type="dxa"/>
            <w:vAlign w:val="bottom"/>
            <w:vMerge w:val="continue"/>
          </w:tcPr>
          <w:p>
            <w:pPr>
              <w:spacing w:after="0"/>
              <w:rPr>
                <w:sz w:val="17"/>
                <w:szCs w:val="17"/>
                <w:color w:val="auto"/>
              </w:rPr>
            </w:pP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1l.</w:t>
            </w:r>
          </w:p>
        </w:tc>
        <w:tc>
          <w:tcPr>
            <w:tcW w:w="3440" w:type="dxa"/>
            <w:vAlign w:val="bottom"/>
          </w:tcPr>
          <w:p>
            <w:pPr>
              <w:ind w:left="60"/>
              <w:spacing w:after="0"/>
              <w:rPr>
                <w:sz w:val="20"/>
                <w:szCs w:val="20"/>
                <w:color w:val="auto"/>
              </w:rPr>
            </w:pPr>
            <w:r>
              <w:rPr>
                <w:rFonts w:ascii="Arial" w:cs="Arial" w:eastAsia="Arial" w:hAnsi="Arial"/>
                <w:sz w:val="14"/>
                <w:szCs w:val="14"/>
                <w:color w:val="auto"/>
              </w:rPr>
              <w:t>R. K. Templeton</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2.</w:t>
            </w: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w w:val="94"/>
              </w:rPr>
              <w:t>Board proposal regarding advisory approval of the Company’s</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rPr>
              <w:t>executive compensation.</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3.</w:t>
            </w: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rPr>
              <w:t>Board proposal to approve the Texas Instruments 2018</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rPr>
              <w:t>Director Compensation Plan.</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4.</w:t>
            </w: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rPr>
              <w:t>Board proposal to ratify the appointment of Ernst &amp; Young</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2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37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LLP as the Company’s independent registered public</w:t>
            </w: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80"/>
        <w:spacing w:after="0"/>
        <w:rPr>
          <w:sz w:val="20"/>
          <w:szCs w:val="20"/>
          <w:color w:val="auto"/>
        </w:rPr>
      </w:pPr>
      <w:r>
        <w:rPr>
          <w:rFonts w:ascii="Arial" w:cs="Arial" w:eastAsia="Arial" w:hAnsi="Arial"/>
          <w:sz w:val="14"/>
          <w:szCs w:val="14"/>
          <w:color w:val="auto"/>
        </w:rPr>
        <w:t>accounting firm for 2018.</w:t>
      </w:r>
    </w:p>
    <w:p>
      <w:pPr>
        <w:spacing w:after="0" w:line="188" w:lineRule="exact"/>
        <w:rPr>
          <w:sz w:val="20"/>
          <w:szCs w:val="20"/>
          <w:color w:val="auto"/>
        </w:rPr>
      </w:pPr>
    </w:p>
    <w:p>
      <w:pPr>
        <w:ind w:right="2040"/>
        <w:spacing w:after="0" w:line="259" w:lineRule="auto"/>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 Such other business as may properly come before the</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or any adjournment thereof.</w:t>
      </w:r>
    </w:p>
    <w:p>
      <w:pPr>
        <w:spacing w:after="0" w:line="230" w:lineRule="exact"/>
        <w:rPr>
          <w:sz w:val="20"/>
          <w:szCs w:val="20"/>
          <w:color w:val="auto"/>
        </w:rPr>
      </w:pPr>
    </w:p>
    <w:p>
      <w:pPr>
        <w:sectPr>
          <w:pgSz w:w="11900" w:h="16838" w:orient="portrait"/>
          <w:cols w:equalWidth="0" w:num="2">
            <w:col w:w="5460" w:space="380"/>
            <w:col w:w="5580"/>
          </w:cols>
          <w:pgMar w:left="240" w:top="459" w:right="239" w:bottom="1440" w:gutter="0" w:footer="0" w:header="0"/>
          <w:type w:val="continuous"/>
        </w:sectPr>
      </w:pPr>
    </w:p>
    <w:p>
      <w:pPr>
        <w:spacing w:after="0" w:line="209" w:lineRule="exact"/>
        <w:rPr>
          <w:sz w:val="20"/>
          <w:szCs w:val="20"/>
          <w:color w:val="auto"/>
        </w:rPr>
      </w:pPr>
    </w:p>
    <w:p>
      <w:pPr>
        <w:ind w:left="380" w:right="1980"/>
        <w:spacing w:after="0" w:line="238"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320"/>
        <w:spacing w:after="0"/>
        <w:tabs>
          <w:tab w:leader="none" w:pos="3280" w:val="left"/>
          <w:tab w:leader="none" w:pos="5820" w:val="left"/>
          <w:tab w:leader="none" w:pos="94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29"/>
          <w:szCs w:val="29"/>
          <w:color w:val="auto"/>
          <w:vertAlign w:val="subscript"/>
        </w:rPr>
        <w:t>Date</w:t>
      </w:r>
      <w:r>
        <w:rPr>
          <w:sz w:val="20"/>
          <w:szCs w:val="20"/>
          <w:color w:val="auto"/>
        </w:rPr>
        <w:tab/>
      </w:r>
      <w:r>
        <w:rPr>
          <w:rFonts w:ascii="Arial" w:cs="Arial" w:eastAsia="Arial" w:hAnsi="Arial"/>
          <w:sz w:val="14"/>
          <w:szCs w:val="14"/>
          <w:color w:val="auto"/>
        </w:rPr>
        <w:t>Signature(Joint Owners)</w:t>
      </w:r>
      <w:r>
        <w:rPr>
          <w:sz w:val="20"/>
          <w:szCs w:val="20"/>
          <w:color w:val="auto"/>
        </w:rPr>
        <w:tab/>
      </w:r>
      <w:r>
        <w:rPr>
          <w:rFonts w:ascii="Arial" w:cs="Arial" w:eastAsia="Arial" w:hAnsi="Arial"/>
          <w:sz w:val="17"/>
          <w:szCs w:val="17"/>
          <w:color w:val="auto"/>
          <w:vertAlign w:val="subscript"/>
        </w:rPr>
        <w:t>Date</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205740</wp:posOffset>
            </wp:positionV>
            <wp:extent cx="1311910" cy="445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119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26, 2018</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You are invited to attend the 2018 annual meeting of stockholders on Thursday, April 26, 2018, in the auditorium on our property at 12500 TI Boulevard, Dallas, Texas, at 8:30 a.m. (Central time). At the meeting we will consider the election of directors, advisory approval of the Company’s executive compensation, approval of the Texas Instruments 2018 Director Compensation Plan, ratification of the appointment of Ernst &amp; Young LLP as the Company’s independent registered public accounting firm for 2018, and such other matters as may properly come before the meeting.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Electronic Delivery of Proxy Materials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2018 Notice and Proxy Statement and 2017 Annual Report are also available at www.proxyvote.com.</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E37574-P02076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3329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332930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APRIL 26,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ind w:left="240" w:right="260"/>
        <w:spacing w:after="0" w:line="255" w:lineRule="auto"/>
        <w:rPr>
          <w:sz w:val="20"/>
          <w:szCs w:val="20"/>
          <w:color w:val="auto"/>
        </w:rPr>
      </w:pPr>
      <w:r>
        <w:rPr>
          <w:rFonts w:ascii="Arial" w:cs="Arial" w:eastAsia="Arial" w:hAnsi="Arial"/>
          <w:sz w:val="18"/>
          <w:szCs w:val="18"/>
          <w:color w:val="auto"/>
        </w:rPr>
        <w:t xml:space="preserve">The undersigned hereby appoints MARK A. BLINN, ROBERT E. SANCHEZ, RICHARD K. TEMPLETON, or any one or more of them, the true and lawful attorneys of the undersigned with power of substitution, to vote as proxies for the undersigned at the annual meeting of stockholders of Texas Instruments Incorporated to be held in Dallas, Texas, on April 26, 2018, at 8:30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8"/>
          <w:szCs w:val="18"/>
          <w:b w:val="1"/>
          <w:bCs w:val="1"/>
          <w:color w:val="auto"/>
        </w:rPr>
        <w:t>If no contrary indication is made, this proxy will be voted FOR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election of each director nominee and FOR Proposals 2 through 4. </w:t>
      </w:r>
      <w:r>
        <w:rPr>
          <w:rFonts w:ascii="Arial" w:cs="Arial" w:eastAsia="Arial" w:hAnsi="Arial"/>
          <w:sz w:val="18"/>
          <w:szCs w:val="18"/>
          <w:color w:val="auto"/>
        </w:rPr>
        <w:t>If other matters come before the meeting, this proxy will be voted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named proxies.</w:t>
      </w:r>
    </w:p>
    <w:p>
      <w:pPr>
        <w:spacing w:after="0" w:line="189" w:lineRule="exact"/>
        <w:rPr>
          <w:sz w:val="20"/>
          <w:szCs w:val="20"/>
          <w:color w:val="auto"/>
        </w:rPr>
      </w:pPr>
    </w:p>
    <w:p>
      <w:pPr>
        <w:ind w:left="240" w:right="140"/>
        <w:spacing w:after="0" w:line="291" w:lineRule="auto"/>
        <w:rPr>
          <w:sz w:val="20"/>
          <w:szCs w:val="20"/>
          <w:color w:val="auto"/>
        </w:rPr>
      </w:pPr>
      <w:r>
        <w:rPr>
          <w:rFonts w:ascii="Arial" w:cs="Arial" w:eastAsia="Arial" w:hAnsi="Arial"/>
          <w:sz w:val="16"/>
          <w:szCs w:val="16"/>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23, 2018,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consider voting by Internet or telephone.</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TEXAS INSTRUMENTS INCORPORATED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2018 Annual Meeting</w:t>
      </w:r>
    </w:p>
    <w:tbl>
      <w:tblPr>
        <w:tblLayout w:type="fixed"/>
        <w:tblInd w:w="460" w:type="dxa"/>
        <w:tblCellMar>
          <w:top w:w="0" w:type="dxa"/>
          <w:left w:w="0" w:type="dxa"/>
          <w:bottom w:w="0" w:type="dxa"/>
          <w:right w:w="0" w:type="dxa"/>
        </w:tblCellMar>
      </w:tblPr>
      <w:tr>
        <w:trPr>
          <w:trHeight w:val="217"/>
        </w:trPr>
        <w:tc>
          <w:tcPr>
            <w:tcW w:w="8020" w:type="dxa"/>
            <w:vAlign w:val="bottom"/>
          </w:tcPr>
          <w:p>
            <w:pPr>
              <w:ind w:left="4420"/>
              <w:spacing w:after="0"/>
              <w:rPr>
                <w:sz w:val="20"/>
                <w:szCs w:val="20"/>
                <w:color w:val="auto"/>
              </w:rPr>
            </w:pPr>
            <w:r>
              <w:rPr>
                <w:rFonts w:ascii="Arial" w:cs="Arial" w:eastAsia="Arial" w:hAnsi="Arial"/>
                <w:sz w:val="18"/>
                <w:szCs w:val="18"/>
                <w:color w:val="auto"/>
              </w:rPr>
              <w:t>April 26, 2018</w:t>
            </w:r>
          </w:p>
        </w:tc>
        <w:tc>
          <w:tcPr>
            <w:tcW w:w="2480" w:type="dxa"/>
            <w:vAlign w:val="bottom"/>
          </w:tcPr>
          <w:p>
            <w:pPr>
              <w:spacing w:after="0"/>
              <w:rPr>
                <w:sz w:val="18"/>
                <w:szCs w:val="18"/>
                <w:color w:val="auto"/>
              </w:rPr>
            </w:pPr>
          </w:p>
        </w:tc>
      </w:tr>
      <w:tr>
        <w:trPr>
          <w:trHeight w:val="419"/>
        </w:trPr>
        <w:tc>
          <w:tcPr>
            <w:tcW w:w="8020" w:type="dxa"/>
            <w:vAlign w:val="bottom"/>
          </w:tcPr>
          <w:p>
            <w:pPr>
              <w:ind w:left="3060"/>
              <w:spacing w:after="0"/>
              <w:rPr>
                <w:sz w:val="20"/>
                <w:szCs w:val="20"/>
                <w:color w:val="auto"/>
              </w:rPr>
            </w:pPr>
            <w:r>
              <w:rPr>
                <w:rFonts w:ascii="Arial" w:cs="Arial" w:eastAsia="Arial" w:hAnsi="Arial"/>
                <w:sz w:val="18"/>
                <w:szCs w:val="18"/>
                <w:color w:val="auto"/>
              </w:rPr>
              <w:t>Important proxy voting material is ready for your action.</w:t>
            </w:r>
          </w:p>
        </w:tc>
        <w:tc>
          <w:tcPr>
            <w:tcW w:w="2480" w:type="dxa"/>
            <w:vAlign w:val="bottom"/>
          </w:tcPr>
          <w:p>
            <w:pPr>
              <w:spacing w:after="0"/>
              <w:rPr>
                <w:sz w:val="24"/>
                <w:szCs w:val="24"/>
                <w:color w:val="auto"/>
              </w:rPr>
            </w:pPr>
          </w:p>
        </w:tc>
      </w:tr>
      <w:tr>
        <w:trPr>
          <w:trHeight w:val="431"/>
        </w:trPr>
        <w:tc>
          <w:tcPr>
            <w:tcW w:w="8020" w:type="dxa"/>
            <w:vAlign w:val="bottom"/>
          </w:tcPr>
          <w:p>
            <w:pPr>
              <w:spacing w:after="0"/>
              <w:rPr>
                <w:sz w:val="20"/>
                <w:szCs w:val="20"/>
                <w:color w:val="auto"/>
              </w:rPr>
            </w:pPr>
            <w:r>
              <w:rPr>
                <w:rFonts w:ascii="Arial" w:cs="Arial" w:eastAsia="Arial" w:hAnsi="Arial"/>
                <w:sz w:val="18"/>
                <w:szCs w:val="18"/>
                <w:color w:val="auto"/>
              </w:rPr>
              <w:t>This email represents the following share(s):</w:t>
            </w:r>
          </w:p>
        </w:tc>
        <w:tc>
          <w:tcPr>
            <w:tcW w:w="2480" w:type="dxa"/>
            <w:vAlign w:val="bottom"/>
          </w:tcPr>
          <w:p>
            <w:pPr>
              <w:spacing w:after="0"/>
              <w:rPr>
                <w:sz w:val="24"/>
                <w:szCs w:val="24"/>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TEXAS INSTRUMENTS INC. COMMON</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123,456,789,012.00000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TEXAS INSTRUMENTS INC. 401K SAVINGS</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123,456,789,012.00000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TEXAS INSTRUMENTS INC. 401K SAVINGS</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123,456,789,012.00000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TEXAS INSTRUMENTS INC. 401K</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123,456,789,012.00000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TEXAS INSTRUMENTS INCORPORATED - 401K</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123,456,789,012.00000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TEXAS INSTRUMENTS INCORPORATED - 401K</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123,456,789,012.00000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EMAIL MATCHING FILE</w:t>
            </w:r>
          </w:p>
        </w:tc>
        <w:tc>
          <w:tcPr>
            <w:tcW w:w="2480" w:type="dxa"/>
            <w:vAlign w:val="bottom"/>
          </w:tcPr>
          <w:p>
            <w:pPr>
              <w:jc w:val="right"/>
              <w:spacing w:after="0" w:line="202" w:lineRule="exact"/>
              <w:rPr>
                <w:sz w:val="20"/>
                <w:szCs w:val="20"/>
                <w:color w:val="auto"/>
              </w:rPr>
            </w:pPr>
            <w:r>
              <w:rPr>
                <w:rFonts w:ascii="Arial" w:cs="Arial" w:eastAsia="Arial" w:hAnsi="Arial"/>
                <w:sz w:val="18"/>
                <w:szCs w:val="18"/>
                <w:color w:val="auto"/>
              </w:rPr>
              <w:t>123,456,789,012.00000</w:t>
            </w:r>
          </w:p>
        </w:tc>
      </w:tr>
      <w:tr>
        <w:trPr>
          <w:trHeight w:val="217"/>
        </w:trPr>
        <w:tc>
          <w:tcPr>
            <w:tcW w:w="8020" w:type="dxa"/>
            <w:vAlign w:val="bottom"/>
          </w:tcPr>
          <w:p>
            <w:pPr>
              <w:spacing w:after="0"/>
              <w:rPr>
                <w:sz w:val="20"/>
                <w:szCs w:val="20"/>
                <w:color w:val="auto"/>
              </w:rPr>
            </w:pPr>
            <w:r>
              <w:rPr>
                <w:rFonts w:ascii="Arial" w:cs="Arial" w:eastAsia="Arial" w:hAnsi="Arial"/>
                <w:sz w:val="18"/>
                <w:szCs w:val="18"/>
                <w:color w:val="auto"/>
              </w:rPr>
              <w:t>TEXAS INSTRUMENTS INC. COMMON</w:t>
            </w:r>
          </w:p>
        </w:tc>
        <w:tc>
          <w:tcPr>
            <w:tcW w:w="2480" w:type="dxa"/>
            <w:vAlign w:val="bottom"/>
          </w:tcPr>
          <w:p>
            <w:pPr>
              <w:jc w:val="right"/>
              <w:spacing w:after="0"/>
              <w:rPr>
                <w:sz w:val="20"/>
                <w:szCs w:val="20"/>
                <w:color w:val="auto"/>
              </w:rPr>
            </w:pPr>
            <w:r>
              <w:rPr>
                <w:rFonts w:ascii="Arial" w:cs="Arial" w:eastAsia="Arial" w:hAnsi="Arial"/>
                <w:sz w:val="18"/>
                <w:szCs w:val="18"/>
                <w:color w:val="auto"/>
              </w:rPr>
              <w:t>123,456,789,012.00000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Three</w:t>
      </w:r>
    </w:p>
    <w:p>
      <w:pPr>
        <w:spacing w:after="0"/>
        <w:rPr>
          <w:sz w:val="20"/>
          <w:szCs w:val="20"/>
          <w:color w:val="auto"/>
        </w:rPr>
      </w:pPr>
      <w:r>
        <w:rPr>
          <w:rFonts w:ascii="Arial" w:cs="Arial" w:eastAsia="Arial" w:hAnsi="Arial"/>
          <w:sz w:val="18"/>
          <w:szCs w:val="18"/>
          <w:b w:val="1"/>
          <w:bCs w:val="1"/>
          <w:color w:val="auto"/>
        </w:rPr>
        <w:t>Ways to Vote</w:t>
      </w:r>
    </w:p>
    <w:p>
      <w:pPr>
        <w:spacing w:after="0" w:line="217" w:lineRule="exact"/>
        <w:rPr>
          <w:sz w:val="20"/>
          <w:szCs w:val="20"/>
          <w:color w:val="auto"/>
        </w:rPr>
      </w:pPr>
    </w:p>
    <w:tbl>
      <w:tblPr>
        <w:tblLayout w:type="fixed"/>
        <w:tblInd w:w="620" w:type="dxa"/>
        <w:tblCellMar>
          <w:top w:w="0" w:type="dxa"/>
          <w:left w:w="0" w:type="dxa"/>
          <w:bottom w:w="0" w:type="dxa"/>
          <w:right w:w="0" w:type="dxa"/>
        </w:tblCellMar>
      </w:tblPr>
      <w:tr>
        <w:trPr>
          <w:trHeight w:val="23"/>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Now via ProxyVote</w:t>
            </w:r>
          </w:p>
        </w:tc>
        <w:tc>
          <w:tcPr>
            <w:tcW w:w="20" w:type="dxa"/>
            <w:vAlign w:val="bottom"/>
          </w:tcPr>
          <w:p>
            <w:pPr>
              <w:spacing w:after="0" w:line="20" w:lineRule="exact"/>
              <w:rPr>
                <w:sz w:val="1"/>
                <w:szCs w:val="1"/>
                <w:color w:val="auto"/>
              </w:rPr>
            </w:pPr>
          </w:p>
        </w:tc>
        <w:tc>
          <w:tcPr>
            <w:tcW w:w="3400" w:type="dxa"/>
            <w:vAlign w:val="bottom"/>
            <w:vMerge w:val="restart"/>
          </w:tcPr>
          <w:p>
            <w:pPr>
              <w:ind w:left="680"/>
              <w:spacing w:after="0"/>
              <w:rPr>
                <w:sz w:val="20"/>
                <w:szCs w:val="20"/>
                <w:color w:val="auto"/>
              </w:rPr>
            </w:pPr>
            <w:r>
              <w:rPr>
                <w:rFonts w:ascii="Arial" w:cs="Arial" w:eastAsia="Arial" w:hAnsi="Arial"/>
                <w:sz w:val="18"/>
                <w:szCs w:val="18"/>
                <w:color w:val="auto"/>
              </w:rPr>
              <w:t>Vote By</w:t>
            </w:r>
          </w:p>
        </w:tc>
        <w:tc>
          <w:tcPr>
            <w:tcW w:w="0" w:type="dxa"/>
            <w:vAlign w:val="bottom"/>
          </w:tcPr>
          <w:p>
            <w:pPr>
              <w:spacing w:after="0" w:line="20" w:lineRule="exact"/>
              <w:rPr>
                <w:sz w:val="1"/>
                <w:szCs w:val="1"/>
                <w:color w:val="auto"/>
              </w:rPr>
            </w:pPr>
          </w:p>
        </w:tc>
      </w:tr>
      <w:tr>
        <w:trPr>
          <w:trHeight w:val="202"/>
        </w:trPr>
        <w:tc>
          <w:tcPr>
            <w:tcW w:w="446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At the Meeting</w:t>
            </w:r>
          </w:p>
        </w:tc>
        <w:tc>
          <w:tcPr>
            <w:tcW w:w="20" w:type="dxa"/>
            <w:vAlign w:val="bottom"/>
            <w:shd w:val="clear" w:color="auto" w:fill="000000"/>
          </w:tcPr>
          <w:p>
            <w:pPr>
              <w:spacing w:after="0"/>
              <w:rPr>
                <w:sz w:val="17"/>
                <w:szCs w:val="17"/>
                <w:color w:val="auto"/>
              </w:rPr>
            </w:pPr>
          </w:p>
        </w:tc>
        <w:tc>
          <w:tcPr>
            <w:tcW w:w="3400" w:type="dxa"/>
            <w:vAlign w:val="bottom"/>
          </w:tcPr>
          <w:p>
            <w:pPr>
              <w:ind w:left="680"/>
              <w:spacing w:after="0" w:line="202" w:lineRule="exact"/>
              <w:rPr>
                <w:sz w:val="20"/>
                <w:szCs w:val="20"/>
                <w:color w:val="auto"/>
              </w:rPr>
            </w:pPr>
            <w:r>
              <w:rPr>
                <w:rFonts w:ascii="Arial" w:cs="Arial" w:eastAsia="Arial" w:hAnsi="Arial"/>
                <w:sz w:val="18"/>
                <w:szCs w:val="18"/>
                <w:color w:val="auto"/>
              </w:rPr>
              <w:t>April 25, 2018 11:59 P.M. ET</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By Phone</w:t>
            </w:r>
          </w:p>
        </w:tc>
        <w:tc>
          <w:tcPr>
            <w:tcW w:w="20" w:type="dxa"/>
            <w:vAlign w:val="bottom"/>
            <w:shd w:val="clear" w:color="auto" w:fill="000000"/>
          </w:tcPr>
          <w:p>
            <w:pPr>
              <w:spacing w:after="0"/>
              <w:rPr>
                <w:sz w:val="17"/>
                <w:szCs w:val="17"/>
                <w:color w:val="auto"/>
              </w:rPr>
            </w:pPr>
          </w:p>
        </w:tc>
        <w:tc>
          <w:tcPr>
            <w:tcW w:w="3400" w:type="dxa"/>
            <w:vAlign w:val="bottom"/>
          </w:tcPr>
          <w:p>
            <w:pPr>
              <w:ind w:left="680"/>
              <w:spacing w:after="0" w:line="202" w:lineRule="exact"/>
              <w:rPr>
                <w:sz w:val="20"/>
                <w:szCs w:val="20"/>
                <w:color w:val="auto"/>
              </w:rPr>
            </w:pPr>
            <w:r>
              <w:rPr>
                <w:rFonts w:ascii="Arial" w:cs="Arial" w:eastAsia="Arial" w:hAnsi="Arial"/>
                <w:sz w:val="18"/>
                <w:szCs w:val="18"/>
                <w:color w:val="auto"/>
              </w:rPr>
              <w:t>For shares held in a Plan, vote by</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8"/>
                <w:szCs w:val="18"/>
                <w:color w:val="auto"/>
              </w:rPr>
              <w:t>1.800.690.6903</w:t>
            </w:r>
          </w:p>
        </w:tc>
        <w:tc>
          <w:tcPr>
            <w:tcW w:w="20" w:type="dxa"/>
            <w:vAlign w:val="bottom"/>
            <w:shd w:val="clear" w:color="auto" w:fill="000000"/>
          </w:tcPr>
          <w:p>
            <w:pPr>
              <w:spacing w:after="0"/>
              <w:rPr>
                <w:sz w:val="18"/>
                <w:szCs w:val="18"/>
                <w:color w:val="auto"/>
              </w:rPr>
            </w:pPr>
          </w:p>
        </w:tc>
        <w:tc>
          <w:tcPr>
            <w:tcW w:w="3400" w:type="dxa"/>
            <w:vAlign w:val="bottom"/>
          </w:tcPr>
          <w:p>
            <w:pPr>
              <w:ind w:left="680"/>
              <w:spacing w:after="0"/>
              <w:rPr>
                <w:sz w:val="20"/>
                <w:szCs w:val="20"/>
                <w:color w:val="auto"/>
              </w:rPr>
            </w:pPr>
            <w:r>
              <w:rPr>
                <w:rFonts w:ascii="Arial" w:cs="Arial" w:eastAsia="Arial" w:hAnsi="Arial"/>
                <w:sz w:val="18"/>
                <w:szCs w:val="18"/>
                <w:color w:val="auto"/>
              </w:rPr>
              <w:t>April 23, 2018 11:59 P.M. ET</w:t>
            </w: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400" w:type="dxa"/>
            <w:vAlign w:val="bottom"/>
          </w:tcPr>
          <w:p>
            <w:pPr>
              <w:ind w:left="320"/>
              <w:spacing w:after="0"/>
              <w:rPr>
                <w:sz w:val="20"/>
                <w:szCs w:val="20"/>
                <w:color w:val="auto"/>
              </w:rPr>
            </w:pPr>
            <w:r>
              <w:rPr>
                <w:rFonts w:ascii="Arial" w:cs="Arial" w:eastAsia="Arial" w:hAnsi="Arial"/>
                <w:sz w:val="18"/>
                <w:szCs w:val="18"/>
                <w:b w:val="1"/>
                <w:bCs w:val="1"/>
                <w:color w:val="auto"/>
                <w:w w:val="99"/>
              </w:rPr>
              <w:t>Control Number: 0123456789012345</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To attend the Annual Meeting in person, you must request an advance registration form at www.proxyvote.com by April 25, 2018 11:59 P.M. 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Important</w:t>
      </w:r>
    </w:p>
    <w:p>
      <w:pPr>
        <w:spacing w:after="0"/>
        <w:rPr>
          <w:sz w:val="20"/>
          <w:szCs w:val="20"/>
          <w:color w:val="auto"/>
        </w:rPr>
      </w:pPr>
      <w:r>
        <w:rPr>
          <w:rFonts w:ascii="Arial" w:cs="Arial" w:eastAsia="Arial" w:hAnsi="Arial"/>
          <w:sz w:val="18"/>
          <w:szCs w:val="18"/>
          <w:color w:val="auto"/>
        </w:rPr>
        <w:t>Materials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Annual Report and Proxy Statement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holders as of February 26, 2018</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lvl w:ilvl="1">
      <w:lvlJc w:val="left"/>
      <w:lvlText w:val="(%2)"/>
      <w:numFmt w:val="decimal"/>
      <w:start w:val="1"/>
    </w:lvl>
  </w:abstractNum>
  <w:abstractNum w:abstractNumId="5">
    <w:nsid w:val="79A1DEAA"/>
    <w:multiLevelType w:val="hybridMultilevel"/>
    <w:lvl w:ilvl="0">
      <w:lvlJc w:val="left"/>
      <w:lvlText w:val="(%1)"/>
      <w:numFmt w:val="decimal"/>
      <w:start w:val="2"/>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2">
    <w:nsid w:val="741226B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3">
    <w:nsid w:val="D34B6A8"/>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4">
    <w:nsid w:val="10233C99"/>
    <w:multiLevelType w:val="hybridMultilevel"/>
    <w:lvl w:ilvl="0">
      <w:lvlJc w:val="left"/>
      <w:lvlText w:val="%1"/>
      <w:numFmt w:val="upperLetter"/>
      <w:start w:val="1"/>
    </w:lvl>
    <w:lvl w:ilvl="1">
      <w:lvlJc w:val="left"/>
      <w:lvlText w:val="%2."/>
      <w:numFmt w:val="decimal"/>
      <w:start w:val="4"/>
    </w:lvl>
  </w:abstractNum>
  <w:abstractNum w:abstractNumId="25">
    <w:nsid w:val="3F6AB60F"/>
    <w:multiLevelType w:val="hybridMultilevel"/>
    <w:lvl w:ilvl="0">
      <w:lvlJc w:val="left"/>
      <w:lvlText w:val="%1."/>
      <w:numFmt w:val="upperLetter"/>
      <w:start w:val="3"/>
    </w:lvl>
    <w:lvl w:ilvl="1">
      <w:lvlJc w:val="left"/>
      <w:lvlText w:val="%2."/>
      <w:numFmt w:val="decimal"/>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lvl w:ilvl="1">
      <w:lvlJc w:val="left"/>
      <w:lvlText w:val="¡"/>
      <w:numFmt w:val="bullet"/>
      <w:start w:val="1"/>
    </w:lvl>
  </w:abstractNum>
  <w:abstractNum w:abstractNumId="29">
    <w:nsid w:val="579BE4F1"/>
    <w:multiLevelType w:val="hybridMultilevel"/>
    <w:lvl w:ilvl="0">
      <w:lvlJc w:val="left"/>
      <w:lvlText w:val="•"/>
      <w:numFmt w:val="bullet"/>
      <w:start w:val="1"/>
    </w:lvl>
    <w:lvl w:ilvl="1">
      <w:lvlJc w:val="left"/>
      <w:lvlText w:val="¡"/>
      <w:numFmt w:val="bullet"/>
      <w:start w:val="1"/>
    </w:lvl>
  </w:abstractNum>
  <w:abstractNum w:abstractNumId="30">
    <w:nsid w:val="310C50B3"/>
    <w:multiLevelType w:val="hybridMultilevel"/>
    <w:lvl w:ilvl="0">
      <w:lvlJc w:val="left"/>
      <w:lvlText w:val="(%1)"/>
      <w:numFmt w:val="lowerLetter"/>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1)"/>
      <w:numFmt w:val="decimal"/>
      <w:start w:val="1"/>
    </w:lvl>
  </w:abstractNum>
  <w:abstractNum w:abstractNumId="34">
    <w:nsid w:val="1DBABF00"/>
    <w:multiLevelType w:val="hybridMultilevel"/>
    <w:lvl w:ilvl="0">
      <w:lvlJc w:val="left"/>
      <w:lvlText w:val="(%1)"/>
      <w:numFmt w:val="decimal"/>
      <w:start w:val="4"/>
    </w:lvl>
  </w:abstractNum>
  <w:abstractNum w:abstractNumId="35">
    <w:nsid w:val="4AD084E9"/>
    <w:multiLevelType w:val="hybridMultilevel"/>
    <w:lvl w:ilvl="0">
      <w:lvlJc w:val="left"/>
      <w:lvlText w:val="(%1)"/>
      <w:numFmt w:val="decimal"/>
      <w:start w:val="5"/>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lvl w:ilvl="1">
      <w:lvlJc w:val="left"/>
      <w:lvlText w:val="¡"/>
      <w:numFmt w:val="bullet"/>
      <w:start w:val="1"/>
    </w:lvl>
  </w:abstractNum>
  <w:abstractNum w:abstractNumId="38">
    <w:nsid w:val="5DB70AE5"/>
    <w:multiLevelType w:val="hybridMultilevel"/>
    <w:lvl w:ilvl="0">
      <w:lvlJc w:val="left"/>
      <w:lvlText w:val="•"/>
      <w:numFmt w:val="bullet"/>
      <w:start w:val="1"/>
    </w:lvl>
    <w:lvl w:ilvl="1">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decimal"/>
      <w:start w:val="2"/>
    </w:lvl>
  </w:abstractNum>
  <w:abstractNum w:abstractNumId="43">
    <w:nsid w:val="98A3148"/>
    <w:multiLevelType w:val="hybridMultilevel"/>
    <w:lvl w:ilvl="0">
      <w:lvlJc w:val="left"/>
      <w:lvlText w:val="%1"/>
      <w:numFmt w:val="decimal"/>
      <w:start w:val="1"/>
    </w:lvl>
    <w:lvl w:ilvl="1">
      <w:lvlJc w:val="left"/>
      <w:lvlText w:val="*"/>
      <w:numFmt w:val="bullet"/>
      <w:start w:val="1"/>
    </w:lvl>
  </w:abstractNum>
  <w:abstractNum w:abstractNumId="44">
    <w:nsid w:val="799D0247"/>
    <w:multiLevelType w:val="hybridMultilevel"/>
    <w:lvl w:ilvl="0">
      <w:lvlJc w:val="left"/>
      <w:lvlText w:val="•"/>
      <w:numFmt w:val="bullet"/>
      <w:start w:val="1"/>
    </w:lvl>
    <w:lvl w:ilvl="1">
      <w:lvlJc w:val="left"/>
      <w:lvlText w:val="¡"/>
      <w:numFmt w:val="bullet"/>
      <w:start w:val="1"/>
    </w:lvl>
  </w:abstractNum>
  <w:abstractNum w:abstractNumId="45">
    <w:nsid w:val="6B94764"/>
    <w:multiLevelType w:val="hybridMultilevel"/>
    <w:lvl w:ilvl="0">
      <w:lvlJc w:val="left"/>
      <w:lvlText w:val="•"/>
      <w:numFmt w:val="bullet"/>
      <w:start w:val="1"/>
    </w:lvl>
    <w:lvl w:ilvl="1">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lvl w:ilvl="1">
      <w:lvlJc w:val="left"/>
      <w:lvlText w:val="¡"/>
      <w:numFmt w:val="bullet"/>
      <w:start w:val="1"/>
    </w:lvl>
  </w:abstractNum>
  <w:abstractNum w:abstractNumId="48">
    <w:nsid w:val="1EBA5D23"/>
    <w:multiLevelType w:val="hybridMultilevel"/>
    <w:lvl w:ilvl="0">
      <w:lvlJc w:val="left"/>
      <w:lvlText w:val="2"/>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1)"/>
      <w:numFmt w:val="decimal"/>
      <w:start w:val="1"/>
    </w:lvl>
  </w:abstractNum>
  <w:abstractNum w:abstractNumId="51">
    <w:nsid w:val="540A471C"/>
    <w:multiLevelType w:val="hybridMultilevel"/>
    <w:lvl w:ilvl="0">
      <w:lvlJc w:val="left"/>
      <w:lvlText w:val="(%1)"/>
      <w:numFmt w:val="decimal"/>
      <w:start w:val="3"/>
    </w:lvl>
  </w:abstractNum>
  <w:abstractNum w:abstractNumId="52">
    <w:nsid w:val="7BD3EE7B"/>
    <w:multiLevelType w:val="hybridMultilevel"/>
    <w:lvl w:ilvl="0">
      <w:lvlJc w:val="left"/>
      <w:lvlText w:val="(%1)"/>
      <w:numFmt w:val="lowerLetter"/>
      <w:start w:val="1"/>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1)"/>
      <w:numFmt w:val="decimal"/>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1)"/>
      <w:numFmt w:val="decimal"/>
      <w:start w:val="2"/>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2"/>
    </w:lvl>
  </w:abstractNum>
  <w:abstractNum w:abstractNumId="59">
    <w:nsid w:val="8F2B15E"/>
    <w:multiLevelType w:val="hybridMultilevel"/>
    <w:lvl w:ilvl="0">
      <w:lvlJc w:val="left"/>
      <w:lvlText w:val="(%1)"/>
      <w:numFmt w:val="lowerRoman"/>
      <w:start w:val="2"/>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1)"/>
      <w:numFmt w:val="lowerRoman"/>
      <w:start w:val="1"/>
    </w:lvl>
  </w:abstractNum>
  <w:abstractNum w:abstractNumId="62">
    <w:nsid w:val="68EB2F63"/>
    <w:multiLevelType w:val="hybridMultilevel"/>
    <w:lvl w:ilvl="0">
      <w:lvlJc w:val="left"/>
      <w:lvlText w:val="(%1)"/>
      <w:numFmt w:val="decimal"/>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1)"/>
      <w:numFmt w:val="decimal"/>
      <w:start w:val="2"/>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decimal"/>
      <w:start w:val="3"/>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decimal"/>
      <w:start w:val="1"/>
    </w:lvl>
  </w:abstractNum>
  <w:abstractNum w:abstractNumId="70">
    <w:nsid w:val="100F59DC"/>
    <w:multiLevelType w:val="hybridMultilevel"/>
    <w:lvl w:ilvl="0">
      <w:lvlJc w:val="left"/>
      <w:lvlText w:val="(%1)"/>
      <w:numFmt w:val="lowerLetter"/>
      <w:start w:val="1"/>
    </w:lvl>
  </w:abstractNum>
  <w:abstractNum w:abstractNumId="71">
    <w:nsid w:val="7FB7E0AA"/>
    <w:multiLevelType w:val="hybridMultilevel"/>
    <w:lvl w:ilvl="0">
      <w:lvlJc w:val="left"/>
      <w:lvlText w:val="(%1)"/>
      <w:numFmt w:val="decimal"/>
      <w:start w:val="2"/>
    </w:lvl>
  </w:abstractNum>
  <w:abstractNum w:abstractNumId="72">
    <w:nsid w:val="6EB5BD4"/>
    <w:multiLevelType w:val="hybridMultilevel"/>
    <w:lvl w:ilvl="0">
      <w:lvlJc w:val="left"/>
      <w:lvlText w:val="(%1)"/>
      <w:numFmt w:val="decimal"/>
      <w:start w:val="3"/>
    </w:lvl>
    <w:lvl w:ilvl="1">
      <w:lvlJc w:val="left"/>
      <w:lvlText w:val="(%2)"/>
      <w:numFmt w:val="lowerLetter"/>
      <w:start w:val="1"/>
    </w:lvl>
  </w:abstractNum>
  <w:abstractNum w:abstractNumId="73">
    <w:nsid w:val="6F6DD9AC"/>
    <w:multiLevelType w:val="hybridMultilevel"/>
    <w:lvl w:ilvl="0">
      <w:lvlJc w:val="left"/>
      <w:lvlText w:val="%1."/>
      <w:numFmt w:val="decimal"/>
      <w:start w:val="1"/>
    </w:lvl>
    <w:lvl w:ilvl="1">
      <w:lvlJc w:val="left"/>
      <w:lvlText w:val="(%2)"/>
      <w:numFmt w:val="lowerLetter"/>
      <w:start w:val="1"/>
    </w:lvl>
  </w:abstractNum>
  <w:abstractNum w:abstractNumId="74">
    <w:nsid w:val="94211F2"/>
    <w:multiLevelType w:val="hybridMultilevel"/>
    <w:lvl w:ilvl="0">
      <w:lvlJc w:val="left"/>
      <w:lvlText w:val="•"/>
      <w:numFmt w:val="bullet"/>
      <w:start w:val="1"/>
    </w:lvl>
    <w:lvl w:ilvl="1">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1)"/>
      <w:numFmt w:val="lowerLetter"/>
      <w:start w:val="1"/>
    </w:lvl>
    <w:lvl w:ilvl="1">
      <w:lvlJc w:val="left"/>
      <w:lvlText w:val="(%2)"/>
      <w:numFmt w:val="lowerRoman"/>
      <w:start w:val="1"/>
    </w:lvl>
  </w:abstractNum>
  <w:abstractNum w:abstractNumId="77">
    <w:nsid w:val="4C04A8AF"/>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8">
    <w:nsid w:val="1716703B"/>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79">
    <w:nsid w:val="14E17E33"/>
    <w:multiLevelType w:val="hybridMultilevel"/>
    <w:lvl w:ilvl="0">
      <w:lvlJc w:val="left"/>
      <w:lvlText w:val="(%1)"/>
      <w:numFmt w:val="lowerLetter"/>
      <w:start w:val="23"/>
    </w:lvl>
    <w:lvl w:ilvl="1">
      <w:lvlJc w:val="left"/>
      <w:lvlText w:val="(%2)"/>
      <w:numFmt w:val="lowerRoman"/>
      <w:start w:val="1"/>
    </w:lvl>
  </w:abstractNum>
  <w:abstractNum w:abstractNumId="80">
    <w:nsid w:val="3222E7CD"/>
    <w:multiLevelType w:val="hybridMultilevel"/>
    <w:lvl w:ilvl="0">
      <w:lvlJc w:val="left"/>
      <w:lvlText w:val="(%1)"/>
      <w:numFmt w:val="lowerLetter"/>
      <w:start w:val="27"/>
    </w:lvl>
  </w:abstractNum>
  <w:abstractNum w:abstractNumId="81">
    <w:nsid w:val="74DE0EE3"/>
    <w:multiLevelType w:val="hybridMultilevel"/>
    <w:lvl w:ilvl="0">
      <w:lvlJc w:val="left"/>
      <w:lvlText w:val="(%1)"/>
      <w:numFmt w:val="lowerLetter"/>
      <w:start w:val="1"/>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lowerLetter"/>
      <w:start w:val="1"/>
    </w:lvl>
  </w:abstractNum>
  <w:abstractNum w:abstractNumId="84">
    <w:nsid w:val="46B7D447"/>
    <w:multiLevelType w:val="hybridMultilevel"/>
    <w:lvl w:ilvl="0">
      <w:lvlJc w:val="left"/>
      <w:lvlText w:val="(%1)"/>
      <w:numFmt w:val="lowerLetter"/>
      <w:start w:val="2"/>
    </w:lvl>
  </w:abstractNum>
  <w:abstractNum w:abstractNumId="85">
    <w:nsid w:val="4A2AC315"/>
    <w:multiLevelType w:val="hybridMultilevel"/>
    <w:lvl w:ilvl="0">
      <w:lvlJc w:val="left"/>
      <w:lvlText w:val="(%1)"/>
      <w:numFmt w:val="lowerLetter"/>
      <w:start w:val="1"/>
    </w:lvl>
    <w:lvl w:ilvl="1">
      <w:lvlJc w:val="left"/>
      <w:lvlText w:val="(%2)"/>
      <w:numFmt w:val="lowerRoman"/>
      <w:start w:val="1"/>
    </w:lvl>
  </w:abstractNum>
  <w:abstractNum w:abstractNumId="86">
    <w:nsid w:val="39EE01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
    <w:nsid w:val="43F18422"/>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abstractNum>
  <w:abstractNum w:abstractNumId="90">
    <w:nsid w:val="60EF0119"/>
    <w:multiLevelType w:val="hybridMultilevel"/>
    <w:lvl w:ilvl="0">
      <w:lvlJc w:val="left"/>
      <w:lvlText w:val="(%1)"/>
      <w:numFmt w:val="lowerLetter"/>
      <w:start w:val="6"/>
    </w:lvl>
    <w:lvl w:ilvl="1">
      <w:lvlJc w:val="left"/>
      <w:lvlText w:val="(%2)"/>
      <w:numFmt w:val="lowerLetter"/>
      <w:start w:val="9"/>
    </w:lvl>
    <w:lvl w:ilvl="2">
      <w:lvlJc w:val="left"/>
      <w:lvlText w:val="(%3)"/>
      <w:numFmt w:val="lowerRoman"/>
      <w:start w:val="1"/>
    </w:lvl>
  </w:abstractNum>
  <w:abstractNum w:abstractNumId="91">
    <w:nsid w:val="26F324BA"/>
    <w:multiLevelType w:val="hybridMultilevel"/>
    <w:lvl w:ilvl="0">
      <w:lvlJc w:val="left"/>
      <w:lvlText w:val="(%1)"/>
      <w:numFmt w:val="lowerRoman"/>
      <w:start w:val="2"/>
    </w:lvl>
    <w:lvl w:ilvl="1">
      <w:lvlJc w:val="left"/>
      <w:lvlText w:val="(%2)"/>
      <w:numFmt w:val="lowerRoman"/>
      <w:start w:val="2"/>
    </w:lvl>
  </w:abstractNum>
  <w:abstractNum w:abstractNumId="92">
    <w:nsid w:val="7F01579B"/>
    <w:multiLevelType w:val="hybridMultilevel"/>
    <w:lvl w:ilvl="0">
      <w:lvlJc w:val="left"/>
      <w:lvlText w:val="(%1)"/>
      <w:numFmt w:val="lowerLetter"/>
      <w:start w:val="9"/>
    </w:lvl>
  </w:abstractNum>
  <w:abstractNum w:abstractNumId="93">
    <w:nsid w:val="49DA307D"/>
    <w:multiLevelType w:val="hybridMultilevel"/>
    <w:lvl w:ilvl="0">
      <w:lvlJc w:val="left"/>
      <w:lvlText w:val="(%1)"/>
      <w:numFmt w:val="lowerLetter"/>
      <w:start w:val="1"/>
    </w:lvl>
  </w:abstractNum>
  <w:abstractNum w:abstractNumId="94">
    <w:nsid w:val="7055A5F5"/>
    <w:multiLevelType w:val="hybridMultilevel"/>
    <w:lvl w:ilvl="0">
      <w:lvlJc w:val="left"/>
      <w:lvlText w:val="(%1)"/>
      <w:numFmt w:val="lowerLetter"/>
      <w:start w:val="2"/>
    </w:lvl>
  </w:abstractNum>
  <w:abstractNum w:abstractNumId="95">
    <w:nsid w:val="5FB8370B"/>
    <w:multiLevelType w:val="hybridMultilevel"/>
    <w:lvl w:ilvl="0">
      <w:lvlJc w:val="left"/>
      <w:lvlText w:val="(%1)"/>
      <w:numFmt w:val="lowerLetter"/>
      <w:start w:val="1"/>
    </w:lvl>
  </w:abstractNum>
  <w:abstractNum w:abstractNumId="96">
    <w:nsid w:val="50801EE1"/>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2019-12-05T10:23:24Z</dcterms:created>
  <dcterms:modified xsi:type="dcterms:W3CDTF">2019-12-05T10:23:24Z</dcterms:modified>
</cp:coreProperties>
</file>