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333-186803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May 1, 2013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May 1, 2013</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794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w w:val="97"/>
              </w:rPr>
              <w:t>TEXAS INSTRUMENTS INCORPORATED</w:t>
            </w:r>
          </w:p>
        </w:tc>
      </w:tr>
      <w:tr>
        <w:trPr>
          <w:trHeight w:val="297"/>
        </w:trPr>
        <w:tc>
          <w:tcPr>
            <w:tcW w:w="3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0" w:type="dxa"/>
            <w:vAlign w:val="bottom"/>
            <w:gridSpan w:val="2"/>
          </w:tcPr>
          <w:p>
            <w:pPr>
              <w:jc w:val="center"/>
              <w:ind w:right="4720"/>
              <w:spacing w:after="0"/>
              <w:rPr>
                <w:sz w:val="20"/>
                <w:szCs w:val="20"/>
                <w:color w:val="auto"/>
              </w:rPr>
            </w:pPr>
            <w:r>
              <w:rPr>
                <w:rFonts w:ascii="Arial" w:cs="Arial" w:eastAsia="Arial" w:hAnsi="Arial"/>
                <w:sz w:val="18"/>
                <w:szCs w:val="18"/>
                <w:b w:val="1"/>
                <w:bCs w:val="1"/>
                <w:color w:val="auto"/>
                <w:w w:val="87"/>
              </w:rPr>
              <w:t>Pricing Term Sheet</w:t>
            </w:r>
          </w:p>
        </w:tc>
      </w:tr>
      <w:tr>
        <w:trPr>
          <w:trHeight w:val="259"/>
        </w:trPr>
        <w:tc>
          <w:tcPr>
            <w:tcW w:w="3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w:t>
            </w:r>
            <w:r>
              <w:rPr>
                <w:rFonts w:ascii="Arial" w:cs="Arial" w:eastAsia="Arial" w:hAnsi="Arial"/>
                <w:sz w:val="18"/>
                <w:szCs w:val="18"/>
                <w:u w:val="single" w:color="auto"/>
                <w:color w:val="auto"/>
                <w:w w:val="86"/>
              </w:rPr>
              <w:t>000%</w:t>
            </w:r>
            <w:r>
              <w:rPr>
                <w:rFonts w:ascii="Arial" w:cs="Arial" w:eastAsia="Arial" w:hAnsi="Arial"/>
                <w:sz w:val="18"/>
                <w:szCs w:val="18"/>
                <w:color w:val="auto"/>
                <w:w w:val="86"/>
              </w:rPr>
              <w:t xml:space="preserve"> Notes due 2018</w:t>
            </w:r>
          </w:p>
        </w:tc>
        <w:tc>
          <w:tcPr>
            <w:tcW w:w="4720" w:type="dxa"/>
            <w:vAlign w:val="bottom"/>
          </w:tcPr>
          <w:p>
            <w:pPr>
              <w:spacing w:after="0"/>
              <w:rPr>
                <w:sz w:val="22"/>
                <w:szCs w:val="22"/>
                <w:color w:val="auto"/>
              </w:rPr>
            </w:pPr>
          </w:p>
        </w:tc>
      </w:tr>
      <w:tr>
        <w:trPr>
          <w:trHeight w:val="437"/>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Principal Amount:</w:t>
            </w:r>
          </w:p>
        </w:tc>
        <w:tc>
          <w:tcPr>
            <w:tcW w:w="7940" w:type="dxa"/>
            <w:vAlign w:val="bottom"/>
            <w:gridSpan w:val="3"/>
          </w:tcPr>
          <w:p>
            <w:pPr>
              <w:ind w:left="2720"/>
              <w:spacing w:after="0"/>
              <w:rPr>
                <w:sz w:val="20"/>
                <w:szCs w:val="20"/>
                <w:color w:val="auto"/>
              </w:rPr>
            </w:pPr>
            <w:r>
              <w:rPr>
                <w:rFonts w:ascii="Arial" w:cs="Arial" w:eastAsia="Arial" w:hAnsi="Arial"/>
                <w:sz w:val="18"/>
                <w:szCs w:val="18"/>
                <w:color w:val="auto"/>
              </w:rPr>
              <w:t>$500,000,000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Maturity:</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May 1, 2018</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Coupon:</w:t>
            </w:r>
          </w:p>
        </w:tc>
        <w:tc>
          <w:tcPr>
            <w:tcW w:w="7940" w:type="dxa"/>
            <w:vAlign w:val="bottom"/>
            <w:gridSpan w:val="3"/>
          </w:tcPr>
          <w:p>
            <w:pPr>
              <w:ind w:left="2720"/>
              <w:spacing w:after="0"/>
              <w:rPr>
                <w:sz w:val="20"/>
                <w:szCs w:val="20"/>
                <w:color w:val="auto"/>
              </w:rPr>
            </w:pPr>
            <w:r>
              <w:rPr>
                <w:rFonts w:ascii="Arial" w:cs="Arial" w:eastAsia="Arial" w:hAnsi="Arial"/>
                <w:sz w:val="18"/>
                <w:szCs w:val="18"/>
                <w:color w:val="auto"/>
              </w:rPr>
              <w:t>1.000%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Price to Public:</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99.070% of principal amount</w:t>
            </w: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w w:val="95"/>
              </w:rPr>
              <w:t>May 1 and November 1 beginning on November 1, 2013, and on the</w:t>
            </w:r>
          </w:p>
        </w:tc>
      </w:tr>
      <w:tr>
        <w:trPr>
          <w:trHeight w:val="222"/>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maturity date</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Day Count Convention:</w:t>
            </w:r>
          </w:p>
        </w:tc>
        <w:tc>
          <w:tcPr>
            <w:tcW w:w="3220" w:type="dxa"/>
            <w:vAlign w:val="bottom"/>
            <w:gridSpan w:val="2"/>
          </w:tcPr>
          <w:p>
            <w:pPr>
              <w:ind w:left="2720"/>
              <w:spacing w:after="0"/>
              <w:rPr>
                <w:sz w:val="20"/>
                <w:szCs w:val="20"/>
                <w:color w:val="auto"/>
              </w:rPr>
            </w:pPr>
            <w:r>
              <w:rPr>
                <w:rFonts w:ascii="Arial" w:cs="Arial" w:eastAsia="Arial" w:hAnsi="Arial"/>
                <w:sz w:val="18"/>
                <w:szCs w:val="18"/>
                <w:color w:val="auto"/>
                <w:w w:val="87"/>
              </w:rPr>
              <w:t>30/360</w:t>
            </w:r>
          </w:p>
        </w:tc>
        <w:tc>
          <w:tcPr>
            <w:tcW w:w="472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7940" w:type="dxa"/>
            <w:vAlign w:val="bottom"/>
            <w:gridSpan w:val="3"/>
          </w:tcPr>
          <w:p>
            <w:pPr>
              <w:ind w:left="2720"/>
              <w:spacing w:after="0"/>
              <w:rPr>
                <w:sz w:val="20"/>
                <w:szCs w:val="20"/>
                <w:color w:val="auto"/>
              </w:rPr>
            </w:pPr>
            <w:r>
              <w:rPr>
                <w:rFonts w:ascii="Arial" w:cs="Arial" w:eastAsia="Arial" w:hAnsi="Arial"/>
                <w:sz w:val="18"/>
                <w:szCs w:val="18"/>
                <w:color w:val="auto"/>
              </w:rPr>
              <w:t>$493,600,000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0.625% due April 30, 2018</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55 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Yield to Maturity:</w:t>
            </w:r>
          </w:p>
        </w:tc>
        <w:tc>
          <w:tcPr>
            <w:tcW w:w="7940" w:type="dxa"/>
            <w:vAlign w:val="bottom"/>
            <w:gridSpan w:val="3"/>
          </w:tcPr>
          <w:p>
            <w:pPr>
              <w:ind w:left="2720"/>
              <w:spacing w:after="0"/>
              <w:rPr>
                <w:sz w:val="20"/>
                <w:szCs w:val="20"/>
                <w:color w:val="auto"/>
              </w:rPr>
            </w:pPr>
            <w:r>
              <w:rPr>
                <w:rFonts w:ascii="Arial" w:cs="Arial" w:eastAsia="Arial" w:hAnsi="Arial"/>
                <w:sz w:val="18"/>
                <w:szCs w:val="18"/>
                <w:color w:val="auto"/>
              </w:rPr>
              <w:t>1.193%</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940" w:type="dxa"/>
            <w:vAlign w:val="bottom"/>
            <w:gridSpan w:val="3"/>
          </w:tcPr>
          <w:p>
            <w:pPr>
              <w:ind w:left="2720"/>
              <w:spacing w:after="0"/>
              <w:rPr>
                <w:sz w:val="20"/>
                <w:szCs w:val="20"/>
                <w:color w:val="auto"/>
              </w:rPr>
            </w:pPr>
            <w:r>
              <w:rPr>
                <w:rFonts w:ascii="Arial" w:cs="Arial" w:eastAsia="Arial" w:hAnsi="Arial"/>
                <w:sz w:val="18"/>
                <w:szCs w:val="18"/>
                <w:color w:val="auto"/>
              </w:rPr>
              <w:t xml:space="preserve">99-29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0,643%</w:t>
            </w: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Make-Whole Call:</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w w:val="92"/>
              </w:rPr>
              <w:t>At any time at the greater of 100% of the principal amount of the notes</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w w:val="86"/>
              </w:rPr>
              <w:t>being redeemed or discounted present value at the rate of Treasury plus 10</w:t>
            </w:r>
          </w:p>
        </w:tc>
      </w:tr>
      <w:tr>
        <w:trPr>
          <w:trHeight w:val="222"/>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Trade Date:</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May 1, 2013</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Settlement Date:</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May 8, 2013 (T+5)</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Denominations:</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CUSIP/ISIN:</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882508 AV6 / US882508AV68</w:t>
            </w: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Ratings:</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Moody’s: A1 (stable outlook)</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S&amp;P: A+ (stable outlook)</w:t>
            </w:r>
          </w:p>
        </w:tc>
      </w:tr>
      <w:tr>
        <w:trPr>
          <w:trHeight w:val="222"/>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Fitch: A+ (negative outlook)</w:t>
            </w:r>
          </w:p>
        </w:tc>
      </w:tr>
      <w:tr>
        <w:trPr>
          <w:trHeight w:val="331"/>
        </w:trPr>
        <w:tc>
          <w:tcPr>
            <w:tcW w:w="33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1540" w:type="dxa"/>
            <w:vAlign w:val="bottom"/>
          </w:tcPr>
          <w:p>
            <w:pPr>
              <w:spacing w:after="0"/>
              <w:rPr>
                <w:sz w:val="24"/>
                <w:szCs w:val="24"/>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J.P. Morgan Securities LLC</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Morgan Stanley &amp; Co. LLC</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Citigroup Global Markets Inc.</w:t>
            </w:r>
          </w:p>
        </w:tc>
      </w:tr>
      <w:tr>
        <w:trPr>
          <w:trHeight w:val="222"/>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0" w:type="dxa"/>
            <w:vAlign w:val="bottom"/>
            <w:gridSpan w:val="2"/>
          </w:tcPr>
          <w:p>
            <w:pPr>
              <w:ind w:left="1180"/>
              <w:spacing w:after="0"/>
              <w:rPr>
                <w:sz w:val="20"/>
                <w:szCs w:val="20"/>
                <w:color w:val="auto"/>
              </w:rPr>
            </w:pPr>
            <w:r>
              <w:rPr>
                <w:rFonts w:ascii="Arial" w:cs="Arial" w:eastAsia="Arial" w:hAnsi="Arial"/>
                <w:sz w:val="18"/>
                <w:szCs w:val="18"/>
                <w:color w:val="auto"/>
              </w:rPr>
              <w:t>Mizuho Securities USA Inc.</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2.</w:t>
            </w:r>
            <w:r>
              <w:rPr>
                <w:rFonts w:ascii="Arial" w:cs="Arial" w:eastAsia="Arial" w:hAnsi="Arial"/>
                <w:sz w:val="18"/>
                <w:szCs w:val="18"/>
                <w:u w:val="single" w:color="auto"/>
                <w:color w:val="auto"/>
                <w:w w:val="85"/>
              </w:rPr>
              <w:t>250%</w:t>
            </w:r>
            <w:r>
              <w:rPr>
                <w:rFonts w:ascii="Arial" w:cs="Arial" w:eastAsia="Arial" w:hAnsi="Arial"/>
                <w:sz w:val="18"/>
                <w:szCs w:val="18"/>
                <w:color w:val="auto"/>
                <w:w w:val="85"/>
              </w:rPr>
              <w:t xml:space="preserve"> Notes due 2023</w:t>
            </w:r>
          </w:p>
        </w:tc>
        <w:tc>
          <w:tcPr>
            <w:tcW w:w="4760" w:type="dxa"/>
            <w:vAlign w:val="bottom"/>
          </w:tcPr>
          <w:p>
            <w:pPr>
              <w:spacing w:after="0"/>
              <w:rPr>
                <w:sz w:val="17"/>
                <w:szCs w:val="17"/>
                <w:color w:val="auto"/>
              </w:rPr>
            </w:pPr>
          </w:p>
        </w:tc>
      </w:tr>
      <w:tr>
        <w:trPr>
          <w:trHeight w:val="437"/>
        </w:trPr>
        <w:tc>
          <w:tcPr>
            <w:tcW w:w="4880" w:type="dxa"/>
            <w:vAlign w:val="bottom"/>
          </w:tcPr>
          <w:p>
            <w:pPr>
              <w:spacing w:after="0"/>
              <w:rPr>
                <w:sz w:val="20"/>
                <w:szCs w:val="20"/>
                <w:color w:val="auto"/>
              </w:rPr>
            </w:pPr>
            <w:r>
              <w:rPr>
                <w:rFonts w:ascii="Arial" w:cs="Arial" w:eastAsia="Arial" w:hAnsi="Arial"/>
                <w:sz w:val="18"/>
                <w:szCs w:val="18"/>
                <w:color w:val="auto"/>
              </w:rPr>
              <w:t>Issuer:</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Principal Amount:</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$500,000,000</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Maturity:</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May 1, 2023</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Coupon:</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2.250%</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Price to Public:</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98.073% of principal amount</w:t>
            </w:r>
          </w:p>
        </w:tc>
      </w:tr>
      <w:tr>
        <w:trPr>
          <w:trHeight w:val="318"/>
        </w:trPr>
        <w:tc>
          <w:tcPr>
            <w:tcW w:w="48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w w:val="96"/>
              </w:rPr>
              <w:t>May 1 and November 1 beginning on November 1, 2013, and on the</w:t>
            </w:r>
          </w:p>
        </w:tc>
      </w:tr>
      <w:tr>
        <w:trPr>
          <w:trHeight w:val="222"/>
        </w:trPr>
        <w:tc>
          <w:tcPr>
            <w:tcW w:w="4880" w:type="dxa"/>
            <w:vAlign w:val="bottom"/>
          </w:tcPr>
          <w:p>
            <w:pPr>
              <w:spacing w:after="0"/>
              <w:rPr>
                <w:sz w:val="19"/>
                <w:szCs w:val="19"/>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maturity date.</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Day Count Convention:</w:t>
            </w:r>
          </w:p>
        </w:tc>
        <w:tc>
          <w:tcPr>
            <w:tcW w:w="1680" w:type="dxa"/>
            <w:vAlign w:val="bottom"/>
          </w:tcPr>
          <w:p>
            <w:pPr>
              <w:ind w:left="1180"/>
              <w:spacing w:after="0"/>
              <w:rPr>
                <w:sz w:val="20"/>
                <w:szCs w:val="20"/>
                <w:color w:val="auto"/>
              </w:rPr>
            </w:pPr>
            <w:r>
              <w:rPr>
                <w:rFonts w:ascii="Arial" w:cs="Arial" w:eastAsia="Arial" w:hAnsi="Arial"/>
                <w:sz w:val="18"/>
                <w:szCs w:val="18"/>
                <w:color w:val="auto"/>
                <w:w w:val="87"/>
              </w:rPr>
              <w:t>30/360</w:t>
            </w:r>
          </w:p>
        </w:tc>
        <w:tc>
          <w:tcPr>
            <w:tcW w:w="4760" w:type="dxa"/>
            <w:vAlign w:val="bottom"/>
          </w:tcPr>
          <w:p>
            <w:pPr>
              <w:spacing w:after="0"/>
              <w:rPr>
                <w:sz w:val="24"/>
                <w:szCs w:val="24"/>
                <w:color w:val="auto"/>
              </w:rPr>
            </w:pP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$488,115,000</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Benchmark Treasury:</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2.000% due February 15, 2023</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85 basis points</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Yield to Maturity:</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2.469%</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103-14; 1.619%</w:t>
            </w:r>
          </w:p>
        </w:tc>
      </w:tr>
      <w:tr>
        <w:trPr>
          <w:trHeight w:val="318"/>
        </w:trPr>
        <w:tc>
          <w:tcPr>
            <w:tcW w:w="4880" w:type="dxa"/>
            <w:vAlign w:val="bottom"/>
          </w:tcPr>
          <w:p>
            <w:pPr>
              <w:spacing w:after="0"/>
              <w:rPr>
                <w:sz w:val="20"/>
                <w:szCs w:val="20"/>
                <w:color w:val="auto"/>
              </w:rPr>
            </w:pPr>
            <w:r>
              <w:rPr>
                <w:rFonts w:ascii="Arial" w:cs="Arial" w:eastAsia="Arial" w:hAnsi="Arial"/>
                <w:sz w:val="18"/>
                <w:szCs w:val="18"/>
                <w:color w:val="auto"/>
              </w:rPr>
              <w:t>Make-Whole Call:</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w w:val="93"/>
              </w:rPr>
              <w:t>At any time before February 1, 2023 (three months before the maturity</w:t>
            </w:r>
          </w:p>
        </w:tc>
      </w:tr>
      <w:tr>
        <w:trPr>
          <w:trHeight w:val="216"/>
        </w:trPr>
        <w:tc>
          <w:tcPr>
            <w:tcW w:w="4880" w:type="dxa"/>
            <w:vAlign w:val="bottom"/>
          </w:tcPr>
          <w:p>
            <w:pPr>
              <w:spacing w:after="0"/>
              <w:rPr>
                <w:sz w:val="18"/>
                <w:szCs w:val="18"/>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w w:val="93"/>
              </w:rPr>
              <w:t>date) at the greater of 100% of the principal amount of the notes being</w:t>
            </w:r>
          </w:p>
        </w:tc>
      </w:tr>
      <w:tr>
        <w:trPr>
          <w:trHeight w:val="216"/>
        </w:trPr>
        <w:tc>
          <w:tcPr>
            <w:tcW w:w="4880" w:type="dxa"/>
            <w:vAlign w:val="bottom"/>
          </w:tcPr>
          <w:p>
            <w:pPr>
              <w:spacing w:after="0"/>
              <w:rPr>
                <w:sz w:val="18"/>
                <w:szCs w:val="18"/>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w w:val="87"/>
              </w:rPr>
              <w:t>redeemed or discounted present value at the rate of Treasury plus 15 basis</w:t>
            </w:r>
          </w:p>
        </w:tc>
      </w:tr>
      <w:tr>
        <w:trPr>
          <w:trHeight w:val="222"/>
        </w:trPr>
        <w:tc>
          <w:tcPr>
            <w:tcW w:w="4880" w:type="dxa"/>
            <w:vAlign w:val="bottom"/>
          </w:tcPr>
          <w:p>
            <w:pPr>
              <w:spacing w:after="0"/>
              <w:rPr>
                <w:sz w:val="19"/>
                <w:szCs w:val="19"/>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points</w:t>
            </w:r>
          </w:p>
        </w:tc>
      </w:tr>
      <w:tr>
        <w:trPr>
          <w:trHeight w:val="318"/>
        </w:trPr>
        <w:tc>
          <w:tcPr>
            <w:tcW w:w="4880" w:type="dxa"/>
            <w:vAlign w:val="bottom"/>
          </w:tcPr>
          <w:p>
            <w:pPr>
              <w:spacing w:after="0"/>
              <w:rPr>
                <w:sz w:val="20"/>
                <w:szCs w:val="20"/>
                <w:color w:val="auto"/>
              </w:rPr>
            </w:pPr>
            <w:r>
              <w:rPr>
                <w:rFonts w:ascii="Arial" w:cs="Arial" w:eastAsia="Arial" w:hAnsi="Arial"/>
                <w:sz w:val="18"/>
                <w:szCs w:val="18"/>
                <w:color w:val="auto"/>
              </w:rPr>
              <w:t>Par Call:</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w w:val="88"/>
              </w:rPr>
              <w:t>At any time on or after February 1, 2023 (three months before the maturity</w:t>
            </w:r>
          </w:p>
        </w:tc>
      </w:tr>
      <w:tr>
        <w:trPr>
          <w:trHeight w:val="222"/>
        </w:trPr>
        <w:tc>
          <w:tcPr>
            <w:tcW w:w="4880" w:type="dxa"/>
            <w:vAlign w:val="bottom"/>
          </w:tcPr>
          <w:p>
            <w:pPr>
              <w:spacing w:after="0"/>
              <w:rPr>
                <w:sz w:val="19"/>
                <w:szCs w:val="19"/>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date) at 100% of the principal amount of notes being redeemed</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Trade Date:</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May 1, 2013</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Settlement Date:</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May 8, 2013 (T+5)</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Denominations:</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CUSIP/ISIN:</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882508 AW4 / US882508AW42</w:t>
            </w:r>
          </w:p>
        </w:tc>
      </w:tr>
      <w:tr>
        <w:trPr>
          <w:trHeight w:val="318"/>
        </w:trPr>
        <w:tc>
          <w:tcPr>
            <w:tcW w:w="4880" w:type="dxa"/>
            <w:vAlign w:val="bottom"/>
          </w:tcPr>
          <w:p>
            <w:pPr>
              <w:spacing w:after="0"/>
              <w:rPr>
                <w:sz w:val="20"/>
                <w:szCs w:val="20"/>
                <w:color w:val="auto"/>
              </w:rPr>
            </w:pPr>
            <w:r>
              <w:rPr>
                <w:rFonts w:ascii="Arial" w:cs="Arial" w:eastAsia="Arial" w:hAnsi="Arial"/>
                <w:sz w:val="18"/>
                <w:szCs w:val="18"/>
                <w:color w:val="auto"/>
              </w:rPr>
              <w:t>Ratings:</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Moody’s: A1 (stable outlook)</w:t>
            </w:r>
          </w:p>
        </w:tc>
      </w:tr>
      <w:tr>
        <w:trPr>
          <w:trHeight w:val="216"/>
        </w:trPr>
        <w:tc>
          <w:tcPr>
            <w:tcW w:w="4880" w:type="dxa"/>
            <w:vAlign w:val="bottom"/>
          </w:tcPr>
          <w:p>
            <w:pPr>
              <w:spacing w:after="0"/>
              <w:rPr>
                <w:sz w:val="18"/>
                <w:szCs w:val="18"/>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S&amp;P: A+ (stable outlook)</w:t>
            </w:r>
          </w:p>
        </w:tc>
      </w:tr>
      <w:tr>
        <w:trPr>
          <w:trHeight w:val="222"/>
        </w:trPr>
        <w:tc>
          <w:tcPr>
            <w:tcW w:w="4880" w:type="dxa"/>
            <w:vAlign w:val="bottom"/>
          </w:tcPr>
          <w:p>
            <w:pPr>
              <w:spacing w:after="0"/>
              <w:rPr>
                <w:sz w:val="19"/>
                <w:szCs w:val="19"/>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Fitch: A+ (negative outlook)</w:t>
            </w:r>
          </w:p>
        </w:tc>
      </w:tr>
      <w:tr>
        <w:trPr>
          <w:trHeight w:val="331"/>
        </w:trPr>
        <w:tc>
          <w:tcPr>
            <w:tcW w:w="48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J.P. Morgan Securities LLC</w:t>
            </w:r>
          </w:p>
        </w:tc>
      </w:tr>
      <w:tr>
        <w:trPr>
          <w:trHeight w:val="216"/>
        </w:trPr>
        <w:tc>
          <w:tcPr>
            <w:tcW w:w="4880" w:type="dxa"/>
            <w:vAlign w:val="bottom"/>
          </w:tcPr>
          <w:p>
            <w:pPr>
              <w:spacing w:after="0"/>
              <w:rPr>
                <w:sz w:val="18"/>
                <w:szCs w:val="18"/>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Morgan Stanley &amp; Co. LLC</w:t>
            </w:r>
          </w:p>
        </w:tc>
      </w:tr>
      <w:tr>
        <w:trPr>
          <w:trHeight w:val="216"/>
        </w:trPr>
        <w:tc>
          <w:tcPr>
            <w:tcW w:w="4880" w:type="dxa"/>
            <w:vAlign w:val="bottom"/>
          </w:tcPr>
          <w:p>
            <w:pPr>
              <w:spacing w:after="0"/>
              <w:rPr>
                <w:sz w:val="18"/>
                <w:szCs w:val="18"/>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Citigroup Global Markets Inc.</w:t>
            </w:r>
          </w:p>
        </w:tc>
      </w:tr>
      <w:tr>
        <w:trPr>
          <w:trHeight w:val="222"/>
        </w:trPr>
        <w:tc>
          <w:tcPr>
            <w:tcW w:w="4880" w:type="dxa"/>
            <w:vAlign w:val="bottom"/>
          </w:tcPr>
          <w:p>
            <w:pPr>
              <w:spacing w:after="0"/>
              <w:rPr>
                <w:sz w:val="19"/>
                <w:szCs w:val="19"/>
                <w:color w:val="auto"/>
              </w:rPr>
            </w:pPr>
          </w:p>
        </w:tc>
        <w:tc>
          <w:tcPr>
            <w:tcW w:w="6440" w:type="dxa"/>
            <w:vAlign w:val="bottom"/>
            <w:gridSpan w:val="2"/>
          </w:tcPr>
          <w:p>
            <w:pPr>
              <w:ind w:left="1180"/>
              <w:spacing w:after="0"/>
              <w:rPr>
                <w:sz w:val="20"/>
                <w:szCs w:val="20"/>
                <w:color w:val="auto"/>
              </w:rPr>
            </w:pPr>
            <w:r>
              <w:rPr>
                <w:rFonts w:ascii="Arial" w:cs="Arial" w:eastAsia="Arial" w:hAnsi="Arial"/>
                <w:sz w:val="18"/>
                <w:szCs w:val="18"/>
                <w:color w:val="auto"/>
              </w:rPr>
              <w:t>Mizuho Securities USA Inc.</w:t>
            </w:r>
          </w:p>
        </w:tc>
      </w:tr>
    </w:tbl>
    <w:p>
      <w:pPr>
        <w:sectPr>
          <w:pgSz w:w="11900" w:h="16838" w:orient="portrait"/>
          <w:cols w:equalWidth="0" w:num="1">
            <w:col w:w="11320"/>
          </w:cols>
          <w:pgMar w:left="240" w:top="25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May 8</w:t>
      </w:r>
      <w:r>
        <w:rPr>
          <w:rFonts w:ascii="Arial" w:cs="Arial" w:eastAsia="Arial" w:hAnsi="Arial"/>
          <w:sz w:val="16"/>
          <w:szCs w:val="16"/>
          <w:color w:val="auto"/>
        </w:rPr>
        <w:t>,</w:t>
      </w:r>
      <w:r>
        <w:rPr>
          <w:rFonts w:ascii="Arial" w:cs="Arial" w:eastAsia="Arial" w:hAnsi="Arial"/>
          <w:sz w:val="16"/>
          <w:szCs w:val="16"/>
          <w:b w:val="1"/>
          <w:bCs w:val="1"/>
          <w:color w:val="auto"/>
        </w:rPr>
        <w:t xml:space="preserve"> 2013,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J.P. Morgan Securities LLC at (212) 834-4533, Morgan Stanley &amp; Co. LLC at (866) 718-1649, Citigroup Global Markets Inc. at (877) 858-5407 or Mizuho Securities USA Inc. at (866) 271-7403.</w:t>
      </w:r>
    </w:p>
    <w:p>
      <w:pPr>
        <w:spacing w:after="0" w:line="113"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2019-12-05T16:03:20Z</dcterms:created>
  <dcterms:modified xsi:type="dcterms:W3CDTF">2019-12-05T16:03:20Z</dcterms:modified>
</cp:coreProperties>
</file>