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0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59" w:lineRule="exact"/>
        <w:rPr>
          <w:sz w:val="24"/>
          <w:szCs w:val="24"/>
          <w:color w:val="auto"/>
        </w:rPr>
      </w:pPr>
    </w:p>
    <w:p>
      <w:pPr>
        <w:ind w:left="2840"/>
        <w:spacing w:after="0"/>
        <w:rPr>
          <w:sz w:val="20"/>
          <w:szCs w:val="20"/>
          <w:color w:val="auto"/>
        </w:rPr>
      </w:pPr>
      <w:r>
        <w:rPr>
          <w:rFonts w:ascii="Courier New" w:cs="Courier New" w:eastAsia="Courier New" w:hAnsi="Courier New"/>
          <w:sz w:val="15"/>
          <w:szCs w:val="15"/>
          <w:color w:val="auto"/>
        </w:rPr>
        <w:t>Washington, D.C.</w:t>
      </w:r>
    </w:p>
    <w:p>
      <w:pPr>
        <w:spacing w:after="0" w:line="182" w:lineRule="exact"/>
        <w:rPr>
          <w:sz w:val="24"/>
          <w:szCs w:val="24"/>
          <w:color w:val="auto"/>
        </w:rPr>
      </w:pPr>
    </w:p>
    <w:p>
      <w:pPr>
        <w:ind w:left="3380"/>
        <w:spacing w:after="0"/>
        <w:rPr>
          <w:sz w:val="20"/>
          <w:szCs w:val="20"/>
          <w:color w:val="auto"/>
        </w:rPr>
      </w:pPr>
      <w:r>
        <w:rPr>
          <w:rFonts w:ascii="Courier New" w:cs="Courier New" w:eastAsia="Courier New" w:hAnsi="Courier New"/>
          <w:sz w:val="15"/>
          <w:szCs w:val="15"/>
          <w:color w:val="auto"/>
        </w:rPr>
        <w:t>20549</w:t>
      </w:r>
    </w:p>
    <w:p>
      <w:pPr>
        <w:spacing w:after="0" w:line="200" w:lineRule="exact"/>
        <w:rPr>
          <w:sz w:val="24"/>
          <w:szCs w:val="24"/>
          <w:color w:val="auto"/>
        </w:rPr>
      </w:pPr>
    </w:p>
    <w:p>
      <w:pPr>
        <w:spacing w:after="0" w:line="335" w:lineRule="exact"/>
        <w:rPr>
          <w:sz w:val="24"/>
          <w:szCs w:val="24"/>
          <w:color w:val="auto"/>
        </w:rPr>
      </w:pPr>
    </w:p>
    <w:p>
      <w:pPr>
        <w:ind w:left="3100"/>
        <w:spacing w:after="0"/>
        <w:rPr>
          <w:sz w:val="20"/>
          <w:szCs w:val="20"/>
          <w:color w:val="auto"/>
        </w:rPr>
      </w:pPr>
      <w:r>
        <w:rPr>
          <w:rFonts w:ascii="Courier New" w:cs="Courier New" w:eastAsia="Courier New" w:hAnsi="Courier New"/>
          <w:sz w:val="15"/>
          <w:szCs w:val="15"/>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QUARTERLY REPORT UNDER SECTION 13 or 15(d)</w:t>
      </w:r>
    </w:p>
    <w:p>
      <w:pPr>
        <w:spacing w:after="0" w:line="6"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359" w:lineRule="exact"/>
        <w:rPr>
          <w:sz w:val="24"/>
          <w:szCs w:val="24"/>
          <w:color w:val="auto"/>
        </w:rPr>
      </w:pPr>
    </w:p>
    <w:p>
      <w:pPr>
        <w:spacing w:after="0"/>
        <w:tabs>
          <w:tab w:leader="none" w:pos="4280" w:val="left"/>
        </w:tabs>
        <w:rPr>
          <w:sz w:val="20"/>
          <w:szCs w:val="20"/>
          <w:color w:val="auto"/>
        </w:rPr>
      </w:pPr>
      <w:r>
        <w:rPr>
          <w:rFonts w:ascii="Courier New" w:cs="Courier New" w:eastAsia="Courier New" w:hAnsi="Courier New"/>
          <w:sz w:val="15"/>
          <w:szCs w:val="15"/>
          <w:color w:val="auto"/>
        </w:rPr>
        <w:t>For Quarter Ended June 30, 2002</w:t>
      </w:r>
      <w:r>
        <w:rPr>
          <w:sz w:val="20"/>
          <w:szCs w:val="20"/>
          <w:color w:val="auto"/>
        </w:rPr>
        <w:tab/>
      </w:r>
      <w:r>
        <w:rPr>
          <w:rFonts w:ascii="Courier New" w:cs="Courier New" w:eastAsia="Courier New" w:hAnsi="Courier New"/>
          <w:sz w:val="15"/>
          <w:szCs w:val="15"/>
          <w:color w:val="auto"/>
        </w:rPr>
        <w:t>Commission File Number 1-3761</w:t>
      </w:r>
    </w:p>
    <w:p>
      <w:pPr>
        <w:spacing w:after="0" w:line="200" w:lineRule="exact"/>
        <w:rPr>
          <w:sz w:val="24"/>
          <w:szCs w:val="24"/>
          <w:color w:val="auto"/>
        </w:rPr>
      </w:pPr>
    </w:p>
    <w:p>
      <w:pPr>
        <w:spacing w:after="0" w:line="335"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TEXAS INSTRUMENTS INCORPORATED</w:t>
      </w:r>
    </w:p>
    <w:p>
      <w:pPr>
        <w:spacing w:after="0" w:line="6" w:lineRule="exact"/>
        <w:rPr>
          <w:sz w:val="24"/>
          <w:szCs w:val="24"/>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ind w:left="110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940" w:right="1440" w:bottom="0" w:gutter="0" w:footer="0" w:header="0"/>
        </w:sectPr>
      </w:pPr>
    </w:p>
    <w:p>
      <w:pPr>
        <w:spacing w:after="0" w:line="200" w:lineRule="exact"/>
        <w:rPr>
          <w:sz w:val="24"/>
          <w:szCs w:val="24"/>
          <w:color w:val="auto"/>
        </w:rPr>
      </w:pPr>
    </w:p>
    <w:p>
      <w:pPr>
        <w:spacing w:after="0" w:line="335" w:lineRule="exact"/>
        <w:rPr>
          <w:sz w:val="24"/>
          <w:szCs w:val="24"/>
          <w:color w:val="auto"/>
        </w:rPr>
      </w:pPr>
    </w:p>
    <w:p>
      <w:pPr>
        <w:ind w:left="720"/>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5" w:lineRule="exact"/>
        <w:rPr>
          <w:sz w:val="24"/>
          <w:szCs w:val="24"/>
          <w:color w:val="auto"/>
        </w:rPr>
      </w:pPr>
    </w:p>
    <w:p>
      <w:pPr>
        <w:ind w:left="1100"/>
        <w:spacing w:after="0"/>
        <w:rPr>
          <w:sz w:val="20"/>
          <w:szCs w:val="20"/>
          <w:color w:val="auto"/>
        </w:rPr>
      </w:pPr>
      <w:r>
        <w:rPr>
          <w:rFonts w:ascii="Courier New" w:cs="Courier New" w:eastAsia="Courier New" w:hAnsi="Courier New"/>
          <w:sz w:val="15"/>
          <w:szCs w:val="15"/>
          <w:color w:val="auto"/>
        </w:rPr>
        <w:t>75-0289970</w:t>
      </w:r>
    </w:p>
    <w:p>
      <w:pPr>
        <w:spacing w:after="0" w:line="6"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3120" w:space="720"/>
            <w:col w:w="6379"/>
          </w:cols>
          <w:pgMar w:left="240" w:top="940" w:right="1440" w:bottom="0" w:gutter="0" w:footer="0" w:header="0"/>
          <w:type w:val="continuous"/>
        </w:sectPr>
      </w:pPr>
    </w:p>
    <w:p>
      <w:pPr>
        <w:spacing w:after="0" w:line="200" w:lineRule="exact"/>
        <w:rPr>
          <w:sz w:val="24"/>
          <w:szCs w:val="24"/>
          <w:color w:val="auto"/>
        </w:rPr>
      </w:pPr>
    </w:p>
    <w:p>
      <w:pPr>
        <w:spacing w:after="0" w:line="311" w:lineRule="exact"/>
        <w:rPr>
          <w:sz w:val="24"/>
          <w:szCs w:val="24"/>
          <w:color w:val="auto"/>
        </w:rPr>
      </w:pPr>
    </w:p>
    <w:p>
      <w:pPr>
        <w:spacing w:after="0"/>
        <w:tabs>
          <w:tab w:leader="none" w:pos="6200" w:val="left"/>
        </w:tabs>
        <w:rPr>
          <w:sz w:val="20"/>
          <w:szCs w:val="20"/>
          <w:color w:val="auto"/>
        </w:rPr>
      </w:pPr>
      <w:r>
        <w:rPr>
          <w:rFonts w:ascii="Courier New" w:cs="Courier New" w:eastAsia="Courier New" w:hAnsi="Courier New"/>
          <w:sz w:val="15"/>
          <w:szCs w:val="15"/>
          <w:color w:val="auto"/>
        </w:rPr>
        <w:t>12500 TI Boulevard P.O. Box 660199, Dallas, Texas</w:t>
      </w:r>
      <w:r>
        <w:rPr>
          <w:sz w:val="20"/>
          <w:szCs w:val="20"/>
          <w:color w:val="auto"/>
        </w:rPr>
        <w:tab/>
      </w:r>
      <w:r>
        <w:rPr>
          <w:rFonts w:ascii="Courier New" w:cs="Courier New" w:eastAsia="Courier New" w:hAnsi="Courier New"/>
          <w:sz w:val="15"/>
          <w:szCs w:val="15"/>
          <w:color w:val="auto"/>
        </w:rPr>
        <w:t>75266-0199</w:t>
      </w:r>
    </w:p>
    <w:p>
      <w:pPr>
        <w:sectPr>
          <w:pgSz w:w="11900" w:h="16838" w:orient="portrait"/>
          <w:cols w:equalWidth="0" w:num="1">
            <w:col w:w="10219"/>
          </w:cols>
          <w:pgMar w:left="240" w:top="940" w:right="1440" w:bottom="0" w:gutter="0" w:footer="0" w:header="0"/>
          <w:type w:val="continuous"/>
        </w:sectPr>
      </w:pP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4"/>
          <w:szCs w:val="24"/>
          <w:color w:val="auto"/>
        </w:rPr>
      </w:pPr>
    </w:p>
    <w:p>
      <w:pPr>
        <w:spacing w:after="0"/>
        <w:tabs>
          <w:tab w:leader="none" w:pos="620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5"/>
          <w:szCs w:val="15"/>
          <w:color w:val="auto"/>
        </w:rPr>
        <w:t>(Zip Code)</w:t>
      </w:r>
    </w:p>
    <w:p>
      <w:pPr>
        <w:spacing w:after="0" w:line="359" w:lineRule="exact"/>
        <w:rPr>
          <w:sz w:val="24"/>
          <w:szCs w:val="24"/>
          <w:color w:val="auto"/>
        </w:rPr>
      </w:pPr>
    </w:p>
    <w:p>
      <w:pPr>
        <w:ind w:left="640"/>
        <w:spacing w:after="0"/>
        <w:tabs>
          <w:tab w:leader="none" w:pos="5380" w:val="left"/>
        </w:tabs>
        <w:rPr>
          <w:sz w:val="20"/>
          <w:szCs w:val="20"/>
          <w:color w:val="auto"/>
        </w:rPr>
      </w:pPr>
      <w:r>
        <w:rPr>
          <w:rFonts w:ascii="Courier New" w:cs="Courier New" w:eastAsia="Courier New" w:hAnsi="Courier New"/>
          <w:sz w:val="15"/>
          <w:szCs w:val="15"/>
          <w:color w:val="auto"/>
        </w:rPr>
        <w:t>Registrant's telephone number, including area code</w:t>
        <w:tab/>
        <w:t>972-995-3773</w:t>
      </w:r>
    </w:p>
    <w:p>
      <w:pPr>
        <w:spacing w:after="0" w:line="6" w:lineRule="exact"/>
        <w:rPr>
          <w:sz w:val="24"/>
          <w:szCs w:val="24"/>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ectPr>
          <w:pgSz w:w="11900" w:h="16838" w:orient="portrait"/>
          <w:cols w:equalWidth="0" w:num="1">
            <w:col w:w="10219"/>
          </w:cols>
          <w:pgMar w:left="240" w:top="940" w:right="1440" w:bottom="0" w:gutter="0" w:footer="0" w:header="0"/>
          <w:type w:val="continuous"/>
        </w:sectPr>
      </w:pPr>
    </w:p>
    <w:p>
      <w:pPr>
        <w:spacing w:after="0" w:line="2" w:lineRule="exact"/>
        <w:rPr>
          <w:sz w:val="24"/>
          <w:szCs w:val="24"/>
          <w:color w:val="auto"/>
        </w:rPr>
      </w:pPr>
    </w:p>
    <w:p>
      <w:pPr>
        <w:ind w:left="3380" w:hanging="3755"/>
        <w:spacing w:after="0" w:line="245" w:lineRule="auto"/>
        <w:tabs>
          <w:tab w:leader="none" w:pos="3360" w:val="left"/>
        </w:tabs>
        <w:rPr>
          <w:sz w:val="20"/>
          <w:szCs w:val="20"/>
          <w:color w:val="auto"/>
        </w:rPr>
      </w:pPr>
      <w:r>
        <w:rPr>
          <w:rFonts w:ascii="Courier New" w:cs="Courier New" w:eastAsia="Courier New" w:hAnsi="Courier New"/>
          <w:sz w:val="15"/>
          <w:szCs w:val="15"/>
          <w:color w:val="auto"/>
        </w:rPr>
        <w:t>requirements for the past 90 days.</w:t>
      </w:r>
      <w:r>
        <w:rPr>
          <w:sz w:val="20"/>
          <w:szCs w:val="20"/>
          <w:color w:val="auto"/>
        </w:rPr>
        <w:tab/>
      </w:r>
      <w:r>
        <w:rPr>
          <w:rFonts w:ascii="Courier New" w:cs="Courier New" w:eastAsia="Courier New" w:hAnsi="Courier New"/>
          <w:sz w:val="15"/>
          <w:szCs w:val="15"/>
          <w:color w:val="auto"/>
        </w:rPr>
        <w:t>Yes X No ----</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sectPr>
          <w:pgSz w:w="11900" w:h="16838" w:orient="portrait"/>
          <w:cols w:equalWidth="0" w:num="2">
            <w:col w:w="4660" w:space="180"/>
            <w:col w:w="5379"/>
          </w:cols>
          <w:pgMar w:left="240" w:top="940" w:right="1440" w:bottom="0" w:gutter="0" w:footer="0" w:header="0"/>
          <w:type w:val="continuous"/>
        </w:sectPr>
      </w:pPr>
    </w:p>
    <w:p>
      <w:pPr>
        <w:ind w:left="3100"/>
        <w:spacing w:after="0"/>
        <w:rPr>
          <w:sz w:val="20"/>
          <w:szCs w:val="20"/>
          <w:color w:val="auto"/>
        </w:rPr>
      </w:pPr>
      <w:r>
        <w:rPr>
          <w:rFonts w:ascii="Courier New" w:cs="Courier New" w:eastAsia="Courier New" w:hAnsi="Courier New"/>
          <w:sz w:val="15"/>
          <w:szCs w:val="15"/>
          <w:color w:val="auto"/>
        </w:rPr>
        <w:t>1,733,669,195</w:t>
      </w:r>
    </w:p>
    <w:p>
      <w:pPr>
        <w:sectPr>
          <w:pgSz w:w="11900" w:h="16838" w:orient="portrait"/>
          <w:cols w:equalWidth="0" w:num="1">
            <w:col w:w="10219"/>
          </w:cols>
          <w:pgMar w:left="240" w:top="940" w:right="1440" w:bottom="0" w:gutter="0" w:footer="0" w:header="0"/>
          <w:type w:val="continuous"/>
        </w:sectPr>
      </w:pPr>
    </w:p>
    <w:p>
      <w:pPr>
        <w:spacing w:after="0" w:line="6"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5"/>
          <w:szCs w:val="15"/>
          <w:color w:val="auto"/>
        </w:rPr>
        <w:t>Number of shares of Registrant's common stock outstanding as of</w:t>
      </w:r>
    </w:p>
    <w:p>
      <w:pPr>
        <w:spacing w:after="0" w:line="6"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5"/>
          <w:szCs w:val="15"/>
          <w:color w:val="auto"/>
        </w:rPr>
        <w:t>June 30, 2002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5"/>
          <w:szCs w:val="15"/>
          <w:color w:val="auto"/>
        </w:rPr>
        <w:t>TEXAS INSTRUMENTS INCORPORATED AND SUBSIDIARIES</w:t>
      </w:r>
    </w:p>
    <w:p>
      <w:pPr>
        <w:spacing w:after="0" w:line="6"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5940" w:type="dxa"/>
            <w:vAlign w:val="bottom"/>
            <w:gridSpan w:val="4"/>
          </w:tcPr>
          <w:p>
            <w:pPr>
              <w:ind w:left="1360"/>
              <w:spacing w:after="0"/>
              <w:rPr>
                <w:sz w:val="20"/>
                <w:szCs w:val="20"/>
                <w:color w:val="auto"/>
              </w:rPr>
            </w:pPr>
            <w:r>
              <w:rPr>
                <w:rFonts w:ascii="Courier New" w:cs="Courier New" w:eastAsia="Courier New" w:hAnsi="Courier New"/>
                <w:sz w:val="15"/>
                <w:szCs w:val="15"/>
                <w:color w:val="auto"/>
              </w:rPr>
              <w:t>(In millions of dollars, except per-share amounts)</w:t>
            </w: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705"/>
        </w:trPr>
        <w:tc>
          <w:tcPr>
            <w:tcW w:w="4580" w:type="dxa"/>
            <w:vAlign w:val="bottom"/>
          </w:tcPr>
          <w:p>
            <w:pPr>
              <w:spacing w:after="0"/>
              <w:rPr>
                <w:sz w:val="24"/>
                <w:szCs w:val="24"/>
                <w:color w:val="auto"/>
              </w:rPr>
            </w:pPr>
          </w:p>
        </w:tc>
        <w:tc>
          <w:tcPr>
            <w:tcW w:w="2280" w:type="dxa"/>
            <w:vAlign w:val="bottom"/>
            <w:gridSpan w:val="4"/>
          </w:tcPr>
          <w:p>
            <w:pPr>
              <w:spacing w:after="0"/>
              <w:rPr>
                <w:sz w:val="20"/>
                <w:szCs w:val="20"/>
                <w:color w:val="auto"/>
              </w:rPr>
            </w:pPr>
            <w:r>
              <w:rPr>
                <w:rFonts w:ascii="Courier New" w:cs="Courier New" w:eastAsia="Courier New" w:hAnsi="Courier New"/>
                <w:sz w:val="15"/>
                <w:szCs w:val="15"/>
                <w:color w:val="auto"/>
              </w:rPr>
              <w:t>For Three Months Ended</w:t>
            </w:r>
          </w:p>
        </w:tc>
        <w:tc>
          <w:tcPr>
            <w:tcW w:w="220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For Six Months Ended</w:t>
            </w:r>
          </w:p>
        </w:tc>
      </w:tr>
      <w:tr>
        <w:trPr>
          <w:trHeight w:val="352"/>
        </w:trPr>
        <w:tc>
          <w:tcPr>
            <w:tcW w:w="458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Courier New" w:cs="Courier New" w:eastAsia="Courier New" w:hAnsi="Courier New"/>
                <w:sz w:val="11"/>
                <w:szCs w:val="11"/>
                <w:color w:val="auto"/>
                <w:w w:val="74"/>
              </w:rPr>
              <w:t>----------------------</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spacing w:after="0"/>
              <w:rPr>
                <w:sz w:val="15"/>
                <w:szCs w:val="15"/>
                <w:color w:val="auto"/>
              </w:rPr>
            </w:pPr>
          </w:p>
        </w:tc>
        <w:tc>
          <w:tcPr>
            <w:tcW w:w="1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June 30</w:t>
            </w:r>
          </w:p>
        </w:tc>
        <w:tc>
          <w:tcPr>
            <w:tcW w:w="11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June 30</w:t>
            </w:r>
          </w:p>
        </w:tc>
        <w:tc>
          <w:tcPr>
            <w:tcW w:w="128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June 30</w:t>
            </w:r>
          </w:p>
        </w:tc>
        <w:tc>
          <w:tcPr>
            <w:tcW w:w="9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June 30</w:t>
            </w:r>
          </w:p>
        </w:tc>
      </w:tr>
      <w:tr>
        <w:trPr>
          <w:trHeight w:val="176"/>
        </w:trPr>
        <w:tc>
          <w:tcPr>
            <w:tcW w:w="4580" w:type="dxa"/>
            <w:vAlign w:val="bottom"/>
          </w:tcPr>
          <w:p>
            <w:pPr>
              <w:jc w:val="right"/>
              <w:spacing w:after="0"/>
              <w:rPr>
                <w:sz w:val="20"/>
                <w:szCs w:val="20"/>
                <w:color w:val="auto"/>
              </w:rPr>
            </w:pPr>
            <w:r>
              <w:rPr>
                <w:rFonts w:ascii="Courier New" w:cs="Courier New" w:eastAsia="Courier New" w:hAnsi="Courier New"/>
                <w:sz w:val="15"/>
                <w:szCs w:val="15"/>
                <w:color w:val="auto"/>
              </w:rPr>
              <w:t>Operations . . . . . . . . . . . . . . . . . . . .</w:t>
            </w:r>
          </w:p>
        </w:tc>
        <w:tc>
          <w:tcPr>
            <w:tcW w:w="36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26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50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Courier New" w:cs="Courier New" w:eastAsia="Courier New" w:hAnsi="Courier New"/>
                <w:sz w:val="15"/>
                <w:szCs w:val="15"/>
                <w:color w:val="auto"/>
              </w:rPr>
              <w:t>2002</w:t>
            </w:r>
          </w:p>
        </w:tc>
        <w:tc>
          <w:tcPr>
            <w:tcW w:w="2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rPr>
              <w:t>2001</w:t>
            </w: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6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6"/>
        </w:trPr>
        <w:tc>
          <w:tcPr>
            <w:tcW w:w="4580" w:type="dxa"/>
            <w:vAlign w:val="bottom"/>
          </w:tcPr>
          <w:p>
            <w:pPr>
              <w:jc w:val="right"/>
              <w:spacing w:after="0"/>
              <w:rPr>
                <w:sz w:val="20"/>
                <w:szCs w:val="20"/>
                <w:color w:val="auto"/>
              </w:rPr>
            </w:pPr>
            <w:r>
              <w:rPr>
                <w:rFonts w:ascii="Courier New" w:cs="Courier New" w:eastAsia="Courier New" w:hAnsi="Courier New"/>
                <w:sz w:val="15"/>
                <w:szCs w:val="15"/>
                <w:color w:val="auto"/>
              </w:rPr>
              <w:t>Net revenues . . . . . . . . . . . . . . . . . . .</w:t>
            </w:r>
          </w:p>
        </w:tc>
        <w:tc>
          <w:tcPr>
            <w:tcW w:w="11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$ 2,162</w:t>
            </w:r>
          </w:p>
        </w:tc>
        <w:tc>
          <w:tcPr>
            <w:tcW w:w="11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$ 2,037</w:t>
            </w:r>
          </w:p>
        </w:tc>
        <w:tc>
          <w:tcPr>
            <w:tcW w:w="12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$ 3,989</w:t>
            </w:r>
          </w:p>
        </w:tc>
        <w:tc>
          <w:tcPr>
            <w:tcW w:w="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$ 4,565</w:t>
            </w: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4580" w:type="dxa"/>
            <w:vAlign w:val="bottom"/>
          </w:tcPr>
          <w:p>
            <w:pPr>
              <w:jc w:val="right"/>
              <w:spacing w:after="0"/>
              <w:rPr>
                <w:sz w:val="20"/>
                <w:szCs w:val="20"/>
                <w:color w:val="auto"/>
              </w:rPr>
            </w:pPr>
            <w:r>
              <w:rPr>
                <w:rFonts w:ascii="Courier New" w:cs="Courier New" w:eastAsia="Courier New" w:hAnsi="Courier New"/>
                <w:sz w:val="15"/>
                <w:szCs w:val="15"/>
                <w:color w:val="auto"/>
              </w:rPr>
              <w:t>Cost of revenues . . . . . . . . . . . . . . . .</w:t>
            </w:r>
          </w:p>
        </w:tc>
        <w:tc>
          <w:tcPr>
            <w:tcW w:w="36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1,306</w:t>
            </w:r>
          </w:p>
        </w:tc>
        <w:tc>
          <w:tcPr>
            <w:tcW w:w="260" w:type="dxa"/>
            <w:vAlign w:val="bottom"/>
          </w:tcPr>
          <w:p>
            <w:pPr>
              <w:spacing w:after="0"/>
              <w:rPr>
                <w:sz w:val="15"/>
                <w:szCs w:val="15"/>
                <w:color w:val="auto"/>
              </w:rPr>
            </w:pP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7"/>
              </w:rPr>
              <w:t>1,523</w:t>
            </w:r>
          </w:p>
        </w:tc>
        <w:tc>
          <w:tcPr>
            <w:tcW w:w="500" w:type="dxa"/>
            <w:vAlign w:val="bottom"/>
          </w:tcPr>
          <w:p>
            <w:pPr>
              <w:spacing w:after="0"/>
              <w:rPr>
                <w:sz w:val="15"/>
                <w:szCs w:val="15"/>
                <w:color w:val="auto"/>
              </w:rPr>
            </w:pPr>
          </w:p>
        </w:tc>
        <w:tc>
          <w:tcPr>
            <w:tcW w:w="7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2,523</w:t>
            </w:r>
          </w:p>
        </w:tc>
        <w:tc>
          <w:tcPr>
            <w:tcW w:w="24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3,028</w:t>
            </w:r>
          </w:p>
        </w:tc>
      </w:tr>
      <w:tr>
        <w:trPr>
          <w:trHeight w:val="176"/>
        </w:trPr>
        <w:tc>
          <w:tcPr>
            <w:tcW w:w="4580" w:type="dxa"/>
            <w:vAlign w:val="bottom"/>
          </w:tcPr>
          <w:p>
            <w:pPr>
              <w:jc w:val="right"/>
              <w:spacing w:after="0"/>
              <w:rPr>
                <w:sz w:val="20"/>
                <w:szCs w:val="20"/>
                <w:color w:val="auto"/>
              </w:rPr>
            </w:pPr>
            <w:r>
              <w:rPr>
                <w:rFonts w:ascii="Courier New" w:cs="Courier New" w:eastAsia="Courier New" w:hAnsi="Courier New"/>
                <w:sz w:val="15"/>
                <w:szCs w:val="15"/>
                <w:color w:val="auto"/>
              </w:rPr>
              <w:t>Research and development . . . . . . . . . . . .</w:t>
            </w:r>
          </w:p>
        </w:tc>
        <w:tc>
          <w:tcPr>
            <w:tcW w:w="36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404</w:t>
            </w:r>
          </w:p>
        </w:tc>
        <w:tc>
          <w:tcPr>
            <w:tcW w:w="260" w:type="dxa"/>
            <w:vAlign w:val="bottom"/>
          </w:tcPr>
          <w:p>
            <w:pPr>
              <w:spacing w:after="0"/>
              <w:rPr>
                <w:sz w:val="15"/>
                <w:szCs w:val="15"/>
                <w:color w:val="auto"/>
              </w:rPr>
            </w:pP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412</w:t>
            </w:r>
          </w:p>
        </w:tc>
        <w:tc>
          <w:tcPr>
            <w:tcW w:w="500" w:type="dxa"/>
            <w:vAlign w:val="bottom"/>
          </w:tcPr>
          <w:p>
            <w:pPr>
              <w:spacing w:after="0"/>
              <w:rPr>
                <w:sz w:val="15"/>
                <w:szCs w:val="15"/>
                <w:color w:val="auto"/>
              </w:rPr>
            </w:pPr>
          </w:p>
        </w:tc>
        <w:tc>
          <w:tcPr>
            <w:tcW w:w="7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792</w:t>
            </w:r>
          </w:p>
        </w:tc>
        <w:tc>
          <w:tcPr>
            <w:tcW w:w="24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858</w:t>
            </w:r>
          </w:p>
        </w:tc>
      </w:tr>
      <w:tr>
        <w:trPr>
          <w:trHeight w:val="176"/>
        </w:trPr>
        <w:tc>
          <w:tcPr>
            <w:tcW w:w="4580" w:type="dxa"/>
            <w:vAlign w:val="bottom"/>
          </w:tcPr>
          <w:p>
            <w:pPr>
              <w:jc w:val="right"/>
              <w:spacing w:after="0"/>
              <w:rPr>
                <w:sz w:val="20"/>
                <w:szCs w:val="20"/>
                <w:color w:val="auto"/>
              </w:rPr>
            </w:pPr>
            <w:r>
              <w:rPr>
                <w:rFonts w:ascii="Courier New" w:cs="Courier New" w:eastAsia="Courier New" w:hAnsi="Courier New"/>
                <w:sz w:val="15"/>
                <w:szCs w:val="15"/>
                <w:color w:val="auto"/>
              </w:rPr>
              <w:t>Selling, general and administrative. . . . . . .</w:t>
            </w:r>
          </w:p>
        </w:tc>
        <w:tc>
          <w:tcPr>
            <w:tcW w:w="36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297</w:t>
            </w:r>
          </w:p>
        </w:tc>
        <w:tc>
          <w:tcPr>
            <w:tcW w:w="260" w:type="dxa"/>
            <w:vAlign w:val="bottom"/>
          </w:tcPr>
          <w:p>
            <w:pPr>
              <w:spacing w:after="0"/>
              <w:rPr>
                <w:sz w:val="15"/>
                <w:szCs w:val="15"/>
                <w:color w:val="auto"/>
              </w:rPr>
            </w:pP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400</w:t>
            </w:r>
          </w:p>
        </w:tc>
        <w:tc>
          <w:tcPr>
            <w:tcW w:w="500" w:type="dxa"/>
            <w:vAlign w:val="bottom"/>
          </w:tcPr>
          <w:p>
            <w:pPr>
              <w:spacing w:after="0"/>
              <w:rPr>
                <w:sz w:val="15"/>
                <w:szCs w:val="15"/>
                <w:color w:val="auto"/>
              </w:rPr>
            </w:pPr>
          </w:p>
        </w:tc>
        <w:tc>
          <w:tcPr>
            <w:tcW w:w="7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563</w:t>
            </w:r>
          </w:p>
        </w:tc>
        <w:tc>
          <w:tcPr>
            <w:tcW w:w="24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748</w:t>
            </w:r>
          </w:p>
        </w:tc>
      </w:tr>
      <w:tr>
        <w:trPr>
          <w:trHeight w:val="176"/>
        </w:trPr>
        <w:tc>
          <w:tcPr>
            <w:tcW w:w="4580" w:type="dxa"/>
            <w:vAlign w:val="bottom"/>
          </w:tcPr>
          <w:p>
            <w:pPr>
              <w:spacing w:after="0"/>
              <w:rPr>
                <w:sz w:val="15"/>
                <w:szCs w:val="15"/>
                <w:color w:val="auto"/>
              </w:rPr>
            </w:pPr>
          </w:p>
        </w:tc>
        <w:tc>
          <w:tcPr>
            <w:tcW w:w="11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jc w:val="right"/>
              <w:spacing w:after="0"/>
              <w:rPr>
                <w:sz w:val="20"/>
                <w:szCs w:val="20"/>
                <w:color w:val="auto"/>
              </w:rPr>
            </w:pPr>
            <w:r>
              <w:rPr>
                <w:rFonts w:ascii="Courier New" w:cs="Courier New" w:eastAsia="Courier New" w:hAnsi="Courier New"/>
                <w:sz w:val="15"/>
                <w:szCs w:val="15"/>
                <w:color w:val="auto"/>
              </w:rPr>
              <w:t>Total. . . . . . . . . . . . . . . . . . . . .</w:t>
            </w:r>
          </w:p>
        </w:tc>
        <w:tc>
          <w:tcPr>
            <w:tcW w:w="36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2,007</w:t>
            </w:r>
          </w:p>
        </w:tc>
        <w:tc>
          <w:tcPr>
            <w:tcW w:w="260" w:type="dxa"/>
            <w:vAlign w:val="bottom"/>
          </w:tcPr>
          <w:p>
            <w:pPr>
              <w:spacing w:after="0"/>
              <w:rPr>
                <w:sz w:val="15"/>
                <w:szCs w:val="15"/>
                <w:color w:val="auto"/>
              </w:rPr>
            </w:pP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7"/>
              </w:rPr>
              <w:t>2,335</w:t>
            </w:r>
          </w:p>
        </w:tc>
        <w:tc>
          <w:tcPr>
            <w:tcW w:w="500" w:type="dxa"/>
            <w:vAlign w:val="bottom"/>
          </w:tcPr>
          <w:p>
            <w:pPr>
              <w:spacing w:after="0"/>
              <w:rPr>
                <w:sz w:val="15"/>
                <w:szCs w:val="15"/>
                <w:color w:val="auto"/>
              </w:rPr>
            </w:pPr>
          </w:p>
        </w:tc>
        <w:tc>
          <w:tcPr>
            <w:tcW w:w="7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3,878</w:t>
            </w:r>
          </w:p>
        </w:tc>
        <w:tc>
          <w:tcPr>
            <w:tcW w:w="24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4,634</w:t>
            </w:r>
          </w:p>
        </w:tc>
      </w:tr>
      <w:tr>
        <w:trPr>
          <w:trHeight w:val="176"/>
        </w:trPr>
        <w:tc>
          <w:tcPr>
            <w:tcW w:w="4580" w:type="dxa"/>
            <w:vAlign w:val="bottom"/>
          </w:tcPr>
          <w:p>
            <w:pPr>
              <w:spacing w:after="0"/>
              <w:rPr>
                <w:sz w:val="15"/>
                <w:szCs w:val="15"/>
                <w:color w:val="auto"/>
              </w:rPr>
            </w:pPr>
          </w:p>
        </w:tc>
        <w:tc>
          <w:tcPr>
            <w:tcW w:w="11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jc w:val="right"/>
              <w:spacing w:after="0"/>
              <w:rPr>
                <w:sz w:val="20"/>
                <w:szCs w:val="20"/>
                <w:color w:val="auto"/>
              </w:rPr>
            </w:pPr>
            <w:r>
              <w:rPr>
                <w:rFonts w:ascii="Courier New" w:cs="Courier New" w:eastAsia="Courier New" w:hAnsi="Courier New"/>
                <w:sz w:val="15"/>
                <w:szCs w:val="15"/>
                <w:color w:val="auto"/>
              </w:rPr>
              <w:t>Profit (loss) from operations. . . . . . . . . . .</w:t>
            </w:r>
          </w:p>
        </w:tc>
        <w:tc>
          <w:tcPr>
            <w:tcW w:w="36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155</w:t>
            </w:r>
          </w:p>
        </w:tc>
        <w:tc>
          <w:tcPr>
            <w:tcW w:w="26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(298)</w:t>
            </w:r>
          </w:p>
        </w:tc>
        <w:tc>
          <w:tcPr>
            <w:tcW w:w="500" w:type="dxa"/>
            <w:vAlign w:val="bottom"/>
          </w:tcPr>
          <w:p>
            <w:pPr>
              <w:spacing w:after="0"/>
              <w:rPr>
                <w:sz w:val="15"/>
                <w:szCs w:val="15"/>
                <w:color w:val="auto"/>
              </w:rPr>
            </w:pPr>
          </w:p>
        </w:tc>
        <w:tc>
          <w:tcPr>
            <w:tcW w:w="7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111</w:t>
            </w:r>
          </w:p>
        </w:tc>
        <w:tc>
          <w:tcPr>
            <w:tcW w:w="240" w:type="dxa"/>
            <w:vAlign w:val="bottom"/>
          </w:tcPr>
          <w:p>
            <w:pPr>
              <w:spacing w:after="0"/>
              <w:rPr>
                <w:sz w:val="15"/>
                <w:szCs w:val="15"/>
                <w:color w:val="auto"/>
              </w:rPr>
            </w:pP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(69)</w:t>
            </w:r>
          </w:p>
        </w:tc>
      </w:tr>
      <w:tr>
        <w:trPr>
          <w:trHeight w:val="176"/>
        </w:trPr>
        <w:tc>
          <w:tcPr>
            <w:tcW w:w="4580" w:type="dxa"/>
            <w:vAlign w:val="bottom"/>
          </w:tcPr>
          <w:p>
            <w:pPr>
              <w:jc w:val="right"/>
              <w:spacing w:after="0"/>
              <w:rPr>
                <w:sz w:val="20"/>
                <w:szCs w:val="20"/>
                <w:color w:val="auto"/>
              </w:rPr>
            </w:pPr>
            <w:r>
              <w:rPr>
                <w:rFonts w:ascii="Courier New" w:cs="Courier New" w:eastAsia="Courier New" w:hAnsi="Courier New"/>
                <w:sz w:val="15"/>
                <w:szCs w:val="15"/>
                <w:color w:val="auto"/>
              </w:rPr>
              <w:t>Other income (expense) net . . . . . . . . . . . .</w:t>
            </w:r>
          </w:p>
        </w:tc>
        <w:tc>
          <w:tcPr>
            <w:tcW w:w="36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w:t>
            </w:r>
          </w:p>
        </w:tc>
        <w:tc>
          <w:tcPr>
            <w:tcW w:w="260" w:type="dxa"/>
            <w:vAlign w:val="bottom"/>
          </w:tcPr>
          <w:p>
            <w:pPr>
              <w:spacing w:after="0"/>
              <w:rPr>
                <w:sz w:val="15"/>
                <w:szCs w:val="15"/>
                <w:color w:val="auto"/>
              </w:rPr>
            </w:pP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57</w:t>
            </w:r>
          </w:p>
        </w:tc>
        <w:tc>
          <w:tcPr>
            <w:tcW w:w="500" w:type="dxa"/>
            <w:vAlign w:val="bottom"/>
          </w:tcPr>
          <w:p>
            <w:pPr>
              <w:spacing w:after="0"/>
              <w:rPr>
                <w:sz w:val="15"/>
                <w:szCs w:val="15"/>
                <w:color w:val="auto"/>
              </w:rPr>
            </w:pP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w:t>
            </w:r>
          </w:p>
        </w:tc>
        <w:tc>
          <w:tcPr>
            <w:tcW w:w="24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164</w:t>
            </w:r>
          </w:p>
        </w:tc>
      </w:tr>
      <w:tr>
        <w:trPr>
          <w:trHeight w:val="176"/>
        </w:trPr>
        <w:tc>
          <w:tcPr>
            <w:tcW w:w="4580" w:type="dxa"/>
            <w:vAlign w:val="bottom"/>
          </w:tcPr>
          <w:p>
            <w:pPr>
              <w:jc w:val="right"/>
              <w:spacing w:after="0"/>
              <w:rPr>
                <w:sz w:val="20"/>
                <w:szCs w:val="20"/>
                <w:color w:val="auto"/>
              </w:rPr>
            </w:pPr>
            <w:r>
              <w:rPr>
                <w:rFonts w:ascii="Courier New" w:cs="Courier New" w:eastAsia="Courier New" w:hAnsi="Courier New"/>
                <w:sz w:val="15"/>
                <w:szCs w:val="15"/>
                <w:color w:val="auto"/>
              </w:rPr>
              <w:t>Interest on loans. . . . . . . . . . . . . . . . .</w:t>
            </w:r>
          </w:p>
        </w:tc>
        <w:tc>
          <w:tcPr>
            <w:tcW w:w="36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w:t>
            </w:r>
          </w:p>
        </w:tc>
        <w:tc>
          <w:tcPr>
            <w:tcW w:w="260" w:type="dxa"/>
            <w:vAlign w:val="bottom"/>
          </w:tcPr>
          <w:p>
            <w:pPr>
              <w:spacing w:after="0"/>
              <w:rPr>
                <w:sz w:val="15"/>
                <w:szCs w:val="15"/>
                <w:color w:val="auto"/>
              </w:rPr>
            </w:pP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w:t>
            </w:r>
          </w:p>
        </w:tc>
        <w:tc>
          <w:tcPr>
            <w:tcW w:w="500" w:type="dxa"/>
            <w:vAlign w:val="bottom"/>
          </w:tcPr>
          <w:p>
            <w:pPr>
              <w:spacing w:after="0"/>
              <w:rPr>
                <w:sz w:val="15"/>
                <w:szCs w:val="15"/>
                <w:color w:val="auto"/>
              </w:rPr>
            </w:pPr>
          </w:p>
        </w:tc>
        <w:tc>
          <w:tcPr>
            <w:tcW w:w="7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29</w:t>
            </w:r>
          </w:p>
        </w:tc>
        <w:tc>
          <w:tcPr>
            <w:tcW w:w="24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w:t>
            </w:r>
          </w:p>
        </w:tc>
      </w:tr>
      <w:tr>
        <w:trPr>
          <w:trHeight w:val="176"/>
        </w:trPr>
        <w:tc>
          <w:tcPr>
            <w:tcW w:w="4580" w:type="dxa"/>
            <w:vAlign w:val="bottom"/>
          </w:tcPr>
          <w:p>
            <w:pPr>
              <w:spacing w:after="0"/>
              <w:rPr>
                <w:sz w:val="15"/>
                <w:szCs w:val="15"/>
                <w:color w:val="auto"/>
              </w:rPr>
            </w:pPr>
          </w:p>
        </w:tc>
        <w:tc>
          <w:tcPr>
            <w:tcW w:w="11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jc w:val="right"/>
              <w:spacing w:after="0"/>
              <w:rPr>
                <w:sz w:val="20"/>
                <w:szCs w:val="20"/>
                <w:color w:val="auto"/>
              </w:rPr>
            </w:pPr>
            <w:r>
              <w:rPr>
                <w:rFonts w:ascii="Courier New" w:cs="Courier New" w:eastAsia="Courier New" w:hAnsi="Courier New"/>
                <w:sz w:val="15"/>
                <w:szCs w:val="15"/>
                <w:color w:val="auto"/>
              </w:rPr>
              <w:t>Income (loss) before income taxes. . . . . . . . .</w:t>
            </w:r>
          </w:p>
        </w:tc>
        <w:tc>
          <w:tcPr>
            <w:tcW w:w="36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117</w:t>
            </w:r>
          </w:p>
        </w:tc>
        <w:tc>
          <w:tcPr>
            <w:tcW w:w="26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(256)</w:t>
            </w:r>
          </w:p>
        </w:tc>
        <w:tc>
          <w:tcPr>
            <w:tcW w:w="500" w:type="dxa"/>
            <w:vAlign w:val="bottom"/>
          </w:tcPr>
          <w:p>
            <w:pPr>
              <w:spacing w:after="0"/>
              <w:rPr>
                <w:sz w:val="15"/>
                <w:szCs w:val="15"/>
                <w:color w:val="auto"/>
              </w:rPr>
            </w:pPr>
          </w:p>
        </w:tc>
        <w:tc>
          <w:tcPr>
            <w:tcW w:w="7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69</w:t>
            </w:r>
          </w:p>
        </w:tc>
        <w:tc>
          <w:tcPr>
            <w:tcW w:w="24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64</w:t>
            </w:r>
          </w:p>
        </w:tc>
      </w:tr>
      <w:tr>
        <w:trPr>
          <w:trHeight w:val="176"/>
        </w:trPr>
        <w:tc>
          <w:tcPr>
            <w:tcW w:w="4580" w:type="dxa"/>
            <w:vAlign w:val="bottom"/>
          </w:tcPr>
          <w:p>
            <w:pPr>
              <w:jc w:val="right"/>
              <w:spacing w:after="0"/>
              <w:rPr>
                <w:sz w:val="20"/>
                <w:szCs w:val="20"/>
                <w:color w:val="auto"/>
              </w:rPr>
            </w:pPr>
            <w:r>
              <w:rPr>
                <w:rFonts w:ascii="Courier New" w:cs="Courier New" w:eastAsia="Courier New" w:hAnsi="Courier New"/>
                <w:sz w:val="15"/>
                <w:szCs w:val="15"/>
                <w:color w:val="auto"/>
              </w:rPr>
              <w:t>Provision (benefit) for income taxes . . . . . . .</w:t>
            </w:r>
          </w:p>
        </w:tc>
        <w:tc>
          <w:tcPr>
            <w:tcW w:w="36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w:t>
            </w:r>
          </w:p>
        </w:tc>
        <w:tc>
          <w:tcPr>
            <w:tcW w:w="26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(59)</w:t>
            </w:r>
          </w:p>
        </w:tc>
        <w:tc>
          <w:tcPr>
            <w:tcW w:w="500" w:type="dxa"/>
            <w:vAlign w:val="bottom"/>
          </w:tcPr>
          <w:p>
            <w:pPr>
              <w:spacing w:after="0"/>
              <w:rPr>
                <w:sz w:val="15"/>
                <w:szCs w:val="15"/>
                <w:color w:val="auto"/>
              </w:rPr>
            </w:pPr>
          </w:p>
        </w:tc>
        <w:tc>
          <w:tcPr>
            <w:tcW w:w="7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12</w:t>
            </w:r>
          </w:p>
        </w:tc>
        <w:tc>
          <w:tcPr>
            <w:tcW w:w="24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w:t>
            </w:r>
          </w:p>
        </w:tc>
      </w:tr>
      <w:tr>
        <w:trPr>
          <w:trHeight w:val="176"/>
        </w:trPr>
        <w:tc>
          <w:tcPr>
            <w:tcW w:w="4580" w:type="dxa"/>
            <w:vAlign w:val="bottom"/>
          </w:tcPr>
          <w:p>
            <w:pPr>
              <w:spacing w:after="0"/>
              <w:rPr>
                <w:sz w:val="15"/>
                <w:szCs w:val="15"/>
                <w:color w:val="auto"/>
              </w:rPr>
            </w:pPr>
          </w:p>
        </w:tc>
        <w:tc>
          <w:tcPr>
            <w:tcW w:w="11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jc w:val="right"/>
              <w:spacing w:after="0"/>
              <w:rPr>
                <w:sz w:val="20"/>
                <w:szCs w:val="20"/>
                <w:color w:val="auto"/>
              </w:rPr>
            </w:pPr>
            <w:r>
              <w:rPr>
                <w:rFonts w:ascii="Courier New" w:cs="Courier New" w:eastAsia="Courier New" w:hAnsi="Courier New"/>
                <w:sz w:val="15"/>
                <w:szCs w:val="15"/>
                <w:color w:val="auto"/>
              </w:rPr>
              <w:t>Net income (loss). . . . . . . . . . . . . . . . .</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95</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(197)</w:t>
            </w:r>
          </w:p>
        </w:tc>
        <w:tc>
          <w:tcPr>
            <w:tcW w:w="50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57</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w:t>
            </w:r>
          </w:p>
        </w:tc>
      </w:tr>
      <w:tr>
        <w:trPr>
          <w:trHeight w:val="176"/>
        </w:trPr>
        <w:tc>
          <w:tcPr>
            <w:tcW w:w="4580" w:type="dxa"/>
            <w:vAlign w:val="bottom"/>
          </w:tcPr>
          <w:p>
            <w:pPr>
              <w:spacing w:after="0"/>
              <w:rPr>
                <w:sz w:val="15"/>
                <w:szCs w:val="15"/>
                <w:color w:val="auto"/>
              </w:rPr>
            </w:pPr>
          </w:p>
        </w:tc>
        <w:tc>
          <w:tcPr>
            <w:tcW w:w="11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jc w:val="right"/>
              <w:spacing w:after="0"/>
              <w:rPr>
                <w:sz w:val="20"/>
                <w:szCs w:val="20"/>
                <w:color w:val="auto"/>
              </w:rPr>
            </w:pPr>
            <w:r>
              <w:rPr>
                <w:rFonts w:ascii="Courier New" w:cs="Courier New" w:eastAsia="Courier New" w:hAnsi="Courier New"/>
                <w:sz w:val="15"/>
                <w:szCs w:val="15"/>
                <w:color w:val="auto"/>
              </w:rPr>
              <w:t>Diluted earnings (loss) per common share . . . . .</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.05</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w:t>
            </w:r>
          </w:p>
        </w:tc>
        <w:tc>
          <w:tcPr>
            <w:tcW w:w="50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.03</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.02</w:t>
            </w:r>
          </w:p>
        </w:tc>
      </w:tr>
    </w:tbl>
    <w:p>
      <w:pPr>
        <w:sectPr>
          <w:pgSz w:w="11900" w:h="16838" w:orient="portrait"/>
          <w:cols w:equalWidth="0" w:num="1">
            <w:col w:w="10219"/>
          </w:cols>
          <w:pgMar w:left="240" w:top="940"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660" w:type="dxa"/>
            <w:vAlign w:val="bottom"/>
          </w:tcPr>
          <w:p>
            <w:pPr>
              <w:spacing w:after="0"/>
              <w:rPr>
                <w:sz w:val="20"/>
                <w:szCs w:val="20"/>
                <w:color w:val="auto"/>
              </w:rPr>
            </w:pPr>
            <w:r>
              <w:rPr>
                <w:rFonts w:ascii="Courier New" w:cs="Courier New" w:eastAsia="Courier New" w:hAnsi="Courier New"/>
                <w:sz w:val="15"/>
                <w:szCs w:val="15"/>
                <w:color w:val="auto"/>
              </w:rPr>
              <w:t>Basic earnings (loss) per common share . . . . . .</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.05</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.03</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r>
        <w:trPr>
          <w:trHeight w:val="176"/>
        </w:trPr>
        <w:tc>
          <w:tcPr>
            <w:tcW w:w="4660" w:type="dxa"/>
            <w:vAlign w:val="bottom"/>
          </w:tcPr>
          <w:p>
            <w:pPr>
              <w:spacing w:after="0"/>
              <w:rPr>
                <w:sz w:val="15"/>
                <w:szCs w:val="15"/>
                <w:color w:val="auto"/>
              </w:rPr>
            </w:pPr>
          </w:p>
        </w:tc>
        <w:tc>
          <w:tcPr>
            <w:tcW w:w="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660" w:type="dxa"/>
            <w:vAlign w:val="bottom"/>
          </w:tcPr>
          <w:p>
            <w:pPr>
              <w:spacing w:after="0"/>
              <w:rPr>
                <w:sz w:val="20"/>
                <w:szCs w:val="20"/>
                <w:color w:val="auto"/>
              </w:rPr>
            </w:pPr>
            <w:r>
              <w:rPr>
                <w:rFonts w:ascii="Courier New" w:cs="Courier New" w:eastAsia="Courier New" w:hAnsi="Courier New"/>
                <w:sz w:val="15"/>
                <w:szCs w:val="15"/>
                <w:color w:val="auto"/>
              </w:rPr>
              <w:t>Cash dividends declared per share of common stock.</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.021</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.021</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.043</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.043</w:t>
            </w:r>
          </w:p>
        </w:tc>
      </w:tr>
      <w:tr>
        <w:trPr>
          <w:trHeight w:val="705"/>
        </w:trPr>
        <w:tc>
          <w:tcPr>
            <w:tcW w:w="46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2</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0219"/>
          </w:cols>
          <w:pgMar w:left="240" w:top="142" w:right="1440" w:bottom="1440" w:gutter="0" w:footer="0" w:header="0"/>
        </w:sectPr>
      </w:pPr>
    </w:p>
    <w:bookmarkStart w:id="2" w:name="page3"/>
    <w:bookmarkEnd w:id="2"/>
    <w:p>
      <w:pPr>
        <w:jc w:val="center"/>
        <w:ind w:right="2999"/>
        <w:spacing w:after="0"/>
        <w:rPr>
          <w:sz w:val="20"/>
          <w:szCs w:val="20"/>
          <w:color w:val="auto"/>
        </w:rPr>
      </w:pPr>
      <w:r>
        <w:rPr>
          <w:rFonts w:ascii="Courier New" w:cs="Courier New" w:eastAsia="Courier New" w:hAnsi="Courier New"/>
          <w:sz w:val="15"/>
          <w:szCs w:val="15"/>
          <w:color w:val="auto"/>
        </w:rPr>
        <w:t>TEXAS INSTRUMENTS INCORPORATED AND SUBSIDIARIES</w:t>
      </w:r>
    </w:p>
    <w:p>
      <w:pPr>
        <w:spacing w:after="0" w:line="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ind w:left="1560"/>
              <w:spacing w:after="0"/>
              <w:rPr>
                <w:sz w:val="20"/>
                <w:szCs w:val="20"/>
                <w:color w:val="auto"/>
              </w:rPr>
            </w:pPr>
            <w:r>
              <w:rPr>
                <w:rFonts w:ascii="Courier New" w:cs="Courier New" w:eastAsia="Courier New" w:hAnsi="Courier New"/>
                <w:sz w:val="15"/>
                <w:szCs w:val="15"/>
                <w:color w:val="auto"/>
              </w:rPr>
              <w:t>(In millions of dollars, except share amounts)</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881"/>
        </w:trPr>
        <w:tc>
          <w:tcPr>
            <w:tcW w:w="5860" w:type="dxa"/>
            <w:vAlign w:val="bottom"/>
          </w:tcPr>
          <w:p>
            <w:pPr>
              <w:spacing w:after="0"/>
              <w:rPr>
                <w:sz w:val="20"/>
                <w:szCs w:val="20"/>
                <w:color w:val="auto"/>
              </w:rPr>
            </w:pPr>
            <w:r>
              <w:rPr>
                <w:rFonts w:ascii="Courier New" w:cs="Courier New" w:eastAsia="Courier New" w:hAnsi="Courier New"/>
                <w:sz w:val="15"/>
                <w:szCs w:val="15"/>
                <w:color w:val="auto"/>
              </w:rPr>
              <w:t>Balance Sheet</w:t>
            </w:r>
          </w:p>
        </w:tc>
        <w:tc>
          <w:tcPr>
            <w:tcW w:w="9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8"/>
              </w:rPr>
              <w:t>June 30</w:t>
            </w:r>
          </w:p>
        </w:tc>
        <w:tc>
          <w:tcPr>
            <w:tcW w:w="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Dec. 31</w:t>
            </w:r>
          </w:p>
        </w:tc>
      </w:tr>
      <w:tr>
        <w:trPr>
          <w:trHeight w:val="176"/>
        </w:trPr>
        <w:tc>
          <w:tcPr>
            <w:tcW w:w="58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2002</w:t>
            </w: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r>
      <w:tr>
        <w:trPr>
          <w:trHeight w:val="176"/>
        </w:trPr>
        <w:tc>
          <w:tcPr>
            <w:tcW w:w="58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9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8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Cash and cash equivalents. . . . . . . . . . . . . . . . .</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487</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431</w:t>
            </w:r>
          </w:p>
        </w:tc>
      </w:tr>
      <w:tr>
        <w:trPr>
          <w:trHeight w:val="176"/>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Short-term investments . . . . . . . . . . . . . . . . . .</w:t>
            </w:r>
          </w:p>
        </w:tc>
        <w:tc>
          <w:tcPr>
            <w:tcW w:w="80" w:type="dxa"/>
            <w:vAlign w:val="bottom"/>
          </w:tcPr>
          <w:p>
            <w:pPr>
              <w:spacing w:after="0"/>
              <w:rPr>
                <w:sz w:val="15"/>
                <w:szCs w:val="15"/>
                <w:color w:val="auto"/>
              </w:rPr>
            </w:pP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1,983</w:t>
            </w:r>
          </w:p>
        </w:tc>
        <w:tc>
          <w:tcPr>
            <w:tcW w:w="2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2,513</w:t>
            </w:r>
          </w:p>
        </w:tc>
      </w:tr>
      <w:tr>
        <w:trPr>
          <w:trHeight w:val="176"/>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 net of allowances for customer</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5860" w:type="dxa"/>
            <w:vAlign w:val="bottom"/>
          </w:tcPr>
          <w:p>
            <w:pPr>
              <w:ind w:left="540"/>
              <w:spacing w:after="0"/>
              <w:rPr>
                <w:sz w:val="20"/>
                <w:szCs w:val="20"/>
                <w:color w:val="auto"/>
              </w:rPr>
            </w:pPr>
            <w:r>
              <w:rPr>
                <w:rFonts w:ascii="Courier New" w:cs="Courier New" w:eastAsia="Courier New" w:hAnsi="Courier New"/>
                <w:sz w:val="15"/>
                <w:szCs w:val="15"/>
                <w:color w:val="auto"/>
              </w:rPr>
              <w:t>adjustments and doubtful accounts of $43 million</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5860" w:type="dxa"/>
            <w:vAlign w:val="bottom"/>
          </w:tcPr>
          <w:p>
            <w:pPr>
              <w:ind w:left="540"/>
              <w:spacing w:after="0"/>
              <w:rPr>
                <w:sz w:val="20"/>
                <w:szCs w:val="20"/>
                <w:color w:val="auto"/>
              </w:rPr>
            </w:pPr>
            <w:r>
              <w:rPr>
                <w:rFonts w:ascii="Courier New" w:cs="Courier New" w:eastAsia="Courier New" w:hAnsi="Courier New"/>
                <w:sz w:val="15"/>
                <w:szCs w:val="15"/>
                <w:color w:val="auto"/>
              </w:rPr>
              <w:t>in 2002 and $61 million in 2001 . . . . . . . . . . . .</w:t>
            </w:r>
          </w:p>
        </w:tc>
        <w:tc>
          <w:tcPr>
            <w:tcW w:w="80" w:type="dxa"/>
            <w:vAlign w:val="bottom"/>
          </w:tcPr>
          <w:p>
            <w:pPr>
              <w:spacing w:after="0"/>
              <w:rPr>
                <w:sz w:val="15"/>
                <w:szCs w:val="15"/>
                <w:color w:val="auto"/>
              </w:rPr>
            </w:pP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1,535</w:t>
            </w:r>
          </w:p>
        </w:tc>
        <w:tc>
          <w:tcPr>
            <w:tcW w:w="2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1,198</w:t>
            </w:r>
          </w:p>
        </w:tc>
      </w:tr>
      <w:tr>
        <w:trPr>
          <w:trHeight w:val="176"/>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Inventories:</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Raw materials . . . . . . . . . . . . . . . . . . . . . .</w:t>
            </w:r>
          </w:p>
        </w:tc>
        <w:tc>
          <w:tcPr>
            <w:tcW w:w="80" w:type="dxa"/>
            <w:vAlign w:val="bottom"/>
          </w:tcPr>
          <w:p>
            <w:pPr>
              <w:spacing w:after="0"/>
              <w:rPr>
                <w:sz w:val="15"/>
                <w:szCs w:val="15"/>
                <w:color w:val="auto"/>
              </w:rPr>
            </w:pP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124</w:t>
            </w:r>
          </w:p>
        </w:tc>
        <w:tc>
          <w:tcPr>
            <w:tcW w:w="2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133</w:t>
            </w:r>
          </w:p>
        </w:tc>
      </w:tr>
      <w:tr>
        <w:trPr>
          <w:trHeight w:val="176"/>
        </w:trPr>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Work in process . . . . . . . . . . . . . . . . . . . . .</w:t>
            </w:r>
          </w:p>
        </w:tc>
        <w:tc>
          <w:tcPr>
            <w:tcW w:w="80" w:type="dxa"/>
            <w:vAlign w:val="bottom"/>
          </w:tcPr>
          <w:p>
            <w:pPr>
              <w:spacing w:after="0"/>
              <w:rPr>
                <w:sz w:val="15"/>
                <w:szCs w:val="15"/>
                <w:color w:val="auto"/>
              </w:rPr>
            </w:pP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474</w:t>
            </w:r>
          </w:p>
        </w:tc>
        <w:tc>
          <w:tcPr>
            <w:tcW w:w="2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407</w:t>
            </w:r>
          </w:p>
        </w:tc>
      </w:tr>
      <w:tr>
        <w:trPr>
          <w:trHeight w:val="176"/>
        </w:trPr>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Finished goods. . . . . . . . . . . . . . . . . . . . . .</w:t>
            </w:r>
          </w:p>
        </w:tc>
        <w:tc>
          <w:tcPr>
            <w:tcW w:w="80" w:type="dxa"/>
            <w:vAlign w:val="bottom"/>
          </w:tcPr>
          <w:p>
            <w:pPr>
              <w:spacing w:after="0"/>
              <w:rPr>
                <w:sz w:val="15"/>
                <w:szCs w:val="15"/>
                <w:color w:val="auto"/>
              </w:rPr>
            </w:pP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222</w:t>
            </w:r>
          </w:p>
        </w:tc>
        <w:tc>
          <w:tcPr>
            <w:tcW w:w="2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211</w:t>
            </w:r>
          </w:p>
        </w:tc>
      </w:tr>
      <w:tr>
        <w:trPr>
          <w:trHeight w:val="176"/>
        </w:trPr>
        <w:tc>
          <w:tcPr>
            <w:tcW w:w="5860" w:type="dxa"/>
            <w:vAlign w:val="bottom"/>
          </w:tcPr>
          <w:p>
            <w:pPr>
              <w:spacing w:after="0"/>
              <w:rPr>
                <w:sz w:val="15"/>
                <w:szCs w:val="15"/>
                <w:color w:val="auto"/>
              </w:rPr>
            </w:pPr>
          </w:p>
        </w:tc>
        <w:tc>
          <w:tcPr>
            <w:tcW w:w="9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860" w:type="dxa"/>
            <w:vAlign w:val="bottom"/>
          </w:tcPr>
          <w:p>
            <w:pPr>
              <w:ind w:left="540"/>
              <w:spacing w:after="0"/>
              <w:rPr>
                <w:sz w:val="20"/>
                <w:szCs w:val="20"/>
                <w:color w:val="auto"/>
              </w:rPr>
            </w:pPr>
            <w:r>
              <w:rPr>
                <w:rFonts w:ascii="Courier New" w:cs="Courier New" w:eastAsia="Courier New" w:hAnsi="Courier New"/>
                <w:sz w:val="15"/>
                <w:szCs w:val="15"/>
                <w:color w:val="auto"/>
              </w:rPr>
              <w:t>Inventories . . . . . . . . . . . . . . . . . . . . . .</w:t>
            </w:r>
          </w:p>
        </w:tc>
        <w:tc>
          <w:tcPr>
            <w:tcW w:w="80" w:type="dxa"/>
            <w:vAlign w:val="bottom"/>
          </w:tcPr>
          <w:p>
            <w:pPr>
              <w:spacing w:after="0"/>
              <w:rPr>
                <w:sz w:val="15"/>
                <w:szCs w:val="15"/>
                <w:color w:val="auto"/>
              </w:rPr>
            </w:pP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820</w:t>
            </w:r>
          </w:p>
        </w:tc>
        <w:tc>
          <w:tcPr>
            <w:tcW w:w="2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751</w:t>
            </w:r>
          </w:p>
        </w:tc>
      </w:tr>
      <w:tr>
        <w:trPr>
          <w:trHeight w:val="176"/>
        </w:trPr>
        <w:tc>
          <w:tcPr>
            <w:tcW w:w="5860" w:type="dxa"/>
            <w:vAlign w:val="bottom"/>
          </w:tcPr>
          <w:p>
            <w:pPr>
              <w:spacing w:after="0"/>
              <w:rPr>
                <w:sz w:val="15"/>
                <w:szCs w:val="15"/>
                <w:color w:val="auto"/>
              </w:rPr>
            </w:pPr>
          </w:p>
        </w:tc>
        <w:tc>
          <w:tcPr>
            <w:tcW w:w="9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Deferred income taxes. . . . . . . . . . . . . . . . . . . .</w:t>
            </w:r>
          </w:p>
        </w:tc>
        <w:tc>
          <w:tcPr>
            <w:tcW w:w="80" w:type="dxa"/>
            <w:vAlign w:val="bottom"/>
          </w:tcPr>
          <w:p>
            <w:pPr>
              <w:spacing w:after="0"/>
              <w:rPr>
                <w:sz w:val="15"/>
                <w:szCs w:val="15"/>
                <w:color w:val="auto"/>
              </w:rPr>
            </w:pP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582</w:t>
            </w:r>
          </w:p>
        </w:tc>
        <w:tc>
          <w:tcPr>
            <w:tcW w:w="2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554</w:t>
            </w:r>
          </w:p>
        </w:tc>
      </w:tr>
      <w:tr>
        <w:trPr>
          <w:trHeight w:val="176"/>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Prepaid expenses and other current assets. . . . . . . . . .</w:t>
            </w:r>
          </w:p>
        </w:tc>
        <w:tc>
          <w:tcPr>
            <w:tcW w:w="80" w:type="dxa"/>
            <w:vAlign w:val="bottom"/>
          </w:tcPr>
          <w:p>
            <w:pPr>
              <w:spacing w:after="0"/>
              <w:rPr>
                <w:sz w:val="15"/>
                <w:szCs w:val="15"/>
                <w:color w:val="auto"/>
              </w:rPr>
            </w:pP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237</w:t>
            </w:r>
          </w:p>
        </w:tc>
        <w:tc>
          <w:tcPr>
            <w:tcW w:w="2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328</w:t>
            </w:r>
          </w:p>
        </w:tc>
      </w:tr>
      <w:tr>
        <w:trPr>
          <w:trHeight w:val="176"/>
        </w:trPr>
        <w:tc>
          <w:tcPr>
            <w:tcW w:w="5860" w:type="dxa"/>
            <w:vAlign w:val="bottom"/>
          </w:tcPr>
          <w:p>
            <w:pPr>
              <w:spacing w:after="0"/>
              <w:rPr>
                <w:sz w:val="15"/>
                <w:szCs w:val="15"/>
                <w:color w:val="auto"/>
              </w:rPr>
            </w:pPr>
          </w:p>
        </w:tc>
        <w:tc>
          <w:tcPr>
            <w:tcW w:w="9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Total current assets . . . . . . . . . . . . . . . . . . .</w:t>
            </w:r>
          </w:p>
        </w:tc>
        <w:tc>
          <w:tcPr>
            <w:tcW w:w="80" w:type="dxa"/>
            <w:vAlign w:val="bottom"/>
          </w:tcPr>
          <w:p>
            <w:pPr>
              <w:spacing w:after="0"/>
              <w:rPr>
                <w:sz w:val="15"/>
                <w:szCs w:val="15"/>
                <w:color w:val="auto"/>
              </w:rPr>
            </w:pP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5,644</w:t>
            </w:r>
          </w:p>
        </w:tc>
        <w:tc>
          <w:tcPr>
            <w:tcW w:w="2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5,775</w:t>
            </w:r>
          </w:p>
        </w:tc>
      </w:tr>
      <w:tr>
        <w:trPr>
          <w:trHeight w:val="176"/>
        </w:trPr>
        <w:tc>
          <w:tcPr>
            <w:tcW w:w="5860" w:type="dxa"/>
            <w:vAlign w:val="bottom"/>
          </w:tcPr>
          <w:p>
            <w:pPr>
              <w:spacing w:after="0"/>
              <w:rPr>
                <w:sz w:val="15"/>
                <w:szCs w:val="15"/>
                <w:color w:val="auto"/>
              </w:rPr>
            </w:pPr>
          </w:p>
        </w:tc>
        <w:tc>
          <w:tcPr>
            <w:tcW w:w="9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86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at cost. . . . . . . . . . . . .</w:t>
            </w:r>
          </w:p>
        </w:tc>
        <w:tc>
          <w:tcPr>
            <w:tcW w:w="80" w:type="dxa"/>
            <w:vAlign w:val="bottom"/>
          </w:tcPr>
          <w:p>
            <w:pPr>
              <w:spacing w:after="0"/>
              <w:rPr>
                <w:sz w:val="15"/>
                <w:szCs w:val="15"/>
                <w:color w:val="auto"/>
              </w:rPr>
            </w:pP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9,486</w:t>
            </w:r>
          </w:p>
        </w:tc>
        <w:tc>
          <w:tcPr>
            <w:tcW w:w="2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9,683</w:t>
            </w:r>
          </w:p>
        </w:tc>
      </w:tr>
      <w:tr>
        <w:trPr>
          <w:trHeight w:val="176"/>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Less accumulated depreciation. . . . . . . . . . . . . . . .</w:t>
            </w:r>
          </w:p>
        </w:tc>
        <w:tc>
          <w:tcPr>
            <w:tcW w:w="8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(4,402)</w:t>
            </w: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(4,094)</w:t>
            </w:r>
          </w:p>
        </w:tc>
      </w:tr>
      <w:tr>
        <w:trPr>
          <w:trHeight w:val="176"/>
        </w:trPr>
        <w:tc>
          <w:tcPr>
            <w:tcW w:w="5860" w:type="dxa"/>
            <w:vAlign w:val="bottom"/>
          </w:tcPr>
          <w:p>
            <w:pPr>
              <w:spacing w:after="0"/>
              <w:rPr>
                <w:sz w:val="15"/>
                <w:szCs w:val="15"/>
                <w:color w:val="auto"/>
              </w:rPr>
            </w:pPr>
          </w:p>
        </w:tc>
        <w:tc>
          <w:tcPr>
            <w:tcW w:w="9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Property, plant and equipment (net). . . . . . . . . . . .</w:t>
            </w:r>
          </w:p>
        </w:tc>
        <w:tc>
          <w:tcPr>
            <w:tcW w:w="80" w:type="dxa"/>
            <w:vAlign w:val="bottom"/>
          </w:tcPr>
          <w:p>
            <w:pPr>
              <w:spacing w:after="0"/>
              <w:rPr>
                <w:sz w:val="15"/>
                <w:szCs w:val="15"/>
                <w:color w:val="auto"/>
              </w:rPr>
            </w:pP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5,084</w:t>
            </w:r>
          </w:p>
        </w:tc>
        <w:tc>
          <w:tcPr>
            <w:tcW w:w="2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5,589</w:t>
            </w:r>
          </w:p>
        </w:tc>
      </w:tr>
      <w:tr>
        <w:trPr>
          <w:trHeight w:val="176"/>
        </w:trPr>
        <w:tc>
          <w:tcPr>
            <w:tcW w:w="5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5"/>
                <w:szCs w:val="15"/>
                <w:color w:val="auto"/>
              </w:rPr>
            </w:pP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860" w:type="dxa"/>
            <w:vAlign w:val="bottom"/>
          </w:tcPr>
          <w:p>
            <w:pPr>
              <w:spacing w:after="0"/>
              <w:rPr>
                <w:sz w:val="20"/>
                <w:szCs w:val="20"/>
                <w:color w:val="auto"/>
              </w:rPr>
            </w:pPr>
            <w:r>
              <w:rPr>
                <w:rFonts w:ascii="Courier New" w:cs="Courier New" w:eastAsia="Courier New" w:hAnsi="Courier New"/>
                <w:sz w:val="15"/>
                <w:szCs w:val="15"/>
                <w:color w:val="auto"/>
              </w:rPr>
              <w:t>Long-term cash investments . . . . . . . . . . . . . . . . . .</w:t>
            </w:r>
          </w:p>
        </w:tc>
        <w:tc>
          <w:tcPr>
            <w:tcW w:w="80" w:type="dxa"/>
            <w:vAlign w:val="bottom"/>
          </w:tcPr>
          <w:p>
            <w:pPr>
              <w:spacing w:after="0"/>
              <w:rPr>
                <w:sz w:val="15"/>
                <w:szCs w:val="15"/>
                <w:color w:val="auto"/>
              </w:rPr>
            </w:pP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1,004</w:t>
            </w:r>
          </w:p>
        </w:tc>
        <w:tc>
          <w:tcPr>
            <w:tcW w:w="2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407</w:t>
            </w:r>
          </w:p>
        </w:tc>
      </w:tr>
      <w:tr>
        <w:trPr>
          <w:trHeight w:val="176"/>
        </w:trPr>
        <w:tc>
          <w:tcPr>
            <w:tcW w:w="5860" w:type="dxa"/>
            <w:vAlign w:val="bottom"/>
          </w:tcPr>
          <w:p>
            <w:pPr>
              <w:spacing w:after="0"/>
              <w:rPr>
                <w:sz w:val="20"/>
                <w:szCs w:val="20"/>
                <w:color w:val="auto"/>
              </w:rPr>
            </w:pPr>
            <w:r>
              <w:rPr>
                <w:rFonts w:ascii="Courier New" w:cs="Courier New" w:eastAsia="Courier New" w:hAnsi="Courier New"/>
                <w:sz w:val="15"/>
                <w:szCs w:val="15"/>
                <w:color w:val="auto"/>
              </w:rPr>
              <w:t>Equity investments . . . . . . . . . . . . . . . . . . . . . .</w:t>
            </w:r>
          </w:p>
        </w:tc>
        <w:tc>
          <w:tcPr>
            <w:tcW w:w="80" w:type="dxa"/>
            <w:vAlign w:val="bottom"/>
          </w:tcPr>
          <w:p>
            <w:pPr>
              <w:spacing w:after="0"/>
              <w:rPr>
                <w:sz w:val="15"/>
                <w:szCs w:val="15"/>
                <w:color w:val="auto"/>
              </w:rPr>
            </w:pP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1,461</w:t>
            </w:r>
          </w:p>
        </w:tc>
        <w:tc>
          <w:tcPr>
            <w:tcW w:w="2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2,214</w:t>
            </w:r>
          </w:p>
        </w:tc>
      </w:tr>
      <w:tr>
        <w:trPr>
          <w:trHeight w:val="176"/>
        </w:trPr>
        <w:tc>
          <w:tcPr>
            <w:tcW w:w="5860" w:type="dxa"/>
            <w:vAlign w:val="bottom"/>
          </w:tcPr>
          <w:p>
            <w:pPr>
              <w:spacing w:after="0"/>
              <w:rPr>
                <w:sz w:val="20"/>
                <w:szCs w:val="20"/>
                <w:color w:val="auto"/>
              </w:rPr>
            </w:pPr>
            <w:r>
              <w:rPr>
                <w:rFonts w:ascii="Courier New" w:cs="Courier New" w:eastAsia="Courier New" w:hAnsi="Courier New"/>
                <w:sz w:val="15"/>
                <w:szCs w:val="15"/>
                <w:color w:val="auto"/>
              </w:rPr>
              <w:t>Goodwill . . . . . . . . . . . . . . . . . . . . . . . . . . .</w:t>
            </w:r>
          </w:p>
        </w:tc>
        <w:tc>
          <w:tcPr>
            <w:tcW w:w="80" w:type="dxa"/>
            <w:vAlign w:val="bottom"/>
          </w:tcPr>
          <w:p>
            <w:pPr>
              <w:spacing w:after="0"/>
              <w:rPr>
                <w:sz w:val="15"/>
                <w:szCs w:val="15"/>
                <w:color w:val="auto"/>
              </w:rPr>
            </w:pP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629</w:t>
            </w:r>
          </w:p>
        </w:tc>
        <w:tc>
          <w:tcPr>
            <w:tcW w:w="2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523</w:t>
            </w:r>
          </w:p>
        </w:tc>
      </w:tr>
      <w:tr>
        <w:trPr>
          <w:trHeight w:val="176"/>
        </w:trPr>
        <w:tc>
          <w:tcPr>
            <w:tcW w:w="5860" w:type="dxa"/>
            <w:vAlign w:val="bottom"/>
          </w:tcPr>
          <w:p>
            <w:pPr>
              <w:spacing w:after="0"/>
              <w:rPr>
                <w:sz w:val="20"/>
                <w:szCs w:val="20"/>
                <w:color w:val="auto"/>
              </w:rPr>
            </w:pPr>
            <w:r>
              <w:rPr>
                <w:rFonts w:ascii="Courier New" w:cs="Courier New" w:eastAsia="Courier New" w:hAnsi="Courier New"/>
                <w:sz w:val="15"/>
                <w:szCs w:val="15"/>
                <w:color w:val="auto"/>
              </w:rPr>
              <w:t>Acquisition-related intangibles. . . . . . . . . . . . . . . .</w:t>
            </w:r>
          </w:p>
        </w:tc>
        <w:tc>
          <w:tcPr>
            <w:tcW w:w="80" w:type="dxa"/>
            <w:vAlign w:val="bottom"/>
          </w:tcPr>
          <w:p>
            <w:pPr>
              <w:spacing w:after="0"/>
              <w:rPr>
                <w:sz w:val="15"/>
                <w:szCs w:val="15"/>
                <w:color w:val="auto"/>
              </w:rPr>
            </w:pP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217</w:t>
            </w:r>
          </w:p>
        </w:tc>
        <w:tc>
          <w:tcPr>
            <w:tcW w:w="2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225</w:t>
            </w:r>
          </w:p>
        </w:tc>
      </w:tr>
      <w:tr>
        <w:trPr>
          <w:trHeight w:val="176"/>
        </w:trPr>
        <w:tc>
          <w:tcPr>
            <w:tcW w:w="5860" w:type="dxa"/>
            <w:vAlign w:val="bottom"/>
          </w:tcPr>
          <w:p>
            <w:pPr>
              <w:spacing w:after="0"/>
              <w:rPr>
                <w:sz w:val="20"/>
                <w:szCs w:val="20"/>
                <w:color w:val="auto"/>
              </w:rPr>
            </w:pPr>
            <w:r>
              <w:rPr>
                <w:rFonts w:ascii="Courier New" w:cs="Courier New" w:eastAsia="Courier New" w:hAnsi="Courier New"/>
                <w:sz w:val="15"/>
                <w:szCs w:val="15"/>
                <w:color w:val="auto"/>
              </w:rPr>
              <w:t>Deferred income taxes. . . . . . . . . . . . . . . . . . . . .</w:t>
            </w:r>
          </w:p>
        </w:tc>
        <w:tc>
          <w:tcPr>
            <w:tcW w:w="80" w:type="dxa"/>
            <w:vAlign w:val="bottom"/>
          </w:tcPr>
          <w:p>
            <w:pPr>
              <w:spacing w:after="0"/>
              <w:rPr>
                <w:sz w:val="15"/>
                <w:szCs w:val="15"/>
                <w:color w:val="auto"/>
              </w:rPr>
            </w:pP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340</w:t>
            </w:r>
          </w:p>
        </w:tc>
        <w:tc>
          <w:tcPr>
            <w:tcW w:w="2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421</w:t>
            </w:r>
          </w:p>
        </w:tc>
      </w:tr>
      <w:tr>
        <w:trPr>
          <w:trHeight w:val="176"/>
        </w:trPr>
        <w:tc>
          <w:tcPr>
            <w:tcW w:w="5860" w:type="dxa"/>
            <w:vAlign w:val="bottom"/>
          </w:tcPr>
          <w:p>
            <w:pPr>
              <w:spacing w:after="0"/>
              <w:rPr>
                <w:sz w:val="20"/>
                <w:szCs w:val="20"/>
                <w:color w:val="auto"/>
              </w:rPr>
            </w:pPr>
            <w:r>
              <w:rPr>
                <w:rFonts w:ascii="Courier New" w:cs="Courier New" w:eastAsia="Courier New" w:hAnsi="Courier New"/>
                <w:sz w:val="15"/>
                <w:szCs w:val="15"/>
                <w:color w:val="auto"/>
              </w:rPr>
              <w:t>Other assets . . . . . . . . . . . . . . . . . . . . . . . . .</w:t>
            </w:r>
          </w:p>
        </w:tc>
        <w:tc>
          <w:tcPr>
            <w:tcW w:w="80" w:type="dxa"/>
            <w:vAlign w:val="bottom"/>
          </w:tcPr>
          <w:p>
            <w:pPr>
              <w:spacing w:after="0"/>
              <w:rPr>
                <w:sz w:val="15"/>
                <w:szCs w:val="15"/>
                <w:color w:val="auto"/>
              </w:rPr>
            </w:pP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610</w:t>
            </w:r>
          </w:p>
        </w:tc>
        <w:tc>
          <w:tcPr>
            <w:tcW w:w="2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625</w:t>
            </w:r>
          </w:p>
        </w:tc>
      </w:tr>
      <w:tr>
        <w:trPr>
          <w:trHeight w:val="176"/>
        </w:trPr>
        <w:tc>
          <w:tcPr>
            <w:tcW w:w="5860" w:type="dxa"/>
            <w:vAlign w:val="bottom"/>
          </w:tcPr>
          <w:p>
            <w:pPr>
              <w:spacing w:after="0"/>
              <w:rPr>
                <w:sz w:val="15"/>
                <w:szCs w:val="15"/>
                <w:color w:val="auto"/>
              </w:rPr>
            </w:pPr>
          </w:p>
        </w:tc>
        <w:tc>
          <w:tcPr>
            <w:tcW w:w="9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860" w:type="dxa"/>
            <w:vAlign w:val="bottom"/>
          </w:tcPr>
          <w:p>
            <w:pPr>
              <w:spacing w:after="0"/>
              <w:rPr>
                <w:sz w:val="20"/>
                <w:szCs w:val="20"/>
                <w:color w:val="auto"/>
              </w:rPr>
            </w:pPr>
            <w:r>
              <w:rPr>
                <w:rFonts w:ascii="Courier New" w:cs="Courier New" w:eastAsia="Courier New" w:hAnsi="Courier New"/>
                <w:sz w:val="15"/>
                <w:szCs w:val="15"/>
                <w:color w:val="auto"/>
              </w:rPr>
              <w:t>Total assets . . . . . . . . . . . . . . . . . . . . . . . . .</w:t>
            </w:r>
          </w:p>
        </w:tc>
        <w:tc>
          <w:tcPr>
            <w:tcW w:w="9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8"/>
              </w:rPr>
              <w:t>$14,989</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$15,779</w:t>
            </w:r>
          </w:p>
        </w:tc>
      </w:tr>
      <w:tr>
        <w:trPr>
          <w:trHeight w:val="176"/>
        </w:trPr>
        <w:tc>
          <w:tcPr>
            <w:tcW w:w="5860" w:type="dxa"/>
            <w:vAlign w:val="bottom"/>
          </w:tcPr>
          <w:p>
            <w:pPr>
              <w:spacing w:after="0"/>
              <w:rPr>
                <w:sz w:val="15"/>
                <w:szCs w:val="15"/>
                <w:color w:val="auto"/>
              </w:rPr>
            </w:pPr>
          </w:p>
        </w:tc>
        <w:tc>
          <w:tcPr>
            <w:tcW w:w="9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86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58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Loans payable and current portion long-term debt . . . . . .</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155</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w:t>
            </w:r>
          </w:p>
        </w:tc>
      </w:tr>
      <w:tr>
        <w:trPr>
          <w:trHeight w:val="176"/>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 and accrued expenses. . . . . . . . . . . .</w:t>
            </w:r>
          </w:p>
        </w:tc>
        <w:tc>
          <w:tcPr>
            <w:tcW w:w="80" w:type="dxa"/>
            <w:vAlign w:val="bottom"/>
          </w:tcPr>
          <w:p>
            <w:pPr>
              <w:spacing w:after="0"/>
              <w:rPr>
                <w:sz w:val="15"/>
                <w:szCs w:val="15"/>
                <w:color w:val="auto"/>
              </w:rPr>
            </w:pP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1,230</w:t>
            </w:r>
          </w:p>
        </w:tc>
        <w:tc>
          <w:tcPr>
            <w:tcW w:w="2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1,205</w:t>
            </w:r>
          </w:p>
        </w:tc>
      </w:tr>
      <w:tr>
        <w:trPr>
          <w:trHeight w:val="176"/>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Income taxes payable . . . . . . . . . . . . . . . . . . . .</w:t>
            </w:r>
          </w:p>
        </w:tc>
        <w:tc>
          <w:tcPr>
            <w:tcW w:w="80" w:type="dxa"/>
            <w:vAlign w:val="bottom"/>
          </w:tcPr>
          <w:p>
            <w:pPr>
              <w:spacing w:after="0"/>
              <w:rPr>
                <w:sz w:val="15"/>
                <w:szCs w:val="15"/>
                <w:color w:val="auto"/>
              </w:rPr>
            </w:pP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195</w:t>
            </w:r>
          </w:p>
        </w:tc>
        <w:tc>
          <w:tcPr>
            <w:tcW w:w="2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327</w:t>
            </w:r>
          </w:p>
        </w:tc>
      </w:tr>
      <w:tr>
        <w:trPr>
          <w:trHeight w:val="176"/>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Accrued retirement and profit sharing contributions. . . . .</w:t>
            </w:r>
          </w:p>
        </w:tc>
        <w:tc>
          <w:tcPr>
            <w:tcW w:w="80" w:type="dxa"/>
            <w:vAlign w:val="bottom"/>
          </w:tcPr>
          <w:p>
            <w:pPr>
              <w:spacing w:after="0"/>
              <w:rPr>
                <w:sz w:val="15"/>
                <w:szCs w:val="15"/>
                <w:color w:val="auto"/>
              </w:rPr>
            </w:pP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127</w:t>
            </w:r>
          </w:p>
        </w:tc>
        <w:tc>
          <w:tcPr>
            <w:tcW w:w="2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w:t>
            </w:r>
          </w:p>
        </w:tc>
      </w:tr>
      <w:tr>
        <w:trPr>
          <w:trHeight w:val="176"/>
        </w:trPr>
        <w:tc>
          <w:tcPr>
            <w:tcW w:w="5860" w:type="dxa"/>
            <w:vAlign w:val="bottom"/>
          </w:tcPr>
          <w:p>
            <w:pPr>
              <w:spacing w:after="0"/>
              <w:rPr>
                <w:sz w:val="15"/>
                <w:szCs w:val="15"/>
                <w:color w:val="auto"/>
              </w:rPr>
            </w:pPr>
          </w:p>
        </w:tc>
        <w:tc>
          <w:tcPr>
            <w:tcW w:w="9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Total current liabilities. . . . . . . . . . . . . . . . .</w:t>
            </w:r>
          </w:p>
        </w:tc>
        <w:tc>
          <w:tcPr>
            <w:tcW w:w="80" w:type="dxa"/>
            <w:vAlign w:val="bottom"/>
          </w:tcPr>
          <w:p>
            <w:pPr>
              <w:spacing w:after="0"/>
              <w:rPr>
                <w:sz w:val="15"/>
                <w:szCs w:val="15"/>
                <w:color w:val="auto"/>
              </w:rPr>
            </w:pP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1,707</w:t>
            </w:r>
          </w:p>
        </w:tc>
        <w:tc>
          <w:tcPr>
            <w:tcW w:w="2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1,580</w:t>
            </w:r>
          </w:p>
        </w:tc>
      </w:tr>
      <w:tr>
        <w:trPr>
          <w:trHeight w:val="176"/>
        </w:trPr>
        <w:tc>
          <w:tcPr>
            <w:tcW w:w="5860" w:type="dxa"/>
            <w:vAlign w:val="bottom"/>
          </w:tcPr>
          <w:p>
            <w:pPr>
              <w:spacing w:after="0"/>
              <w:rPr>
                <w:sz w:val="15"/>
                <w:szCs w:val="15"/>
                <w:color w:val="auto"/>
              </w:rPr>
            </w:pPr>
          </w:p>
        </w:tc>
        <w:tc>
          <w:tcPr>
            <w:tcW w:w="9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860" w:type="dxa"/>
            <w:vAlign w:val="bottom"/>
          </w:tcPr>
          <w:p>
            <w:pPr>
              <w:spacing w:after="0"/>
              <w:rPr>
                <w:sz w:val="20"/>
                <w:szCs w:val="20"/>
                <w:color w:val="auto"/>
              </w:rPr>
            </w:pPr>
            <w:r>
              <w:rPr>
                <w:rFonts w:ascii="Courier New" w:cs="Courier New" w:eastAsia="Courier New" w:hAnsi="Courier New"/>
                <w:sz w:val="15"/>
                <w:szCs w:val="15"/>
                <w:color w:val="auto"/>
              </w:rPr>
              <w:t>Long-term debt. . . . . . . . . . . . . . . . . . . . . . . . .</w:t>
            </w:r>
          </w:p>
        </w:tc>
        <w:tc>
          <w:tcPr>
            <w:tcW w:w="80" w:type="dxa"/>
            <w:vAlign w:val="bottom"/>
          </w:tcPr>
          <w:p>
            <w:pPr>
              <w:spacing w:after="0"/>
              <w:rPr>
                <w:sz w:val="15"/>
                <w:szCs w:val="15"/>
                <w:color w:val="auto"/>
              </w:rPr>
            </w:pP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1,097</w:t>
            </w:r>
          </w:p>
        </w:tc>
        <w:tc>
          <w:tcPr>
            <w:tcW w:w="2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1,211</w:t>
            </w:r>
          </w:p>
        </w:tc>
      </w:tr>
      <w:tr>
        <w:trPr>
          <w:trHeight w:val="176"/>
        </w:trPr>
        <w:tc>
          <w:tcPr>
            <w:tcW w:w="5860" w:type="dxa"/>
            <w:vAlign w:val="bottom"/>
          </w:tcPr>
          <w:p>
            <w:pPr>
              <w:spacing w:after="0"/>
              <w:rPr>
                <w:sz w:val="20"/>
                <w:szCs w:val="20"/>
                <w:color w:val="auto"/>
              </w:rPr>
            </w:pPr>
            <w:r>
              <w:rPr>
                <w:rFonts w:ascii="Courier New" w:cs="Courier New" w:eastAsia="Courier New" w:hAnsi="Courier New"/>
                <w:sz w:val="15"/>
                <w:szCs w:val="15"/>
                <w:color w:val="auto"/>
              </w:rPr>
              <w:t>Accrued retirement costs. . . . . . . . . . . . . . . . . . . .</w:t>
            </w:r>
          </w:p>
        </w:tc>
        <w:tc>
          <w:tcPr>
            <w:tcW w:w="80" w:type="dxa"/>
            <w:vAlign w:val="bottom"/>
          </w:tcPr>
          <w:p>
            <w:pPr>
              <w:spacing w:after="0"/>
              <w:rPr>
                <w:sz w:val="15"/>
                <w:szCs w:val="15"/>
                <w:color w:val="auto"/>
              </w:rPr>
            </w:pP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447</w:t>
            </w:r>
          </w:p>
        </w:tc>
        <w:tc>
          <w:tcPr>
            <w:tcW w:w="2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485</w:t>
            </w:r>
          </w:p>
        </w:tc>
      </w:tr>
      <w:tr>
        <w:trPr>
          <w:trHeight w:val="176"/>
        </w:trPr>
        <w:tc>
          <w:tcPr>
            <w:tcW w:w="5860" w:type="dxa"/>
            <w:vAlign w:val="bottom"/>
          </w:tcPr>
          <w:p>
            <w:pPr>
              <w:spacing w:after="0"/>
              <w:rPr>
                <w:sz w:val="20"/>
                <w:szCs w:val="20"/>
                <w:color w:val="auto"/>
              </w:rPr>
            </w:pPr>
            <w:r>
              <w:rPr>
                <w:rFonts w:ascii="Courier New" w:cs="Courier New" w:eastAsia="Courier New" w:hAnsi="Courier New"/>
                <w:sz w:val="15"/>
                <w:szCs w:val="15"/>
                <w:color w:val="auto"/>
              </w:rPr>
              <w:t>Deferred income taxes . . . . . . . . . . . . . . . . . . . . .</w:t>
            </w:r>
          </w:p>
        </w:tc>
        <w:tc>
          <w:tcPr>
            <w:tcW w:w="80" w:type="dxa"/>
            <w:vAlign w:val="bottom"/>
          </w:tcPr>
          <w:p>
            <w:pPr>
              <w:spacing w:after="0"/>
              <w:rPr>
                <w:sz w:val="15"/>
                <w:szCs w:val="15"/>
                <w:color w:val="auto"/>
              </w:rPr>
            </w:pP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85</w:t>
            </w:r>
          </w:p>
        </w:tc>
        <w:tc>
          <w:tcPr>
            <w:tcW w:w="2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331</w:t>
            </w:r>
          </w:p>
        </w:tc>
      </w:tr>
      <w:tr>
        <w:trPr>
          <w:trHeight w:val="176"/>
        </w:trPr>
        <w:tc>
          <w:tcPr>
            <w:tcW w:w="5860" w:type="dxa"/>
            <w:vAlign w:val="bottom"/>
          </w:tcPr>
          <w:p>
            <w:pPr>
              <w:spacing w:after="0"/>
              <w:rPr>
                <w:sz w:val="20"/>
                <w:szCs w:val="20"/>
                <w:color w:val="auto"/>
              </w:rPr>
            </w:pPr>
            <w:r>
              <w:rPr>
                <w:rFonts w:ascii="Courier New" w:cs="Courier New" w:eastAsia="Courier New" w:hAnsi="Courier New"/>
                <w:sz w:val="15"/>
                <w:szCs w:val="15"/>
                <w:color w:val="auto"/>
              </w:rPr>
              <w:t>Deferred credits and other liabilities. . . . . . . . . . . . .</w:t>
            </w:r>
          </w:p>
        </w:tc>
        <w:tc>
          <w:tcPr>
            <w:tcW w:w="80" w:type="dxa"/>
            <w:vAlign w:val="bottom"/>
          </w:tcPr>
          <w:p>
            <w:pPr>
              <w:spacing w:after="0"/>
              <w:rPr>
                <w:sz w:val="15"/>
                <w:szCs w:val="15"/>
                <w:color w:val="auto"/>
              </w:rPr>
            </w:pP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277</w:t>
            </w:r>
          </w:p>
        </w:tc>
        <w:tc>
          <w:tcPr>
            <w:tcW w:w="2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293</w:t>
            </w:r>
          </w:p>
        </w:tc>
      </w:tr>
      <w:tr>
        <w:trPr>
          <w:trHeight w:val="352"/>
        </w:trPr>
        <w:tc>
          <w:tcPr>
            <w:tcW w:w="58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6"/>
        </w:trPr>
        <w:tc>
          <w:tcPr>
            <w:tcW w:w="59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Preferred stock, $25 par value.  Authorized - 10,000,000 shares</w:t>
            </w: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Participating cumulative preferred.  None issued. . . . . .</w:t>
            </w:r>
          </w:p>
        </w:tc>
        <w:tc>
          <w:tcPr>
            <w:tcW w:w="80" w:type="dxa"/>
            <w:vAlign w:val="bottom"/>
          </w:tcPr>
          <w:p>
            <w:pPr>
              <w:spacing w:after="0"/>
              <w:rPr>
                <w:sz w:val="15"/>
                <w:szCs w:val="15"/>
                <w:color w:val="auto"/>
              </w:rPr>
            </w:pP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Common stock, $1 par value.  Authorized - 2,400,000,000 shares</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Shares issued:  2002 - 1,740,330,934; 2001 - 1,740,329,364.</w:t>
            </w:r>
          </w:p>
        </w:tc>
        <w:tc>
          <w:tcPr>
            <w:tcW w:w="80" w:type="dxa"/>
            <w:vAlign w:val="bottom"/>
          </w:tcPr>
          <w:p>
            <w:pPr>
              <w:spacing w:after="0"/>
              <w:rPr>
                <w:sz w:val="15"/>
                <w:szCs w:val="15"/>
                <w:color w:val="auto"/>
              </w:rPr>
            </w:pP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1,740</w:t>
            </w:r>
          </w:p>
        </w:tc>
        <w:tc>
          <w:tcPr>
            <w:tcW w:w="2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1,740</w:t>
            </w:r>
          </w:p>
        </w:tc>
      </w:tr>
      <w:tr>
        <w:trPr>
          <w:trHeight w:val="176"/>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Paid-in capital . . . . . . . . . . . . . . . . . . . . . . .</w:t>
            </w:r>
          </w:p>
        </w:tc>
        <w:tc>
          <w:tcPr>
            <w:tcW w:w="80" w:type="dxa"/>
            <w:vAlign w:val="bottom"/>
          </w:tcPr>
          <w:p>
            <w:pPr>
              <w:spacing w:after="0"/>
              <w:rPr>
                <w:sz w:val="15"/>
                <w:szCs w:val="15"/>
                <w:color w:val="auto"/>
              </w:rPr>
            </w:pP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1,106</w:t>
            </w:r>
          </w:p>
        </w:tc>
        <w:tc>
          <w:tcPr>
            <w:tcW w:w="2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1,216</w:t>
            </w:r>
          </w:p>
        </w:tc>
      </w:tr>
      <w:tr>
        <w:trPr>
          <w:trHeight w:val="176"/>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Retained earnings . . . . . . . . . . . . . . . . . . . . . .</w:t>
            </w:r>
          </w:p>
        </w:tc>
        <w:tc>
          <w:tcPr>
            <w:tcW w:w="80" w:type="dxa"/>
            <w:vAlign w:val="bottom"/>
          </w:tcPr>
          <w:p>
            <w:pPr>
              <w:spacing w:after="0"/>
              <w:rPr>
                <w:sz w:val="15"/>
                <w:szCs w:val="15"/>
                <w:color w:val="auto"/>
              </w:rPr>
            </w:pP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8,958</w:t>
            </w:r>
          </w:p>
        </w:tc>
        <w:tc>
          <w:tcPr>
            <w:tcW w:w="2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8,975</w:t>
            </w:r>
          </w:p>
        </w:tc>
      </w:tr>
      <w:tr>
        <w:trPr>
          <w:trHeight w:val="176"/>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Less treasury common stock at cost:</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Shares:  2002 - 6,661,739; 2001 - 6,395,488 . . . . . . . .</w:t>
            </w:r>
          </w:p>
        </w:tc>
        <w:tc>
          <w:tcPr>
            <w:tcW w:w="8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(217)</w:t>
            </w: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(235)</w:t>
            </w:r>
          </w:p>
        </w:tc>
      </w:tr>
      <w:tr>
        <w:trPr>
          <w:trHeight w:val="176"/>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Accumulated other comprehensive income. . . . . . . . . . . .</w:t>
            </w:r>
          </w:p>
        </w:tc>
        <w:tc>
          <w:tcPr>
            <w:tcW w:w="8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(150)</w:t>
            </w:r>
          </w:p>
        </w:tc>
        <w:tc>
          <w:tcPr>
            <w:tcW w:w="2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269</w:t>
            </w:r>
          </w:p>
        </w:tc>
      </w:tr>
      <w:tr>
        <w:trPr>
          <w:trHeight w:val="176"/>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Deferred compensation . . . . . . . . . . . . . . . . . . . .</w:t>
            </w:r>
          </w:p>
        </w:tc>
        <w:tc>
          <w:tcPr>
            <w:tcW w:w="8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(61)</w:t>
            </w: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(86)</w:t>
            </w:r>
          </w:p>
        </w:tc>
      </w:tr>
      <w:tr>
        <w:trPr>
          <w:trHeight w:val="176"/>
        </w:trPr>
        <w:tc>
          <w:tcPr>
            <w:tcW w:w="5860" w:type="dxa"/>
            <w:vAlign w:val="bottom"/>
          </w:tcPr>
          <w:p>
            <w:pPr>
              <w:spacing w:after="0"/>
              <w:rPr>
                <w:sz w:val="15"/>
                <w:szCs w:val="15"/>
                <w:color w:val="auto"/>
              </w:rPr>
            </w:pPr>
          </w:p>
        </w:tc>
        <w:tc>
          <w:tcPr>
            <w:tcW w:w="9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Total stockholders' equity. . . . . . . . . . . . . . . . .</w:t>
            </w:r>
          </w:p>
        </w:tc>
        <w:tc>
          <w:tcPr>
            <w:tcW w:w="80" w:type="dxa"/>
            <w:vAlign w:val="bottom"/>
          </w:tcPr>
          <w:p>
            <w:pPr>
              <w:spacing w:after="0"/>
              <w:rPr>
                <w:sz w:val="15"/>
                <w:szCs w:val="15"/>
                <w:color w:val="auto"/>
              </w:rPr>
            </w:pP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9"/>
              </w:rPr>
              <w:t>11,376</w:t>
            </w:r>
          </w:p>
        </w:tc>
        <w:tc>
          <w:tcPr>
            <w:tcW w:w="2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11,879</w:t>
            </w:r>
          </w:p>
        </w:tc>
      </w:tr>
      <w:tr>
        <w:trPr>
          <w:trHeight w:val="176"/>
        </w:trPr>
        <w:tc>
          <w:tcPr>
            <w:tcW w:w="5860" w:type="dxa"/>
            <w:vAlign w:val="bottom"/>
          </w:tcPr>
          <w:p>
            <w:pPr>
              <w:spacing w:after="0"/>
              <w:rPr>
                <w:sz w:val="15"/>
                <w:szCs w:val="15"/>
                <w:color w:val="auto"/>
              </w:rPr>
            </w:pPr>
          </w:p>
        </w:tc>
        <w:tc>
          <w:tcPr>
            <w:tcW w:w="9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860" w:type="dxa"/>
            <w:vAlign w:val="bottom"/>
          </w:tcPr>
          <w:p>
            <w:pPr>
              <w:spacing w:after="0"/>
              <w:rPr>
                <w:sz w:val="20"/>
                <w:szCs w:val="20"/>
                <w:color w:val="auto"/>
              </w:rPr>
            </w:pPr>
            <w:r>
              <w:rPr>
                <w:rFonts w:ascii="Courier New" w:cs="Courier New" w:eastAsia="Courier New" w:hAnsi="Courier New"/>
                <w:sz w:val="15"/>
                <w:szCs w:val="15"/>
                <w:color w:val="auto"/>
              </w:rPr>
              <w:t>Total liabilities and stockholders' equity. . . . . . . . . . .</w:t>
            </w:r>
          </w:p>
        </w:tc>
        <w:tc>
          <w:tcPr>
            <w:tcW w:w="9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8"/>
              </w:rPr>
              <w:t>$14,989</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$15,779</w:t>
            </w:r>
          </w:p>
        </w:tc>
      </w:tr>
      <w:tr>
        <w:trPr>
          <w:trHeight w:val="176"/>
        </w:trPr>
        <w:tc>
          <w:tcPr>
            <w:tcW w:w="5860" w:type="dxa"/>
            <w:vAlign w:val="bottom"/>
          </w:tcPr>
          <w:p>
            <w:pPr>
              <w:spacing w:after="0"/>
              <w:rPr>
                <w:sz w:val="15"/>
                <w:szCs w:val="15"/>
                <w:color w:val="auto"/>
              </w:rPr>
            </w:pPr>
          </w:p>
        </w:tc>
        <w:tc>
          <w:tcPr>
            <w:tcW w:w="9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529"/>
        </w:trPr>
        <w:tc>
          <w:tcPr>
            <w:tcW w:w="5860" w:type="dxa"/>
            <w:vAlign w:val="bottom"/>
          </w:tcPr>
          <w:p>
            <w:pPr>
              <w:ind w:left="3660"/>
              <w:spacing w:after="0"/>
              <w:rPr>
                <w:sz w:val="20"/>
                <w:szCs w:val="20"/>
                <w:color w:val="auto"/>
              </w:rPr>
            </w:pPr>
            <w:r>
              <w:rPr>
                <w:rFonts w:ascii="Courier New" w:cs="Courier New" w:eastAsia="Courier New" w:hAnsi="Courier New"/>
                <w:sz w:val="15"/>
                <w:szCs w:val="15"/>
                <w:color w:val="auto"/>
              </w:rPr>
              <w:t>3</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219"/>
          </w:cols>
          <w:pgMar w:left="240" w:top="470" w:right="1440" w:bottom="1440" w:gutter="0" w:footer="0" w:header="0"/>
        </w:sectPr>
      </w:pPr>
    </w:p>
    <w:bookmarkStart w:id="3" w:name="page4"/>
    <w:bookmarkEnd w:id="3"/>
    <w:p>
      <w:pPr>
        <w:jc w:val="center"/>
        <w:ind w:right="2999"/>
        <w:spacing w:after="0"/>
        <w:rPr>
          <w:sz w:val="20"/>
          <w:szCs w:val="20"/>
          <w:color w:val="auto"/>
        </w:rPr>
      </w:pPr>
      <w:r>
        <w:rPr>
          <w:rFonts w:ascii="Courier New" w:cs="Courier New" w:eastAsia="Courier New" w:hAnsi="Courier New"/>
          <w:sz w:val="15"/>
          <w:szCs w:val="15"/>
          <w:color w:val="auto"/>
        </w:rPr>
        <w:t>TEXAS INSTRUMENTS INCORPORATED AND SUBSIDIARIES</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6"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(In millions of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9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For Six Months Ended</w:t>
            </w:r>
          </w:p>
        </w:tc>
      </w:tr>
      <w:tr>
        <w:trPr>
          <w:trHeight w:val="352"/>
        </w:trPr>
        <w:tc>
          <w:tcPr>
            <w:tcW w:w="5400" w:type="dxa"/>
            <w:vAlign w:val="bottom"/>
          </w:tcPr>
          <w:p>
            <w:pPr>
              <w:spacing w:after="0"/>
              <w:rPr>
                <w:sz w:val="24"/>
                <w:szCs w:val="24"/>
                <w:color w:val="auto"/>
              </w:rPr>
            </w:pPr>
          </w:p>
        </w:tc>
        <w:tc>
          <w:tcPr>
            <w:tcW w:w="19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400" w:type="dxa"/>
            <w:vAlign w:val="bottom"/>
          </w:tcPr>
          <w:p>
            <w:pPr>
              <w:spacing w:after="0"/>
              <w:rPr>
                <w:sz w:val="20"/>
                <w:szCs w:val="20"/>
                <w:color w:val="auto"/>
              </w:rPr>
            </w:pPr>
            <w:r>
              <w:rPr>
                <w:rFonts w:ascii="Courier New" w:cs="Courier New" w:eastAsia="Courier New" w:hAnsi="Courier New"/>
                <w:sz w:val="15"/>
                <w:szCs w:val="15"/>
                <w:color w:val="auto"/>
              </w:rPr>
              <w:t>Cash Flows</w:t>
            </w:r>
          </w:p>
        </w:tc>
        <w:tc>
          <w:tcPr>
            <w:tcW w:w="10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June 30</w:t>
            </w:r>
          </w:p>
        </w:tc>
        <w:tc>
          <w:tcPr>
            <w:tcW w:w="8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June 30</w:t>
            </w:r>
          </w:p>
        </w:tc>
      </w:tr>
      <w:tr>
        <w:trPr>
          <w:trHeight w:val="176"/>
        </w:trPr>
        <w:tc>
          <w:tcPr>
            <w:tcW w:w="54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2002</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r>
      <w:tr>
        <w:trPr>
          <w:trHeight w:val="176"/>
        </w:trPr>
        <w:tc>
          <w:tcPr>
            <w:tcW w:w="54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0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Net income. . . . . . . . . . . . . . . . . . . . . . .</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w:t>
            </w:r>
          </w:p>
        </w:tc>
      </w:tr>
      <w:tr>
        <w:trPr>
          <w:trHeight w:val="176"/>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Depreciation. . . . . . . . . . . . . . . . . . . . . .</w:t>
            </w:r>
          </w:p>
        </w:tc>
        <w:tc>
          <w:tcPr>
            <w:tcW w:w="360" w:type="dxa"/>
            <w:vAlign w:val="bottom"/>
          </w:tcPr>
          <w:p>
            <w:pPr>
              <w:spacing w:after="0"/>
              <w:rPr>
                <w:sz w:val="15"/>
                <w:szCs w:val="15"/>
                <w:color w:val="auto"/>
              </w:rPr>
            </w:pPr>
          </w:p>
        </w:tc>
        <w:tc>
          <w:tcPr>
            <w:tcW w:w="7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787</w:t>
            </w:r>
          </w:p>
        </w:tc>
        <w:tc>
          <w:tcPr>
            <w:tcW w:w="22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731</w:t>
            </w:r>
          </w:p>
        </w:tc>
      </w:tr>
      <w:tr>
        <w:trPr>
          <w:trHeight w:val="176"/>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acquisition-related costs . . . . . . .</w:t>
            </w:r>
          </w:p>
        </w:tc>
        <w:tc>
          <w:tcPr>
            <w:tcW w:w="360" w:type="dxa"/>
            <w:vAlign w:val="bottom"/>
          </w:tcPr>
          <w:p>
            <w:pPr>
              <w:spacing w:after="0"/>
              <w:rPr>
                <w:sz w:val="15"/>
                <w:szCs w:val="15"/>
                <w:color w:val="auto"/>
              </w:rPr>
            </w:pPr>
          </w:p>
        </w:tc>
        <w:tc>
          <w:tcPr>
            <w:tcW w:w="7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57</w:t>
            </w:r>
          </w:p>
        </w:tc>
        <w:tc>
          <w:tcPr>
            <w:tcW w:w="22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117</w:t>
            </w:r>
          </w:p>
        </w:tc>
      </w:tr>
      <w:tr>
        <w:trPr>
          <w:trHeight w:val="176"/>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Deferred income taxes . . . . . . . . . . . . . . . . .</w:t>
            </w:r>
          </w:p>
        </w:tc>
        <w:tc>
          <w:tcPr>
            <w:tcW w:w="360" w:type="dxa"/>
            <w:vAlign w:val="bottom"/>
          </w:tcPr>
          <w:p>
            <w:pPr>
              <w:spacing w:after="0"/>
              <w:rPr>
                <w:sz w:val="15"/>
                <w:szCs w:val="15"/>
                <w:color w:val="auto"/>
              </w:rPr>
            </w:pPr>
          </w:p>
        </w:tc>
        <w:tc>
          <w:tcPr>
            <w:tcW w:w="7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w:t>
            </w:r>
          </w:p>
        </w:tc>
        <w:tc>
          <w:tcPr>
            <w:tcW w:w="22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w:t>
            </w:r>
          </w:p>
        </w:tc>
      </w:tr>
      <w:tr>
        <w:trPr>
          <w:trHeight w:val="176"/>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Net currency exchange (gains) losses. . . . . . . . . .</w:t>
            </w:r>
          </w:p>
        </w:tc>
        <w:tc>
          <w:tcPr>
            <w:tcW w:w="3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w:t>
            </w:r>
          </w:p>
        </w:tc>
        <w:tc>
          <w:tcPr>
            <w:tcW w:w="22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w:t>
            </w:r>
          </w:p>
        </w:tc>
      </w:tr>
      <w:tr>
        <w:trPr>
          <w:trHeight w:val="176"/>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(Increase) decrease in working capital (excluding cash</w:t>
            </w: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54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and cash equivalents, short-term investments, deferred</w:t>
            </w: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5400" w:type="dxa"/>
            <w:vAlign w:val="bottom"/>
          </w:tcPr>
          <w:p>
            <w:pPr>
              <w:ind w:left="360"/>
              <w:spacing w:after="0"/>
              <w:rPr>
                <w:sz w:val="20"/>
                <w:szCs w:val="20"/>
                <w:color w:val="auto"/>
              </w:rPr>
            </w:pPr>
            <w:r>
              <w:rPr>
                <w:rFonts w:ascii="Courier New" w:cs="Courier New" w:eastAsia="Courier New" w:hAnsi="Courier New"/>
                <w:sz w:val="15"/>
                <w:szCs w:val="15"/>
                <w:color w:val="auto"/>
              </w:rPr>
              <w:t>income taxes, and loans payable and current portion</w:t>
            </w: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5400" w:type="dxa"/>
            <w:vAlign w:val="bottom"/>
          </w:tcPr>
          <w:p>
            <w:pPr>
              <w:ind w:left="360"/>
              <w:spacing w:after="0"/>
              <w:rPr>
                <w:sz w:val="20"/>
                <w:szCs w:val="20"/>
                <w:color w:val="auto"/>
              </w:rPr>
            </w:pPr>
            <w:r>
              <w:rPr>
                <w:rFonts w:ascii="Courier New" w:cs="Courier New" w:eastAsia="Courier New" w:hAnsi="Courier New"/>
                <w:sz w:val="15"/>
                <w:szCs w:val="15"/>
                <w:color w:val="auto"/>
              </w:rPr>
              <w:t>long-term debt):</w:t>
            </w: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54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Accounts receivable. . . . . . . . . . . . . . . . .</w:t>
            </w:r>
          </w:p>
        </w:tc>
        <w:tc>
          <w:tcPr>
            <w:tcW w:w="3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(308)</w:t>
            </w:r>
          </w:p>
        </w:tc>
        <w:tc>
          <w:tcPr>
            <w:tcW w:w="22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513</w:t>
            </w:r>
          </w:p>
        </w:tc>
      </w:tr>
      <w:tr>
        <w:trPr>
          <w:trHeight w:val="176"/>
        </w:trPr>
        <w:tc>
          <w:tcPr>
            <w:tcW w:w="54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Inventories. . . . . . . . . . . . . . . . . . . . .</w:t>
            </w:r>
          </w:p>
        </w:tc>
        <w:tc>
          <w:tcPr>
            <w:tcW w:w="3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(69)</w:t>
            </w:r>
          </w:p>
        </w:tc>
        <w:tc>
          <w:tcPr>
            <w:tcW w:w="22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151</w:t>
            </w:r>
          </w:p>
        </w:tc>
      </w:tr>
      <w:tr>
        <w:trPr>
          <w:trHeight w:val="176"/>
        </w:trPr>
        <w:tc>
          <w:tcPr>
            <w:tcW w:w="54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Prepaid expenses and other current assets. . . . . .</w:t>
            </w:r>
          </w:p>
        </w:tc>
        <w:tc>
          <w:tcPr>
            <w:tcW w:w="360" w:type="dxa"/>
            <w:vAlign w:val="bottom"/>
          </w:tcPr>
          <w:p>
            <w:pPr>
              <w:spacing w:after="0"/>
              <w:rPr>
                <w:sz w:val="15"/>
                <w:szCs w:val="15"/>
                <w:color w:val="auto"/>
              </w:rPr>
            </w:pPr>
          </w:p>
        </w:tc>
        <w:tc>
          <w:tcPr>
            <w:tcW w:w="7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129</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76"/>
        </w:trPr>
        <w:tc>
          <w:tcPr>
            <w:tcW w:w="54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Accounts payable and accrued expenses. . . . . . . .</w:t>
            </w:r>
          </w:p>
        </w:tc>
        <w:tc>
          <w:tcPr>
            <w:tcW w:w="3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(508)</w:t>
            </w:r>
          </w:p>
        </w:tc>
      </w:tr>
      <w:tr>
        <w:trPr>
          <w:trHeight w:val="176"/>
        </w:trPr>
        <w:tc>
          <w:tcPr>
            <w:tcW w:w="54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Income taxes payable . . . . . . . . . . . . . . . .</w:t>
            </w:r>
          </w:p>
        </w:tc>
        <w:tc>
          <w:tcPr>
            <w:tcW w:w="3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(111)</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(89)</w:t>
            </w:r>
          </w:p>
        </w:tc>
      </w:tr>
      <w:tr>
        <w:trPr>
          <w:trHeight w:val="176"/>
        </w:trPr>
        <w:tc>
          <w:tcPr>
            <w:tcW w:w="54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Accrued retirement and profit sharing contributions.</w:t>
            </w:r>
          </w:p>
        </w:tc>
        <w:tc>
          <w:tcPr>
            <w:tcW w:w="360" w:type="dxa"/>
            <w:vAlign w:val="bottom"/>
          </w:tcPr>
          <w:p>
            <w:pPr>
              <w:spacing w:after="0"/>
              <w:rPr>
                <w:sz w:val="15"/>
                <w:szCs w:val="15"/>
                <w:color w:val="auto"/>
              </w:rPr>
            </w:pPr>
          </w:p>
        </w:tc>
        <w:tc>
          <w:tcPr>
            <w:tcW w:w="7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123</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(356)</w:t>
            </w:r>
          </w:p>
        </w:tc>
      </w:tr>
      <w:tr>
        <w:trPr>
          <w:trHeight w:val="176"/>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Decrease in noncurrent accrued retirement costs. . . . .</w:t>
            </w:r>
          </w:p>
        </w:tc>
        <w:tc>
          <w:tcPr>
            <w:tcW w:w="3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(101)</w:t>
            </w:r>
          </w:p>
        </w:tc>
        <w:tc>
          <w:tcPr>
            <w:tcW w:w="22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Write-downs of equity investments. . . . . . . . . . . .</w:t>
            </w:r>
          </w:p>
        </w:tc>
        <w:tc>
          <w:tcPr>
            <w:tcW w:w="360" w:type="dxa"/>
            <w:vAlign w:val="bottom"/>
          </w:tcPr>
          <w:p>
            <w:pPr>
              <w:spacing w:after="0"/>
              <w:rPr>
                <w:sz w:val="15"/>
                <w:szCs w:val="15"/>
                <w:color w:val="auto"/>
              </w:rPr>
            </w:pPr>
          </w:p>
        </w:tc>
        <w:tc>
          <w:tcPr>
            <w:tcW w:w="7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116</w:t>
            </w:r>
          </w:p>
        </w:tc>
        <w:tc>
          <w:tcPr>
            <w:tcW w:w="22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w:t>
            </w:r>
          </w:p>
        </w:tc>
      </w:tr>
      <w:tr>
        <w:trPr>
          <w:trHeight w:val="176"/>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Other. . . . . . . . . . . . . . . . . . . . . . . . . .</w:t>
            </w:r>
          </w:p>
        </w:tc>
        <w:tc>
          <w:tcPr>
            <w:tcW w:w="360" w:type="dxa"/>
            <w:vAlign w:val="bottom"/>
          </w:tcPr>
          <w:p>
            <w:pPr>
              <w:spacing w:after="0"/>
              <w:rPr>
                <w:sz w:val="15"/>
                <w:szCs w:val="15"/>
                <w:color w:val="auto"/>
              </w:rPr>
            </w:pPr>
          </w:p>
        </w:tc>
        <w:tc>
          <w:tcPr>
            <w:tcW w:w="7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49</w:t>
            </w:r>
          </w:p>
        </w:tc>
        <w:tc>
          <w:tcPr>
            <w:tcW w:w="22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84</w:t>
            </w:r>
          </w:p>
        </w:tc>
      </w:tr>
      <w:tr>
        <w:trPr>
          <w:trHeight w:val="176"/>
        </w:trPr>
        <w:tc>
          <w:tcPr>
            <w:tcW w:w="5400" w:type="dxa"/>
            <w:vAlign w:val="bottom"/>
          </w:tcPr>
          <w:p>
            <w:pPr>
              <w:spacing w:after="0"/>
              <w:rPr>
                <w:sz w:val="15"/>
                <w:szCs w:val="15"/>
                <w:color w:val="auto"/>
              </w:rPr>
            </w:pPr>
          </w:p>
        </w:tc>
        <w:tc>
          <w:tcPr>
            <w:tcW w:w="10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40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 . . . . . . . .</w:t>
            </w:r>
          </w:p>
        </w:tc>
        <w:tc>
          <w:tcPr>
            <w:tcW w:w="360" w:type="dxa"/>
            <w:vAlign w:val="bottom"/>
          </w:tcPr>
          <w:p>
            <w:pPr>
              <w:spacing w:after="0"/>
              <w:rPr>
                <w:sz w:val="15"/>
                <w:szCs w:val="15"/>
                <w:color w:val="auto"/>
              </w:rPr>
            </w:pPr>
          </w:p>
        </w:tc>
        <w:tc>
          <w:tcPr>
            <w:tcW w:w="7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683</w:t>
            </w:r>
          </w:p>
        </w:tc>
        <w:tc>
          <w:tcPr>
            <w:tcW w:w="22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705</w:t>
            </w:r>
          </w:p>
        </w:tc>
      </w:tr>
      <w:tr>
        <w:trPr>
          <w:trHeight w:val="352"/>
        </w:trPr>
        <w:tc>
          <w:tcPr>
            <w:tcW w:w="54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6"/>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Additions to property, plant and equipment. . . . . . .</w:t>
            </w:r>
          </w:p>
        </w:tc>
        <w:tc>
          <w:tcPr>
            <w:tcW w:w="3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(297)</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(1,242)</w:t>
            </w:r>
          </w:p>
        </w:tc>
      </w:tr>
      <w:tr>
        <w:trPr>
          <w:trHeight w:val="176"/>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Purchases of short-term investments . . . . . . . . . .</w:t>
            </w:r>
          </w:p>
        </w:tc>
        <w:tc>
          <w:tcPr>
            <w:tcW w:w="3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(709)</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(1,435)</w:t>
            </w:r>
          </w:p>
        </w:tc>
      </w:tr>
      <w:tr>
        <w:trPr>
          <w:trHeight w:val="176"/>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Sales and maturities of short-term investments. . . . .</w:t>
            </w:r>
          </w:p>
        </w:tc>
        <w:tc>
          <w:tcPr>
            <w:tcW w:w="360" w:type="dxa"/>
            <w:vAlign w:val="bottom"/>
          </w:tcPr>
          <w:p>
            <w:pPr>
              <w:spacing w:after="0"/>
              <w:rPr>
                <w:sz w:val="15"/>
                <w:szCs w:val="15"/>
                <w:color w:val="auto"/>
              </w:rPr>
            </w:pPr>
          </w:p>
        </w:tc>
        <w:tc>
          <w:tcPr>
            <w:tcW w:w="70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7"/>
              </w:rPr>
              <w:t>1,548</w:t>
            </w:r>
          </w:p>
        </w:tc>
        <w:tc>
          <w:tcPr>
            <w:tcW w:w="22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2,203</w:t>
            </w:r>
          </w:p>
        </w:tc>
      </w:tr>
      <w:tr>
        <w:trPr>
          <w:trHeight w:val="176"/>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Purchases of long-term cash investments . . . . . . . .</w:t>
            </w:r>
          </w:p>
        </w:tc>
        <w:tc>
          <w:tcPr>
            <w:tcW w:w="3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(957)</w:t>
            </w:r>
          </w:p>
        </w:tc>
        <w:tc>
          <w:tcPr>
            <w:tcW w:w="22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Sales of long-term cash investments . . . . . . . . . .</w:t>
            </w:r>
          </w:p>
        </w:tc>
        <w:tc>
          <w:tcPr>
            <w:tcW w:w="360" w:type="dxa"/>
            <w:vAlign w:val="bottom"/>
          </w:tcPr>
          <w:p>
            <w:pPr>
              <w:spacing w:after="0"/>
              <w:rPr>
                <w:sz w:val="15"/>
                <w:szCs w:val="15"/>
                <w:color w:val="auto"/>
              </w:rPr>
            </w:pPr>
          </w:p>
        </w:tc>
        <w:tc>
          <w:tcPr>
            <w:tcW w:w="7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46</w:t>
            </w:r>
          </w:p>
        </w:tc>
        <w:tc>
          <w:tcPr>
            <w:tcW w:w="22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Purchases of equity investments . . . . . . . . . . . .</w:t>
            </w:r>
          </w:p>
        </w:tc>
        <w:tc>
          <w:tcPr>
            <w:tcW w:w="3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(177)</w:t>
            </w:r>
          </w:p>
        </w:tc>
      </w:tr>
      <w:tr>
        <w:trPr>
          <w:trHeight w:val="176"/>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Sales of equity investments . . . . . . . . . . . . . .</w:t>
            </w:r>
          </w:p>
        </w:tc>
        <w:tc>
          <w:tcPr>
            <w:tcW w:w="360" w:type="dxa"/>
            <w:vAlign w:val="bottom"/>
          </w:tcPr>
          <w:p>
            <w:pPr>
              <w:spacing w:after="0"/>
              <w:rPr>
                <w:sz w:val="15"/>
                <w:szCs w:val="15"/>
                <w:color w:val="auto"/>
              </w:rPr>
            </w:pPr>
          </w:p>
        </w:tc>
        <w:tc>
          <w:tcPr>
            <w:tcW w:w="7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30</w:t>
            </w:r>
          </w:p>
        </w:tc>
        <w:tc>
          <w:tcPr>
            <w:tcW w:w="22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w:t>
            </w:r>
          </w:p>
        </w:tc>
      </w:tr>
      <w:tr>
        <w:trPr>
          <w:trHeight w:val="176"/>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Acquisition of businesses, net of cash acquired . . . .</w:t>
            </w:r>
          </w:p>
        </w:tc>
        <w:tc>
          <w:tcPr>
            <w:tcW w:w="3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(69)</w:t>
            </w:r>
          </w:p>
        </w:tc>
        <w:tc>
          <w:tcPr>
            <w:tcW w:w="22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400" w:type="dxa"/>
            <w:vAlign w:val="bottom"/>
          </w:tcPr>
          <w:p>
            <w:pPr>
              <w:spacing w:after="0"/>
              <w:rPr>
                <w:sz w:val="15"/>
                <w:szCs w:val="15"/>
                <w:color w:val="auto"/>
              </w:rPr>
            </w:pPr>
          </w:p>
        </w:tc>
        <w:tc>
          <w:tcPr>
            <w:tcW w:w="10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40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 . . . . . . . . . .</w:t>
            </w:r>
          </w:p>
        </w:tc>
        <w:tc>
          <w:tcPr>
            <w:tcW w:w="3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(428)</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(612)</w:t>
            </w:r>
          </w:p>
        </w:tc>
      </w:tr>
      <w:tr>
        <w:trPr>
          <w:trHeight w:val="352"/>
        </w:trPr>
        <w:tc>
          <w:tcPr>
            <w:tcW w:w="54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6"/>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Additions to loans payable. . . . . . . . . . . . . . .</w:t>
            </w:r>
          </w:p>
        </w:tc>
        <w:tc>
          <w:tcPr>
            <w:tcW w:w="360" w:type="dxa"/>
            <w:vAlign w:val="bottom"/>
          </w:tcPr>
          <w:p>
            <w:pPr>
              <w:spacing w:after="0"/>
              <w:rPr>
                <w:sz w:val="15"/>
                <w:szCs w:val="15"/>
                <w:color w:val="auto"/>
              </w:rPr>
            </w:pPr>
          </w:p>
        </w:tc>
        <w:tc>
          <w:tcPr>
            <w:tcW w:w="7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w:t>
            </w:r>
          </w:p>
        </w:tc>
        <w:tc>
          <w:tcPr>
            <w:tcW w:w="22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Payments on loans payable . . . . . . . . . . . . . . .</w:t>
            </w:r>
          </w:p>
        </w:tc>
        <w:tc>
          <w:tcPr>
            <w:tcW w:w="3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w:t>
            </w:r>
          </w:p>
        </w:tc>
        <w:tc>
          <w:tcPr>
            <w:tcW w:w="22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Additions to long-term debt . . . . . . . . . . . . . .</w:t>
            </w:r>
          </w:p>
        </w:tc>
        <w:tc>
          <w:tcPr>
            <w:tcW w:w="360" w:type="dxa"/>
            <w:vAlign w:val="bottom"/>
          </w:tcPr>
          <w:p>
            <w:pPr>
              <w:spacing w:after="0"/>
              <w:rPr>
                <w:sz w:val="15"/>
                <w:szCs w:val="15"/>
                <w:color w:val="auto"/>
              </w:rPr>
            </w:pPr>
          </w:p>
        </w:tc>
        <w:tc>
          <w:tcPr>
            <w:tcW w:w="7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w:t>
            </w:r>
          </w:p>
        </w:tc>
      </w:tr>
      <w:tr>
        <w:trPr>
          <w:trHeight w:val="176"/>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Payments on long-term debt. . . . . . . . . . . . . . .</w:t>
            </w:r>
          </w:p>
        </w:tc>
        <w:tc>
          <w:tcPr>
            <w:tcW w:w="3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(128)</w:t>
            </w:r>
          </w:p>
        </w:tc>
      </w:tr>
      <w:tr>
        <w:trPr>
          <w:trHeight w:val="176"/>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Dividends paid on common stock. . . . . . . . . . . . .</w:t>
            </w:r>
          </w:p>
        </w:tc>
        <w:tc>
          <w:tcPr>
            <w:tcW w:w="3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(74)</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r>
      <w:tr>
        <w:trPr>
          <w:trHeight w:val="176"/>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Sales and other common stock transactions . . . . . . .</w:t>
            </w:r>
          </w:p>
        </w:tc>
        <w:tc>
          <w:tcPr>
            <w:tcW w:w="360" w:type="dxa"/>
            <w:vAlign w:val="bottom"/>
          </w:tcPr>
          <w:p>
            <w:pPr>
              <w:spacing w:after="0"/>
              <w:rPr>
                <w:sz w:val="15"/>
                <w:szCs w:val="15"/>
                <w:color w:val="auto"/>
              </w:rPr>
            </w:pPr>
          </w:p>
        </w:tc>
        <w:tc>
          <w:tcPr>
            <w:tcW w:w="7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92</w:t>
            </w:r>
          </w:p>
        </w:tc>
        <w:tc>
          <w:tcPr>
            <w:tcW w:w="22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87</w:t>
            </w:r>
          </w:p>
        </w:tc>
      </w:tr>
      <w:tr>
        <w:trPr>
          <w:trHeight w:val="176"/>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Common stock repurchase program . . . . . . . . . . . .</w:t>
            </w:r>
          </w:p>
        </w:tc>
        <w:tc>
          <w:tcPr>
            <w:tcW w:w="3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(210)</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(158)</w:t>
            </w:r>
          </w:p>
        </w:tc>
      </w:tr>
      <w:tr>
        <w:trPr>
          <w:trHeight w:val="176"/>
        </w:trPr>
        <w:tc>
          <w:tcPr>
            <w:tcW w:w="5400" w:type="dxa"/>
            <w:vAlign w:val="bottom"/>
          </w:tcPr>
          <w:p>
            <w:pPr>
              <w:spacing w:after="0"/>
              <w:rPr>
                <w:sz w:val="15"/>
                <w:szCs w:val="15"/>
                <w:color w:val="auto"/>
              </w:rPr>
            </w:pPr>
          </w:p>
        </w:tc>
        <w:tc>
          <w:tcPr>
            <w:tcW w:w="10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400" w:type="dxa"/>
            <w:vAlign w:val="bottom"/>
          </w:tcPr>
          <w:p>
            <w:pPr>
              <w:spacing w:after="0"/>
              <w:rPr>
                <w:sz w:val="20"/>
                <w:szCs w:val="20"/>
                <w:color w:val="auto"/>
              </w:rPr>
            </w:pPr>
            <w:r>
              <w:rPr>
                <w:rFonts w:ascii="Courier New" w:cs="Courier New" w:eastAsia="Courier New" w:hAnsi="Courier New"/>
                <w:sz w:val="15"/>
                <w:szCs w:val="15"/>
                <w:color w:val="auto"/>
              </w:rPr>
              <w:t>Net cash used in financing activities . . . . . . . . . .</w:t>
            </w:r>
          </w:p>
        </w:tc>
        <w:tc>
          <w:tcPr>
            <w:tcW w:w="3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(203)</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(270)</w:t>
            </w:r>
          </w:p>
        </w:tc>
      </w:tr>
      <w:tr>
        <w:trPr>
          <w:trHeight w:val="352"/>
        </w:trPr>
        <w:tc>
          <w:tcPr>
            <w:tcW w:w="540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 . . . . . . . . .</w:t>
            </w:r>
          </w:p>
        </w:tc>
        <w:tc>
          <w:tcPr>
            <w:tcW w:w="360" w:type="dxa"/>
            <w:vAlign w:val="bottom"/>
          </w:tcPr>
          <w:p>
            <w:pPr>
              <w:spacing w:after="0"/>
              <w:rPr>
                <w:sz w:val="24"/>
                <w:szCs w:val="24"/>
                <w:color w:val="auto"/>
              </w:rPr>
            </w:pPr>
          </w:p>
        </w:tc>
        <w:tc>
          <w:tcPr>
            <w:tcW w:w="7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w:t>
            </w: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6"/>
        </w:trPr>
        <w:tc>
          <w:tcPr>
            <w:tcW w:w="5400" w:type="dxa"/>
            <w:vAlign w:val="bottom"/>
          </w:tcPr>
          <w:p>
            <w:pPr>
              <w:spacing w:after="0"/>
              <w:rPr>
                <w:sz w:val="15"/>
                <w:szCs w:val="15"/>
                <w:color w:val="auto"/>
              </w:rPr>
            </w:pPr>
          </w:p>
        </w:tc>
        <w:tc>
          <w:tcPr>
            <w:tcW w:w="10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40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 equivalents. . .</w:t>
            </w:r>
          </w:p>
        </w:tc>
        <w:tc>
          <w:tcPr>
            <w:tcW w:w="360" w:type="dxa"/>
            <w:vAlign w:val="bottom"/>
          </w:tcPr>
          <w:p>
            <w:pPr>
              <w:spacing w:after="0"/>
              <w:rPr>
                <w:sz w:val="15"/>
                <w:szCs w:val="15"/>
                <w:color w:val="auto"/>
              </w:rPr>
            </w:pPr>
          </w:p>
        </w:tc>
        <w:tc>
          <w:tcPr>
            <w:tcW w:w="7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56</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(203)</w:t>
            </w:r>
          </w:p>
        </w:tc>
      </w:tr>
      <w:tr>
        <w:trPr>
          <w:trHeight w:val="176"/>
        </w:trPr>
        <w:tc>
          <w:tcPr>
            <w:tcW w:w="5400" w:type="dxa"/>
            <w:vAlign w:val="bottom"/>
          </w:tcPr>
          <w:p>
            <w:pPr>
              <w:spacing w:after="0"/>
              <w:rPr>
                <w:sz w:val="20"/>
                <w:szCs w:val="20"/>
                <w:color w:val="auto"/>
              </w:rPr>
            </w:pPr>
            <w:r>
              <w:rPr>
                <w:rFonts w:ascii="Courier New" w:cs="Courier New" w:eastAsia="Courier New" w:hAnsi="Courier New"/>
                <w:sz w:val="15"/>
                <w:szCs w:val="15"/>
                <w:color w:val="auto"/>
              </w:rPr>
              <w:t>Cash and cash equivalents, January 1. . . . . . . . . . .</w:t>
            </w:r>
          </w:p>
        </w:tc>
        <w:tc>
          <w:tcPr>
            <w:tcW w:w="360" w:type="dxa"/>
            <w:vAlign w:val="bottom"/>
          </w:tcPr>
          <w:p>
            <w:pPr>
              <w:spacing w:after="0"/>
              <w:rPr>
                <w:sz w:val="15"/>
                <w:szCs w:val="15"/>
                <w:color w:val="auto"/>
              </w:rPr>
            </w:pPr>
          </w:p>
        </w:tc>
        <w:tc>
          <w:tcPr>
            <w:tcW w:w="7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431</w:t>
            </w:r>
          </w:p>
        </w:tc>
        <w:tc>
          <w:tcPr>
            <w:tcW w:w="22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745</w:t>
            </w:r>
          </w:p>
        </w:tc>
      </w:tr>
      <w:tr>
        <w:trPr>
          <w:trHeight w:val="176"/>
        </w:trPr>
        <w:tc>
          <w:tcPr>
            <w:tcW w:w="5400" w:type="dxa"/>
            <w:vAlign w:val="bottom"/>
          </w:tcPr>
          <w:p>
            <w:pPr>
              <w:spacing w:after="0"/>
              <w:rPr>
                <w:sz w:val="15"/>
                <w:szCs w:val="15"/>
                <w:color w:val="auto"/>
              </w:rPr>
            </w:pPr>
          </w:p>
        </w:tc>
        <w:tc>
          <w:tcPr>
            <w:tcW w:w="10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400" w:type="dxa"/>
            <w:vAlign w:val="bottom"/>
          </w:tcPr>
          <w:p>
            <w:pPr>
              <w:spacing w:after="0"/>
              <w:rPr>
                <w:sz w:val="20"/>
                <w:szCs w:val="20"/>
                <w:color w:val="auto"/>
              </w:rPr>
            </w:pPr>
            <w:r>
              <w:rPr>
                <w:rFonts w:ascii="Courier New" w:cs="Courier New" w:eastAsia="Courier New" w:hAnsi="Courier New"/>
                <w:sz w:val="15"/>
                <w:szCs w:val="15"/>
                <w:color w:val="auto"/>
              </w:rPr>
              <w:t>Cash and cash equivalents, June 30. . . . . . . . . . . .</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487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542</w:t>
            </w:r>
          </w:p>
        </w:tc>
      </w:tr>
      <w:tr>
        <w:trPr>
          <w:trHeight w:val="176"/>
        </w:trPr>
        <w:tc>
          <w:tcPr>
            <w:tcW w:w="5400" w:type="dxa"/>
            <w:vAlign w:val="bottom"/>
          </w:tcPr>
          <w:p>
            <w:pPr>
              <w:spacing w:after="0"/>
              <w:rPr>
                <w:sz w:val="15"/>
                <w:szCs w:val="15"/>
                <w:color w:val="auto"/>
              </w:rPr>
            </w:pPr>
          </w:p>
        </w:tc>
        <w:tc>
          <w:tcPr>
            <w:tcW w:w="10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529"/>
        </w:trPr>
        <w:tc>
          <w:tcPr>
            <w:tcW w:w="5400" w:type="dxa"/>
            <w:vAlign w:val="bottom"/>
          </w:tcPr>
          <w:p>
            <w:pPr>
              <w:ind w:left="3660"/>
              <w:spacing w:after="0"/>
              <w:rPr>
                <w:sz w:val="20"/>
                <w:szCs w:val="20"/>
                <w:color w:val="auto"/>
              </w:rPr>
            </w:pPr>
            <w:r>
              <w:rPr>
                <w:rFonts w:ascii="Courier New" w:cs="Courier New" w:eastAsia="Courier New" w:hAnsi="Courier New"/>
                <w:sz w:val="15"/>
                <w:szCs w:val="15"/>
                <w:color w:val="auto"/>
              </w:rPr>
              <w:t>4</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219"/>
          </w:cols>
          <w:pgMar w:left="240" w:top="647" w:right="1440" w:bottom="1440" w:gutter="0" w:footer="0" w:header="0"/>
        </w:sectPr>
      </w:pPr>
    </w:p>
    <w:bookmarkStart w:id="4" w:name="page5"/>
    <w:bookmarkEnd w:id="4"/>
    <w:p>
      <w:pPr>
        <w:ind w:left="1466"/>
        <w:spacing w:after="0"/>
        <w:rPr>
          <w:sz w:val="20"/>
          <w:szCs w:val="20"/>
          <w:color w:val="auto"/>
        </w:rPr>
      </w:pPr>
      <w:r>
        <w:rPr>
          <w:rFonts w:ascii="Courier New" w:cs="Courier New" w:eastAsia="Courier New" w:hAnsi="Courier New"/>
          <w:sz w:val="15"/>
          <w:szCs w:val="15"/>
          <w:color w:val="auto"/>
        </w:rPr>
        <w:t>TEXAS INSTRUMENTS INCORPORATED AND SUBSIDIARIES</w:t>
      </w:r>
    </w:p>
    <w:p>
      <w:pPr>
        <w:spacing w:after="0" w:line="6" w:lineRule="exact"/>
        <w:rPr>
          <w:sz w:val="20"/>
          <w:szCs w:val="20"/>
          <w:color w:val="auto"/>
        </w:rPr>
      </w:pPr>
    </w:p>
    <w:p>
      <w:pPr>
        <w:ind w:left="2386"/>
        <w:spacing w:after="0"/>
        <w:rPr>
          <w:sz w:val="20"/>
          <w:szCs w:val="20"/>
          <w:color w:val="auto"/>
        </w:rPr>
      </w:pPr>
      <w:r>
        <w:rPr>
          <w:rFonts w:ascii="Courier New" w:cs="Courier New" w:eastAsia="Courier New" w:hAnsi="Courier New"/>
          <w:sz w:val="15"/>
          <w:szCs w:val="15"/>
          <w:color w:val="auto"/>
        </w:rPr>
        <w:t>Notes to Financial Statements</w:t>
      </w:r>
    </w:p>
    <w:p>
      <w:pPr>
        <w:spacing w:after="0" w:line="359" w:lineRule="exact"/>
        <w:rPr>
          <w:sz w:val="20"/>
          <w:szCs w:val="20"/>
          <w:color w:val="auto"/>
        </w:rPr>
      </w:pPr>
    </w:p>
    <w:p>
      <w:pPr>
        <w:ind w:left="6" w:right="3079" w:hanging="6"/>
        <w:spacing w:after="0" w:line="249" w:lineRule="auto"/>
        <w:tabs>
          <w:tab w:leader="none" w:pos="37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Diluted earnings (loss) per common share are based on average common and dilutive potential common shares outstanding (1774.4 and 1735.6 million shares for the second quarters of 2002 and 2001 and 1775.4 and 1785.5 million shares for the six months ended June 30, 2002 and 2001). For the second quarter of 2001, dilutive potential common shares have been excluded due to the net loss for the period.</w:t>
      </w:r>
    </w:p>
    <w:p>
      <w:pPr>
        <w:spacing w:after="0" w:line="175" w:lineRule="exact"/>
        <w:rPr>
          <w:rFonts w:ascii="Courier New" w:cs="Courier New" w:eastAsia="Courier New" w:hAnsi="Courier New"/>
          <w:sz w:val="15"/>
          <w:szCs w:val="15"/>
          <w:color w:val="auto"/>
        </w:rPr>
      </w:pPr>
    </w:p>
    <w:p>
      <w:pPr>
        <w:ind w:left="6" w:right="3079" w:hanging="6"/>
        <w:spacing w:after="0" w:line="249" w:lineRule="auto"/>
        <w:tabs>
          <w:tab w:leader="none" w:pos="37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second quarter of 2002, TI completed its acquisition of Condat AG, Berlin (Condat) for a purchase price of approximately $85 million. Goodwill of approximately $58 million was recognized due to the acquisition. Some adjustments to accounting estimates for this purchase acquisition may be required in the third quarter, but it is not expected that they will have a material impact on the company's financial position or results of operations.</w:t>
      </w:r>
    </w:p>
    <w:p>
      <w:pPr>
        <w:spacing w:after="0" w:line="175" w:lineRule="exact"/>
        <w:rPr>
          <w:rFonts w:ascii="Courier New" w:cs="Courier New" w:eastAsia="Courier New" w:hAnsi="Courier New"/>
          <w:sz w:val="15"/>
          <w:szCs w:val="15"/>
          <w:color w:val="auto"/>
        </w:rPr>
      </w:pPr>
    </w:p>
    <w:p>
      <w:pPr>
        <w:ind w:left="6" w:right="2899" w:hanging="6"/>
        <w:spacing w:after="0" w:line="249" w:lineRule="auto"/>
        <w:tabs>
          <w:tab w:leader="none" w:pos="37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other income (expense) net for the second quarters of 2002 and 2001, in millions of dollars, are investment write-downs of $96 and $18. A decline in the market value of Hynix Global Depositary Shares accounted for most of the investment write-down in second quarter 2002.</w:t>
      </w:r>
    </w:p>
    <w:p>
      <w:pPr>
        <w:spacing w:after="0" w:line="175" w:lineRule="exact"/>
        <w:rPr>
          <w:rFonts w:ascii="Courier New" w:cs="Courier New" w:eastAsia="Courier New" w:hAnsi="Courier New"/>
          <w:sz w:val="15"/>
          <w:szCs w:val="15"/>
          <w:color w:val="auto"/>
        </w:rPr>
      </w:pPr>
    </w:p>
    <w:p>
      <w:pPr>
        <w:ind w:left="6" w:right="2979" w:hanging="6"/>
        <w:spacing w:after="0" w:line="249" w:lineRule="auto"/>
        <w:tabs>
          <w:tab w:leader="none" w:pos="37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for the second quarter of 2002 includes, in millions of dollars, net special gains of $16, of which $20 is the reversal of a warranty reserve taken against the gain on the sale of the software business unit in 1997, because the warranty period has expired. Of the $16 net special gains, $20 is included in other income, $5 is in selling, general and administrative expense, $2 is a reduction in cost of revenues and $1 is in research and development expense.</w:t>
      </w:r>
    </w:p>
    <w:p>
      <w:pPr>
        <w:spacing w:after="0" w:line="175" w:lineRule="exact"/>
        <w:rPr>
          <w:rFonts w:ascii="Courier New" w:cs="Courier New" w:eastAsia="Courier New" w:hAnsi="Courier New"/>
          <w:sz w:val="15"/>
          <w:szCs w:val="15"/>
          <w:color w:val="auto"/>
        </w:rPr>
      </w:pPr>
    </w:p>
    <w:p>
      <w:pPr>
        <w:ind w:left="6" w:right="2899" w:hanging="6"/>
        <w:spacing w:after="0" w:line="249" w:lineRule="auto"/>
        <w:tabs>
          <w:tab w:leader="none" w:pos="37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for the first quarter of 2002 includes, in millions of dollars, net special charges of $17, of which $14 is for restructuring charges primarily related to the closing of the Semiconductor manufacturing facility in Merrimack, New Hampshire. Of the $14, $9 is for the acceleration of depreciation over the remaining service life of the facility, and $4 is for fixed asset write-downs for assets held for sale. Of the $17 net special charges, $16 is included in cost of revenues and $1 is in other income (expense) net.</w:t>
      </w:r>
    </w:p>
    <w:p>
      <w:pPr>
        <w:spacing w:after="0" w:line="175" w:lineRule="exact"/>
        <w:rPr>
          <w:rFonts w:ascii="Courier New" w:cs="Courier New" w:eastAsia="Courier New" w:hAnsi="Courier New"/>
          <w:sz w:val="15"/>
          <w:szCs w:val="15"/>
          <w:color w:val="auto"/>
        </w:rPr>
      </w:pPr>
    </w:p>
    <w:p>
      <w:pPr>
        <w:ind w:left="6" w:right="2899" w:hanging="6"/>
        <w:spacing w:after="0" w:line="249" w:lineRule="auto"/>
        <w:tabs>
          <w:tab w:leader="none" w:pos="37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June 30, 2002, in millions of dollars, $260 of the $293 aggregate severance cost obligations for the 2001 worldwide cost-reduction and restructuring actions affecting a total of 5724 employees had been paid. Loss for the second quarter of 2001 includes, in millions of dollars, net special charges of $252, of which $214 is severance cost for the 2001 worldwide cost-reduction program affecting 3778 employees and $35 relates to the restructuring charges for the closing of three Semiconductor facilities. Of the $35, $14 is severance cost for 559 additional employees and $16 is for the acceleration of depreciation over the remaining service life of the facilities. Of the $252 net special charges, $162 is included in cost of revenues, $84 is in selling, general and administrative expense and $6 is in research and development expense. Also included in the second quarter of 2001 is a $68 increase in the income tax provision to adjust to the expected tax rate for the year.</w:t>
      </w:r>
    </w:p>
    <w:p>
      <w:pPr>
        <w:spacing w:after="0" w:line="350" w:lineRule="exact"/>
        <w:rPr>
          <w:rFonts w:ascii="Courier New" w:cs="Courier New" w:eastAsia="Courier New" w:hAnsi="Courier New"/>
          <w:sz w:val="15"/>
          <w:szCs w:val="15"/>
          <w:color w:val="auto"/>
        </w:rPr>
      </w:pPr>
    </w:p>
    <w:p>
      <w:pPr>
        <w:ind w:left="6" w:right="2979" w:hanging="6"/>
        <w:spacing w:after="0" w:line="249" w:lineRule="auto"/>
        <w:tabs>
          <w:tab w:leader="none" w:pos="37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for the first quarter of 2001 includes, in millions of dollars, net special charges of $50, of which $27 is severance cost for 502 employees under the 2001 worldwide cost-reduction program and $25 relates to the closing of a Semiconductor manufacturing facility in Santa Cruz, California. Of the $25, $16 is severance cost for 600 additional employees and $5 is for acceleration of depreciation over the remaining service life of the facility. Of the $50 net special charges, $44 is included in cost of revenues, $7 is in selling, general and administrative expense, $2 is in research and development expense and $3 is in other income.</w:t>
      </w:r>
    </w:p>
    <w:p>
      <w:pPr>
        <w:spacing w:after="0" w:line="175" w:lineRule="exact"/>
        <w:rPr>
          <w:rFonts w:ascii="Courier New" w:cs="Courier New" w:eastAsia="Courier New" w:hAnsi="Courier New"/>
          <w:sz w:val="15"/>
          <w:szCs w:val="15"/>
          <w:color w:val="auto"/>
        </w:rPr>
      </w:pPr>
    </w:p>
    <w:p>
      <w:pPr>
        <w:ind w:left="366" w:hanging="366"/>
        <w:spacing w:after="0"/>
        <w:tabs>
          <w:tab w:leader="none" w:pos="36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comprehensive income (loss), i.e., net income (loss) plus</w:t>
      </w:r>
    </w:p>
    <w:p>
      <w:pPr>
        <w:spacing w:after="0" w:line="6"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available-for-sale investment and pension liability adjustments to stockholders' equity, for the second quarters of 2002 and 2001, in millions of dollars, was negative $400 and negative $231. For the six months ended June 30, 2002 and 2001, it was negative $362 and positive $143.</w:t>
      </w:r>
    </w:p>
    <w:p>
      <w:pPr>
        <w:spacing w:after="0" w:line="176"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5"/>
          </w:cols>
          <w:pgMar w:left="234" w:top="823" w:right="1440" w:bottom="1440" w:gutter="0" w:footer="0" w:header="0"/>
        </w:sectPr>
      </w:pPr>
    </w:p>
    <w:bookmarkStart w:id="5" w:name="page6"/>
    <w:bookmarkEnd w:id="5"/>
    <w:p>
      <w:pPr>
        <w:ind w:left="6" w:right="3079" w:hanging="6"/>
        <w:spacing w:after="0" w:line="249" w:lineRule="auto"/>
        <w:tabs>
          <w:tab w:leader="none" w:pos="37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has been no significant change in the status of the ongoing audit investigation (initially disclosed in 1998) concerning grants from the Italian government.</w:t>
      </w:r>
    </w:p>
    <w:p>
      <w:pPr>
        <w:spacing w:after="0" w:line="175" w:lineRule="exact"/>
        <w:rPr>
          <w:rFonts w:ascii="Courier New" w:cs="Courier New" w:eastAsia="Courier New" w:hAnsi="Courier New"/>
          <w:sz w:val="15"/>
          <w:szCs w:val="15"/>
          <w:color w:val="auto"/>
        </w:rPr>
      </w:pPr>
    </w:p>
    <w:p>
      <w:pPr>
        <w:ind w:left="6" w:right="2899" w:hanging="6"/>
        <w:spacing w:after="0" w:line="249" w:lineRule="auto"/>
        <w:tabs>
          <w:tab w:leader="none" w:pos="464"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Federal income taxes for the interim periods presented have been included in the accompanying financial statements on the basis of an estimated annual rate. The estimated annualized tax rate for 2002 is 18 percent. The effective annualized tax rate for 2002 differs from the 35 percent statutory corporate tax rate due to the expected utilization of tax benefits such as the credit for research activities.</w:t>
      </w:r>
    </w:p>
    <w:p>
      <w:pPr>
        <w:spacing w:after="0" w:line="175" w:lineRule="exact"/>
        <w:rPr>
          <w:rFonts w:ascii="Courier New" w:cs="Courier New" w:eastAsia="Courier New" w:hAnsi="Courier New"/>
          <w:sz w:val="15"/>
          <w:szCs w:val="15"/>
          <w:color w:val="auto"/>
        </w:rPr>
      </w:pPr>
    </w:p>
    <w:p>
      <w:pPr>
        <w:ind w:left="6" w:right="2899" w:hanging="6"/>
        <w:spacing w:after="0" w:line="249" w:lineRule="auto"/>
        <w:tabs>
          <w:tab w:leader="none" w:pos="464"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statements of operations and statements of cash flows for the periods ended June 30, 2002, and the balance sheet at June 30, 2002, are not audited but reflect all adjustments which are of a normal recurring nature and are, in the opinion of management, necessary for a fair statement of the results of the periods shown.</w:t>
      </w:r>
    </w:p>
    <w:p>
      <w:pPr>
        <w:spacing w:after="0" w:line="175"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segment information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238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For Three Months Ended</w:t>
            </w:r>
          </w:p>
        </w:tc>
        <w:tc>
          <w:tcPr>
            <w:tcW w:w="224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For Six Months Ended</w:t>
            </w:r>
          </w:p>
        </w:tc>
      </w:tr>
      <w:tr>
        <w:trPr>
          <w:trHeight w:val="352"/>
        </w:trPr>
        <w:tc>
          <w:tcPr>
            <w:tcW w:w="398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Courier New" w:cs="Courier New" w:eastAsia="Courier New" w:hAnsi="Courier New"/>
                <w:sz w:val="11"/>
                <w:szCs w:val="11"/>
                <w:color w:val="auto"/>
                <w:w w:val="74"/>
              </w:rPr>
              <w:t>----------------------</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40" w:type="dxa"/>
            <w:vAlign w:val="bottom"/>
            <w:gridSpan w:val="4"/>
          </w:tcPr>
          <w:p>
            <w:pPr>
              <w:ind w:left="320"/>
              <w:spacing w:after="0"/>
              <w:rPr>
                <w:sz w:val="20"/>
                <w:szCs w:val="20"/>
                <w:color w:val="auto"/>
              </w:rPr>
            </w:pPr>
            <w:r>
              <w:rPr>
                <w:rFonts w:ascii="Courier New" w:cs="Courier New" w:eastAsia="Courier New" w:hAnsi="Courier New"/>
                <w:sz w:val="15"/>
                <w:szCs w:val="15"/>
                <w:color w:val="auto"/>
              </w:rPr>
              <w:t>--------------------</w:t>
            </w:r>
          </w:p>
        </w:tc>
      </w:tr>
      <w:tr>
        <w:trPr>
          <w:trHeight w:val="176"/>
        </w:trPr>
        <w:tc>
          <w:tcPr>
            <w:tcW w:w="3980" w:type="dxa"/>
            <w:vAlign w:val="bottom"/>
          </w:tcPr>
          <w:p>
            <w:pPr>
              <w:spacing w:after="0"/>
              <w:rPr>
                <w:sz w:val="20"/>
                <w:szCs w:val="20"/>
                <w:color w:val="auto"/>
              </w:rPr>
            </w:pPr>
            <w:r>
              <w:rPr>
                <w:rFonts w:ascii="Courier New" w:cs="Courier New" w:eastAsia="Courier New" w:hAnsi="Courier New"/>
                <w:sz w:val="15"/>
                <w:szCs w:val="15"/>
                <w:color w:val="auto"/>
              </w:rPr>
              <w:t>Business Segment Net Revenues</w:t>
            </w:r>
          </w:p>
        </w:tc>
        <w:tc>
          <w:tcPr>
            <w:tcW w:w="11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June 30</w:t>
            </w:r>
          </w:p>
        </w:tc>
        <w:tc>
          <w:tcPr>
            <w:tcW w:w="12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June 30</w:t>
            </w:r>
          </w:p>
        </w:tc>
        <w:tc>
          <w:tcPr>
            <w:tcW w:w="128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June 30</w:t>
            </w:r>
          </w:p>
        </w:tc>
        <w:tc>
          <w:tcPr>
            <w:tcW w:w="9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June 30</w:t>
            </w:r>
          </w:p>
        </w:tc>
      </w:tr>
      <w:tr>
        <w:trPr>
          <w:trHeight w:val="176"/>
        </w:trPr>
        <w:tc>
          <w:tcPr>
            <w:tcW w:w="3980" w:type="dxa"/>
            <w:vAlign w:val="bottom"/>
          </w:tcPr>
          <w:p>
            <w:pPr>
              <w:spacing w:after="0"/>
              <w:rPr>
                <w:sz w:val="20"/>
                <w:szCs w:val="20"/>
                <w:color w:val="auto"/>
              </w:rPr>
            </w:pPr>
            <w:r>
              <w:rPr>
                <w:rFonts w:ascii="Courier New" w:cs="Courier New" w:eastAsia="Courier New" w:hAnsi="Courier New"/>
                <w:sz w:val="15"/>
                <w:szCs w:val="15"/>
                <w:color w:val="auto"/>
              </w:rPr>
              <w:t>(in millions of dollars)</w:t>
            </w:r>
          </w:p>
        </w:tc>
        <w:tc>
          <w:tcPr>
            <w:tcW w:w="42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240" w:type="dxa"/>
            <w:vAlign w:val="bottom"/>
          </w:tcPr>
          <w:p>
            <w:pPr>
              <w:spacing w:after="0"/>
              <w:rPr>
                <w:sz w:val="15"/>
                <w:szCs w:val="15"/>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2001</w:t>
            </w:r>
          </w:p>
        </w:tc>
        <w:tc>
          <w:tcPr>
            <w:tcW w:w="56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2002</w:t>
            </w:r>
          </w:p>
        </w:tc>
        <w:tc>
          <w:tcPr>
            <w:tcW w:w="28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rPr>
              <w:t>2001</w:t>
            </w:r>
          </w:p>
        </w:tc>
      </w:tr>
      <w:tr>
        <w:trPr>
          <w:trHeight w:val="176"/>
        </w:trPr>
        <w:tc>
          <w:tcPr>
            <w:tcW w:w="39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2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6"/>
        </w:trPr>
        <w:tc>
          <w:tcPr>
            <w:tcW w:w="3980" w:type="dxa"/>
            <w:vAlign w:val="bottom"/>
          </w:tcPr>
          <w:p>
            <w:pPr>
              <w:spacing w:after="0"/>
              <w:rPr>
                <w:sz w:val="20"/>
                <w:szCs w:val="20"/>
                <w:color w:val="auto"/>
              </w:rPr>
            </w:pPr>
            <w:r>
              <w:rPr>
                <w:rFonts w:ascii="Courier New" w:cs="Courier New" w:eastAsia="Courier New" w:hAnsi="Courier New"/>
                <w:sz w:val="15"/>
                <w:szCs w:val="15"/>
                <w:color w:val="auto"/>
              </w:rPr>
              <w:t>Semiconductor</w:t>
            </w: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3980" w:type="dxa"/>
            <w:vAlign w:val="bottom"/>
          </w:tcPr>
          <w:p>
            <w:pPr>
              <w:ind w:left="180"/>
              <w:spacing w:after="0"/>
              <w:rPr>
                <w:sz w:val="20"/>
                <w:szCs w:val="20"/>
                <w:color w:val="auto"/>
              </w:rPr>
            </w:pPr>
            <w:r>
              <w:rPr>
                <w:rFonts w:ascii="Courier New" w:cs="Courier New" w:eastAsia="Courier New" w:hAnsi="Courier New"/>
                <w:sz w:val="15"/>
                <w:szCs w:val="15"/>
                <w:color w:val="auto"/>
              </w:rPr>
              <w:t>Trade. . . . . . . . . . . . . . . . . .</w:t>
            </w:r>
          </w:p>
        </w:tc>
        <w:tc>
          <w:tcPr>
            <w:tcW w:w="11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$ 1,761</w:t>
            </w:r>
          </w:p>
        </w:tc>
        <w:tc>
          <w:tcPr>
            <w:tcW w:w="12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$ 1,652</w:t>
            </w:r>
          </w:p>
        </w:tc>
        <w:tc>
          <w:tcPr>
            <w:tcW w:w="5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3,275</w:t>
            </w:r>
          </w:p>
        </w:tc>
        <w:tc>
          <w:tcPr>
            <w:tcW w:w="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3,824</w:t>
            </w:r>
          </w:p>
        </w:tc>
      </w:tr>
      <w:tr>
        <w:trPr>
          <w:trHeight w:val="176"/>
        </w:trPr>
        <w:tc>
          <w:tcPr>
            <w:tcW w:w="3980" w:type="dxa"/>
            <w:vAlign w:val="bottom"/>
          </w:tcPr>
          <w:p>
            <w:pPr>
              <w:ind w:left="180"/>
              <w:spacing w:after="0"/>
              <w:rPr>
                <w:sz w:val="20"/>
                <w:szCs w:val="20"/>
                <w:color w:val="auto"/>
              </w:rPr>
            </w:pPr>
            <w:r>
              <w:rPr>
                <w:rFonts w:ascii="Courier New" w:cs="Courier New" w:eastAsia="Courier New" w:hAnsi="Courier New"/>
                <w:sz w:val="15"/>
                <w:szCs w:val="15"/>
                <w:color w:val="auto"/>
              </w:rPr>
              <w:t>Intersegment . . . . . . . . . . . . . .</w:t>
            </w:r>
          </w:p>
        </w:tc>
        <w:tc>
          <w:tcPr>
            <w:tcW w:w="420" w:type="dxa"/>
            <w:vAlign w:val="bottom"/>
          </w:tcPr>
          <w:p>
            <w:pPr>
              <w:spacing w:after="0"/>
              <w:rPr>
                <w:sz w:val="15"/>
                <w:szCs w:val="15"/>
                <w:color w:val="auto"/>
              </w:rPr>
            </w:pPr>
          </w:p>
        </w:tc>
        <w:tc>
          <w:tcPr>
            <w:tcW w:w="7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w:t>
            </w:r>
          </w:p>
        </w:tc>
        <w:tc>
          <w:tcPr>
            <w:tcW w:w="240" w:type="dxa"/>
            <w:vAlign w:val="bottom"/>
          </w:tcPr>
          <w:p>
            <w:pPr>
              <w:spacing w:after="0"/>
              <w:rPr>
                <w:sz w:val="15"/>
                <w:szCs w:val="15"/>
                <w:color w:val="auto"/>
              </w:rPr>
            </w:pPr>
          </w:p>
        </w:tc>
        <w:tc>
          <w:tcPr>
            <w:tcW w:w="10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w:t>
            </w:r>
          </w:p>
        </w:tc>
        <w:tc>
          <w:tcPr>
            <w:tcW w:w="560" w:type="dxa"/>
            <w:vAlign w:val="bottom"/>
          </w:tcPr>
          <w:p>
            <w:pPr>
              <w:spacing w:after="0"/>
              <w:rPr>
                <w:sz w:val="15"/>
                <w:szCs w:val="15"/>
                <w:color w:val="auto"/>
              </w:rPr>
            </w:pP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w:t>
            </w:r>
          </w:p>
        </w:tc>
        <w:tc>
          <w:tcPr>
            <w:tcW w:w="28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w:t>
            </w:r>
          </w:p>
        </w:tc>
      </w:tr>
      <w:tr>
        <w:trPr>
          <w:trHeight w:val="176"/>
        </w:trPr>
        <w:tc>
          <w:tcPr>
            <w:tcW w:w="3980" w:type="dxa"/>
            <w:vAlign w:val="bottom"/>
          </w:tcPr>
          <w:p>
            <w:pPr>
              <w:spacing w:after="0"/>
              <w:rPr>
                <w:sz w:val="15"/>
                <w:szCs w:val="15"/>
                <w:color w:val="auto"/>
              </w:rPr>
            </w:pPr>
          </w:p>
        </w:tc>
        <w:tc>
          <w:tcPr>
            <w:tcW w:w="11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3"/>
              </w:rPr>
              <w:t>1,764</w:t>
            </w:r>
          </w:p>
        </w:tc>
        <w:tc>
          <w:tcPr>
            <w:tcW w:w="240" w:type="dxa"/>
            <w:vAlign w:val="bottom"/>
          </w:tcPr>
          <w:p>
            <w:pPr>
              <w:spacing w:after="0"/>
              <w:rPr>
                <w:sz w:val="15"/>
                <w:szCs w:val="15"/>
                <w:color w:val="auto"/>
              </w:rPr>
            </w:pPr>
          </w:p>
        </w:tc>
        <w:tc>
          <w:tcPr>
            <w:tcW w:w="10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1,657</w:t>
            </w:r>
          </w:p>
        </w:tc>
        <w:tc>
          <w:tcPr>
            <w:tcW w:w="560" w:type="dxa"/>
            <w:vAlign w:val="bottom"/>
          </w:tcPr>
          <w:p>
            <w:pPr>
              <w:spacing w:after="0"/>
              <w:rPr>
                <w:sz w:val="15"/>
                <w:szCs w:val="15"/>
                <w:color w:val="auto"/>
              </w:rPr>
            </w:pP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3,282</w:t>
            </w:r>
          </w:p>
        </w:tc>
        <w:tc>
          <w:tcPr>
            <w:tcW w:w="28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3,833</w:t>
            </w:r>
          </w:p>
        </w:tc>
      </w:tr>
      <w:tr>
        <w:trPr>
          <w:trHeight w:val="176"/>
        </w:trPr>
        <w:tc>
          <w:tcPr>
            <w:tcW w:w="3980" w:type="dxa"/>
            <w:vAlign w:val="bottom"/>
          </w:tcPr>
          <w:p>
            <w:pPr>
              <w:spacing w:after="0"/>
              <w:rPr>
                <w:sz w:val="15"/>
                <w:szCs w:val="15"/>
                <w:color w:val="auto"/>
              </w:rPr>
            </w:pPr>
          </w:p>
        </w:tc>
        <w:tc>
          <w:tcPr>
            <w:tcW w:w="11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980" w:type="dxa"/>
            <w:vAlign w:val="bottom"/>
          </w:tcPr>
          <w:p>
            <w:pPr>
              <w:spacing w:after="0"/>
              <w:rPr>
                <w:sz w:val="20"/>
                <w:szCs w:val="20"/>
                <w:color w:val="auto"/>
              </w:rPr>
            </w:pPr>
            <w:r>
              <w:rPr>
                <w:rFonts w:ascii="Courier New" w:cs="Courier New" w:eastAsia="Courier New" w:hAnsi="Courier New"/>
                <w:sz w:val="15"/>
                <w:szCs w:val="15"/>
                <w:color w:val="auto"/>
              </w:rPr>
              <w:t>Sensors &amp; Controls</w:t>
            </w: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3980" w:type="dxa"/>
            <w:vAlign w:val="bottom"/>
          </w:tcPr>
          <w:p>
            <w:pPr>
              <w:ind w:left="180"/>
              <w:spacing w:after="0"/>
              <w:rPr>
                <w:sz w:val="20"/>
                <w:szCs w:val="20"/>
                <w:color w:val="auto"/>
              </w:rPr>
            </w:pPr>
            <w:r>
              <w:rPr>
                <w:rFonts w:ascii="Courier New" w:cs="Courier New" w:eastAsia="Courier New" w:hAnsi="Courier New"/>
                <w:sz w:val="15"/>
                <w:szCs w:val="15"/>
                <w:color w:val="auto"/>
              </w:rPr>
              <w:t>Trade. . . . . . . . . . . . . . . . . .</w:t>
            </w:r>
          </w:p>
        </w:tc>
        <w:tc>
          <w:tcPr>
            <w:tcW w:w="420" w:type="dxa"/>
            <w:vAlign w:val="bottom"/>
          </w:tcPr>
          <w:p>
            <w:pPr>
              <w:spacing w:after="0"/>
              <w:rPr>
                <w:sz w:val="15"/>
                <w:szCs w:val="15"/>
                <w:color w:val="auto"/>
              </w:rPr>
            </w:pPr>
          </w:p>
        </w:tc>
        <w:tc>
          <w:tcPr>
            <w:tcW w:w="7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250</w:t>
            </w:r>
          </w:p>
        </w:tc>
        <w:tc>
          <w:tcPr>
            <w:tcW w:w="240" w:type="dxa"/>
            <w:vAlign w:val="bottom"/>
          </w:tcPr>
          <w:p>
            <w:pPr>
              <w:spacing w:after="0"/>
              <w:rPr>
                <w:sz w:val="15"/>
                <w:szCs w:val="15"/>
                <w:color w:val="auto"/>
              </w:rPr>
            </w:pPr>
          </w:p>
        </w:tc>
        <w:tc>
          <w:tcPr>
            <w:tcW w:w="10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255</w:t>
            </w:r>
          </w:p>
        </w:tc>
        <w:tc>
          <w:tcPr>
            <w:tcW w:w="560" w:type="dxa"/>
            <w:vAlign w:val="bottom"/>
          </w:tcPr>
          <w:p>
            <w:pPr>
              <w:spacing w:after="0"/>
              <w:rPr>
                <w:sz w:val="15"/>
                <w:szCs w:val="15"/>
                <w:color w:val="auto"/>
              </w:rPr>
            </w:pP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478</w:t>
            </w:r>
          </w:p>
        </w:tc>
        <w:tc>
          <w:tcPr>
            <w:tcW w:w="28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515</w:t>
            </w:r>
          </w:p>
        </w:tc>
      </w:tr>
      <w:tr>
        <w:trPr>
          <w:trHeight w:val="176"/>
        </w:trPr>
        <w:tc>
          <w:tcPr>
            <w:tcW w:w="3980" w:type="dxa"/>
            <w:vAlign w:val="bottom"/>
          </w:tcPr>
          <w:p>
            <w:pPr>
              <w:ind w:left="180"/>
              <w:spacing w:after="0"/>
              <w:rPr>
                <w:sz w:val="20"/>
                <w:szCs w:val="20"/>
                <w:color w:val="auto"/>
              </w:rPr>
            </w:pPr>
            <w:r>
              <w:rPr>
                <w:rFonts w:ascii="Courier New" w:cs="Courier New" w:eastAsia="Courier New" w:hAnsi="Courier New"/>
                <w:sz w:val="15"/>
                <w:szCs w:val="15"/>
                <w:color w:val="auto"/>
              </w:rPr>
              <w:t>Intersegment . . . . . . . . . . . . . .</w:t>
            </w:r>
          </w:p>
        </w:tc>
        <w:tc>
          <w:tcPr>
            <w:tcW w:w="420" w:type="dxa"/>
            <w:vAlign w:val="bottom"/>
          </w:tcPr>
          <w:p>
            <w:pPr>
              <w:spacing w:after="0"/>
              <w:rPr>
                <w:sz w:val="15"/>
                <w:szCs w:val="15"/>
                <w:color w:val="auto"/>
              </w:rPr>
            </w:pPr>
          </w:p>
        </w:tc>
        <w:tc>
          <w:tcPr>
            <w:tcW w:w="7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w:t>
            </w:r>
          </w:p>
        </w:tc>
        <w:tc>
          <w:tcPr>
            <w:tcW w:w="240" w:type="dxa"/>
            <w:vAlign w:val="bottom"/>
          </w:tcPr>
          <w:p>
            <w:pPr>
              <w:spacing w:after="0"/>
              <w:rPr>
                <w:sz w:val="15"/>
                <w:szCs w:val="15"/>
                <w:color w:val="auto"/>
              </w:rPr>
            </w:pPr>
          </w:p>
        </w:tc>
        <w:tc>
          <w:tcPr>
            <w:tcW w:w="10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w:t>
            </w:r>
          </w:p>
        </w:tc>
        <w:tc>
          <w:tcPr>
            <w:tcW w:w="560" w:type="dxa"/>
            <w:vAlign w:val="bottom"/>
          </w:tcPr>
          <w:p>
            <w:pPr>
              <w:spacing w:after="0"/>
              <w:rPr>
                <w:sz w:val="15"/>
                <w:szCs w:val="15"/>
                <w:color w:val="auto"/>
              </w:rPr>
            </w:pP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w:t>
            </w:r>
          </w:p>
        </w:tc>
        <w:tc>
          <w:tcPr>
            <w:tcW w:w="28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w:t>
            </w:r>
          </w:p>
        </w:tc>
      </w:tr>
      <w:tr>
        <w:trPr>
          <w:trHeight w:val="176"/>
        </w:trPr>
        <w:tc>
          <w:tcPr>
            <w:tcW w:w="3980" w:type="dxa"/>
            <w:vAlign w:val="bottom"/>
          </w:tcPr>
          <w:p>
            <w:pPr>
              <w:spacing w:after="0"/>
              <w:rPr>
                <w:sz w:val="15"/>
                <w:szCs w:val="15"/>
                <w:color w:val="auto"/>
              </w:rPr>
            </w:pPr>
          </w:p>
        </w:tc>
        <w:tc>
          <w:tcPr>
            <w:tcW w:w="11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252</w:t>
            </w:r>
          </w:p>
        </w:tc>
        <w:tc>
          <w:tcPr>
            <w:tcW w:w="240" w:type="dxa"/>
            <w:vAlign w:val="bottom"/>
          </w:tcPr>
          <w:p>
            <w:pPr>
              <w:spacing w:after="0"/>
              <w:rPr>
                <w:sz w:val="15"/>
                <w:szCs w:val="15"/>
                <w:color w:val="auto"/>
              </w:rPr>
            </w:pPr>
          </w:p>
        </w:tc>
        <w:tc>
          <w:tcPr>
            <w:tcW w:w="10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257</w:t>
            </w:r>
          </w:p>
        </w:tc>
        <w:tc>
          <w:tcPr>
            <w:tcW w:w="560" w:type="dxa"/>
            <w:vAlign w:val="bottom"/>
          </w:tcPr>
          <w:p>
            <w:pPr>
              <w:spacing w:after="0"/>
              <w:rPr>
                <w:sz w:val="15"/>
                <w:szCs w:val="15"/>
                <w:color w:val="auto"/>
              </w:rPr>
            </w:pP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480</w:t>
            </w:r>
          </w:p>
        </w:tc>
        <w:tc>
          <w:tcPr>
            <w:tcW w:w="28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517</w:t>
            </w:r>
          </w:p>
        </w:tc>
      </w:tr>
      <w:tr>
        <w:trPr>
          <w:trHeight w:val="176"/>
        </w:trPr>
        <w:tc>
          <w:tcPr>
            <w:tcW w:w="3980" w:type="dxa"/>
            <w:vAlign w:val="bottom"/>
          </w:tcPr>
          <w:p>
            <w:pPr>
              <w:spacing w:after="0"/>
              <w:rPr>
                <w:sz w:val="20"/>
                <w:szCs w:val="20"/>
                <w:color w:val="auto"/>
              </w:rPr>
            </w:pPr>
            <w:r>
              <w:rPr>
                <w:rFonts w:ascii="Courier New" w:cs="Courier New" w:eastAsia="Courier New" w:hAnsi="Courier New"/>
                <w:sz w:val="15"/>
                <w:szCs w:val="15"/>
                <w:color w:val="auto"/>
              </w:rPr>
              <w:t>Education &amp; Productivity Solutions</w:t>
            </w: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3980" w:type="dxa"/>
            <w:vAlign w:val="bottom"/>
          </w:tcPr>
          <w:p>
            <w:pPr>
              <w:ind w:left="180"/>
              <w:spacing w:after="0"/>
              <w:rPr>
                <w:sz w:val="20"/>
                <w:szCs w:val="20"/>
                <w:color w:val="auto"/>
              </w:rPr>
            </w:pPr>
            <w:r>
              <w:rPr>
                <w:rFonts w:ascii="Courier New" w:cs="Courier New" w:eastAsia="Courier New" w:hAnsi="Courier New"/>
                <w:sz w:val="15"/>
                <w:szCs w:val="15"/>
                <w:color w:val="auto"/>
              </w:rPr>
              <w:t>Trade. . . . . . . . . . . . . . . . . .</w:t>
            </w:r>
          </w:p>
        </w:tc>
        <w:tc>
          <w:tcPr>
            <w:tcW w:w="420" w:type="dxa"/>
            <w:vAlign w:val="bottom"/>
          </w:tcPr>
          <w:p>
            <w:pPr>
              <w:spacing w:after="0"/>
              <w:rPr>
                <w:sz w:val="15"/>
                <w:szCs w:val="15"/>
                <w:color w:val="auto"/>
              </w:rPr>
            </w:pPr>
          </w:p>
        </w:tc>
        <w:tc>
          <w:tcPr>
            <w:tcW w:w="7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150</w:t>
            </w:r>
          </w:p>
        </w:tc>
        <w:tc>
          <w:tcPr>
            <w:tcW w:w="240" w:type="dxa"/>
            <w:vAlign w:val="bottom"/>
          </w:tcPr>
          <w:p>
            <w:pPr>
              <w:spacing w:after="0"/>
              <w:rPr>
                <w:sz w:val="15"/>
                <w:szCs w:val="15"/>
                <w:color w:val="auto"/>
              </w:rPr>
            </w:pPr>
          </w:p>
        </w:tc>
        <w:tc>
          <w:tcPr>
            <w:tcW w:w="10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129</w:t>
            </w:r>
          </w:p>
        </w:tc>
        <w:tc>
          <w:tcPr>
            <w:tcW w:w="560" w:type="dxa"/>
            <w:vAlign w:val="bottom"/>
          </w:tcPr>
          <w:p>
            <w:pPr>
              <w:spacing w:after="0"/>
              <w:rPr>
                <w:sz w:val="15"/>
                <w:szCs w:val="15"/>
                <w:color w:val="auto"/>
              </w:rPr>
            </w:pP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235</w:t>
            </w:r>
          </w:p>
        </w:tc>
        <w:tc>
          <w:tcPr>
            <w:tcW w:w="28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210</w:t>
            </w:r>
          </w:p>
        </w:tc>
      </w:tr>
      <w:tr>
        <w:trPr>
          <w:trHeight w:val="176"/>
        </w:trPr>
        <w:tc>
          <w:tcPr>
            <w:tcW w:w="3980" w:type="dxa"/>
            <w:vAlign w:val="bottom"/>
          </w:tcPr>
          <w:p>
            <w:pPr>
              <w:spacing w:after="0"/>
              <w:rPr>
                <w:sz w:val="20"/>
                <w:szCs w:val="20"/>
                <w:color w:val="auto"/>
              </w:rPr>
            </w:pPr>
            <w:r>
              <w:rPr>
                <w:rFonts w:ascii="Courier New" w:cs="Courier New" w:eastAsia="Courier New" w:hAnsi="Courier New"/>
                <w:sz w:val="15"/>
                <w:szCs w:val="15"/>
                <w:color w:val="auto"/>
              </w:rPr>
              <w:t>Corporate activities . . . . . . . . . . .</w:t>
            </w:r>
          </w:p>
        </w:tc>
        <w:tc>
          <w:tcPr>
            <w:tcW w:w="42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w:t>
            </w:r>
          </w:p>
        </w:tc>
        <w:tc>
          <w:tcPr>
            <w:tcW w:w="240" w:type="dxa"/>
            <w:vAlign w:val="bottom"/>
          </w:tcPr>
          <w:p>
            <w:pPr>
              <w:spacing w:after="0"/>
              <w:rPr>
                <w:sz w:val="15"/>
                <w:szCs w:val="15"/>
                <w:color w:val="auto"/>
              </w:rPr>
            </w:pPr>
          </w:p>
        </w:tc>
        <w:tc>
          <w:tcPr>
            <w:tcW w:w="10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w:t>
            </w:r>
          </w:p>
        </w:tc>
        <w:tc>
          <w:tcPr>
            <w:tcW w:w="56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w:t>
            </w:r>
          </w:p>
        </w:tc>
        <w:tc>
          <w:tcPr>
            <w:tcW w:w="280" w:type="dxa"/>
            <w:vAlign w:val="bottom"/>
          </w:tcPr>
          <w:p>
            <w:pPr>
              <w:spacing w:after="0"/>
              <w:rPr>
                <w:sz w:val="15"/>
                <w:szCs w:val="15"/>
                <w:color w:val="auto"/>
              </w:rPr>
            </w:pP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w:t>
            </w:r>
          </w:p>
        </w:tc>
      </w:tr>
      <w:tr>
        <w:trPr>
          <w:trHeight w:val="176"/>
        </w:trPr>
        <w:tc>
          <w:tcPr>
            <w:tcW w:w="3980" w:type="dxa"/>
            <w:vAlign w:val="bottom"/>
          </w:tcPr>
          <w:p>
            <w:pPr>
              <w:spacing w:after="0"/>
              <w:rPr>
                <w:sz w:val="20"/>
                <w:szCs w:val="20"/>
                <w:color w:val="auto"/>
              </w:rPr>
            </w:pPr>
            <w:r>
              <w:rPr>
                <w:rFonts w:ascii="Courier New" w:cs="Courier New" w:eastAsia="Courier New" w:hAnsi="Courier New"/>
                <w:sz w:val="15"/>
                <w:szCs w:val="15"/>
                <w:color w:val="auto"/>
              </w:rPr>
              <w:t>Divested activities. . . . . . . . . . . .</w:t>
            </w:r>
          </w:p>
        </w:tc>
        <w:tc>
          <w:tcPr>
            <w:tcW w:w="420" w:type="dxa"/>
            <w:vAlign w:val="bottom"/>
          </w:tcPr>
          <w:p>
            <w:pPr>
              <w:spacing w:after="0"/>
              <w:rPr>
                <w:sz w:val="15"/>
                <w:szCs w:val="15"/>
                <w:color w:val="auto"/>
              </w:rPr>
            </w:pPr>
          </w:p>
        </w:tc>
        <w:tc>
          <w:tcPr>
            <w:tcW w:w="7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0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w:t>
            </w:r>
          </w:p>
        </w:tc>
      </w:tr>
      <w:tr>
        <w:trPr>
          <w:trHeight w:val="176"/>
        </w:trPr>
        <w:tc>
          <w:tcPr>
            <w:tcW w:w="3980" w:type="dxa"/>
            <w:vAlign w:val="bottom"/>
          </w:tcPr>
          <w:p>
            <w:pPr>
              <w:spacing w:after="0"/>
              <w:rPr>
                <w:sz w:val="15"/>
                <w:szCs w:val="15"/>
                <w:color w:val="auto"/>
              </w:rPr>
            </w:pPr>
          </w:p>
        </w:tc>
        <w:tc>
          <w:tcPr>
            <w:tcW w:w="11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980" w:type="dxa"/>
            <w:vAlign w:val="bottom"/>
          </w:tcPr>
          <w:p>
            <w:pPr>
              <w:spacing w:after="0"/>
              <w:rPr>
                <w:sz w:val="20"/>
                <w:szCs w:val="20"/>
                <w:color w:val="auto"/>
              </w:rPr>
            </w:pPr>
            <w:r>
              <w:rPr>
                <w:rFonts w:ascii="Courier New" w:cs="Courier New" w:eastAsia="Courier New" w:hAnsi="Courier New"/>
                <w:sz w:val="15"/>
                <w:szCs w:val="15"/>
                <w:color w:val="auto"/>
              </w:rPr>
              <w:t>Total net revenues . . . . . . . . . . . .</w:t>
            </w:r>
          </w:p>
        </w:tc>
        <w:tc>
          <w:tcPr>
            <w:tcW w:w="11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$ 2,162</w:t>
            </w:r>
          </w:p>
        </w:tc>
        <w:tc>
          <w:tcPr>
            <w:tcW w:w="12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$ 2,037</w:t>
            </w:r>
          </w:p>
        </w:tc>
        <w:tc>
          <w:tcPr>
            <w:tcW w:w="12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$ 3,989</w:t>
            </w: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$ 4,565</w:t>
            </w:r>
          </w:p>
        </w:tc>
      </w:tr>
      <w:tr>
        <w:trPr>
          <w:trHeight w:val="176"/>
        </w:trPr>
        <w:tc>
          <w:tcPr>
            <w:tcW w:w="3980" w:type="dxa"/>
            <w:vAlign w:val="bottom"/>
          </w:tcPr>
          <w:p>
            <w:pPr>
              <w:spacing w:after="0"/>
              <w:rPr>
                <w:sz w:val="15"/>
                <w:szCs w:val="15"/>
                <w:color w:val="auto"/>
              </w:rPr>
            </w:pPr>
          </w:p>
        </w:tc>
        <w:tc>
          <w:tcPr>
            <w:tcW w:w="11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9"/>
        </w:trPr>
        <w:tc>
          <w:tcPr>
            <w:tcW w:w="3980" w:type="dxa"/>
            <w:vAlign w:val="bottom"/>
          </w:tcPr>
          <w:p>
            <w:pPr>
              <w:spacing w:after="0"/>
              <w:rPr>
                <w:sz w:val="20"/>
                <w:szCs w:val="20"/>
                <w:color w:val="auto"/>
              </w:rPr>
            </w:pPr>
            <w:r>
              <w:rPr>
                <w:rFonts w:ascii="Courier New" w:cs="Courier New" w:eastAsia="Courier New" w:hAnsi="Courier New"/>
                <w:sz w:val="15"/>
                <w:szCs w:val="15"/>
                <w:color w:val="auto"/>
              </w:rPr>
              <w:t>Business Segment Profit (Loss)</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6"/>
        </w:trPr>
        <w:tc>
          <w:tcPr>
            <w:tcW w:w="3980" w:type="dxa"/>
            <w:vAlign w:val="bottom"/>
          </w:tcPr>
          <w:p>
            <w:pPr>
              <w:spacing w:after="0"/>
              <w:rPr>
                <w:sz w:val="20"/>
                <w:szCs w:val="20"/>
                <w:color w:val="auto"/>
              </w:rPr>
            </w:pPr>
            <w:r>
              <w:rPr>
                <w:rFonts w:ascii="Courier New" w:cs="Courier New" w:eastAsia="Courier New" w:hAnsi="Courier New"/>
                <w:sz w:val="15"/>
                <w:szCs w:val="15"/>
                <w:color w:val="auto"/>
              </w:rPr>
              <w:t>(in millions of dollars)</w:t>
            </w: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39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52"/>
        </w:trPr>
        <w:tc>
          <w:tcPr>
            <w:tcW w:w="3980" w:type="dxa"/>
            <w:vAlign w:val="bottom"/>
          </w:tcPr>
          <w:p>
            <w:pPr>
              <w:spacing w:after="0"/>
              <w:rPr>
                <w:sz w:val="20"/>
                <w:szCs w:val="20"/>
                <w:color w:val="auto"/>
              </w:rPr>
            </w:pPr>
            <w:r>
              <w:rPr>
                <w:rFonts w:ascii="Courier New" w:cs="Courier New" w:eastAsia="Courier New" w:hAnsi="Courier New"/>
                <w:sz w:val="15"/>
                <w:szCs w:val="15"/>
                <w:color w:val="auto"/>
              </w:rPr>
              <w:t>Semiconductor. . . . . . . . . . . . . . .</w:t>
            </w:r>
          </w:p>
        </w:tc>
        <w:tc>
          <w:tcPr>
            <w:tcW w:w="4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132</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(37)</w:t>
            </w:r>
          </w:p>
        </w:tc>
        <w:tc>
          <w:tcPr>
            <w:tcW w:w="56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105</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267</w:t>
            </w:r>
          </w:p>
        </w:tc>
      </w:tr>
      <w:tr>
        <w:trPr>
          <w:trHeight w:val="176"/>
        </w:trPr>
        <w:tc>
          <w:tcPr>
            <w:tcW w:w="3980" w:type="dxa"/>
            <w:vAlign w:val="bottom"/>
          </w:tcPr>
          <w:p>
            <w:pPr>
              <w:spacing w:after="0"/>
              <w:rPr>
                <w:sz w:val="20"/>
                <w:szCs w:val="20"/>
                <w:color w:val="auto"/>
              </w:rPr>
            </w:pPr>
            <w:r>
              <w:rPr>
                <w:rFonts w:ascii="Courier New" w:cs="Courier New" w:eastAsia="Courier New" w:hAnsi="Courier New"/>
                <w:sz w:val="15"/>
                <w:szCs w:val="15"/>
                <w:color w:val="auto"/>
              </w:rPr>
              <w:t>Sensors &amp; Controls . . . . . . . . . . . .</w:t>
            </w:r>
          </w:p>
        </w:tc>
        <w:tc>
          <w:tcPr>
            <w:tcW w:w="420" w:type="dxa"/>
            <w:vAlign w:val="bottom"/>
          </w:tcPr>
          <w:p>
            <w:pPr>
              <w:spacing w:after="0"/>
              <w:rPr>
                <w:sz w:val="15"/>
                <w:szCs w:val="15"/>
                <w:color w:val="auto"/>
              </w:rPr>
            </w:pPr>
          </w:p>
        </w:tc>
        <w:tc>
          <w:tcPr>
            <w:tcW w:w="7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56</w:t>
            </w:r>
          </w:p>
        </w:tc>
        <w:tc>
          <w:tcPr>
            <w:tcW w:w="240" w:type="dxa"/>
            <w:vAlign w:val="bottom"/>
          </w:tcPr>
          <w:p>
            <w:pPr>
              <w:spacing w:after="0"/>
              <w:rPr>
                <w:sz w:val="15"/>
                <w:szCs w:val="15"/>
                <w:color w:val="auto"/>
              </w:rPr>
            </w:pPr>
          </w:p>
        </w:tc>
        <w:tc>
          <w:tcPr>
            <w:tcW w:w="10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52</w:t>
            </w:r>
          </w:p>
        </w:tc>
        <w:tc>
          <w:tcPr>
            <w:tcW w:w="560" w:type="dxa"/>
            <w:vAlign w:val="bottom"/>
          </w:tcPr>
          <w:p>
            <w:pPr>
              <w:spacing w:after="0"/>
              <w:rPr>
                <w:sz w:val="15"/>
                <w:szCs w:val="15"/>
                <w:color w:val="auto"/>
              </w:rPr>
            </w:pP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104</w:t>
            </w:r>
          </w:p>
        </w:tc>
        <w:tc>
          <w:tcPr>
            <w:tcW w:w="28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103</w:t>
            </w:r>
          </w:p>
        </w:tc>
      </w:tr>
      <w:tr>
        <w:trPr>
          <w:trHeight w:val="176"/>
        </w:trPr>
        <w:tc>
          <w:tcPr>
            <w:tcW w:w="3980" w:type="dxa"/>
            <w:vAlign w:val="bottom"/>
          </w:tcPr>
          <w:p>
            <w:pPr>
              <w:spacing w:after="0"/>
              <w:rPr>
                <w:sz w:val="20"/>
                <w:szCs w:val="20"/>
                <w:color w:val="auto"/>
              </w:rPr>
            </w:pPr>
            <w:r>
              <w:rPr>
                <w:rFonts w:ascii="Courier New" w:cs="Courier New" w:eastAsia="Courier New" w:hAnsi="Courier New"/>
                <w:sz w:val="15"/>
                <w:szCs w:val="15"/>
                <w:color w:val="auto"/>
              </w:rPr>
              <w:t>Educational &amp; Productivity Solutions . . .</w:t>
            </w:r>
          </w:p>
        </w:tc>
        <w:tc>
          <w:tcPr>
            <w:tcW w:w="420" w:type="dxa"/>
            <w:vAlign w:val="bottom"/>
          </w:tcPr>
          <w:p>
            <w:pPr>
              <w:spacing w:after="0"/>
              <w:rPr>
                <w:sz w:val="15"/>
                <w:szCs w:val="15"/>
                <w:color w:val="auto"/>
              </w:rPr>
            </w:pPr>
          </w:p>
        </w:tc>
        <w:tc>
          <w:tcPr>
            <w:tcW w:w="7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49</w:t>
            </w:r>
          </w:p>
        </w:tc>
        <w:tc>
          <w:tcPr>
            <w:tcW w:w="240" w:type="dxa"/>
            <w:vAlign w:val="bottom"/>
          </w:tcPr>
          <w:p>
            <w:pPr>
              <w:spacing w:after="0"/>
              <w:rPr>
                <w:sz w:val="15"/>
                <w:szCs w:val="15"/>
                <w:color w:val="auto"/>
              </w:rPr>
            </w:pPr>
          </w:p>
        </w:tc>
        <w:tc>
          <w:tcPr>
            <w:tcW w:w="10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38</w:t>
            </w:r>
          </w:p>
        </w:tc>
        <w:tc>
          <w:tcPr>
            <w:tcW w:w="560" w:type="dxa"/>
            <w:vAlign w:val="bottom"/>
          </w:tcPr>
          <w:p>
            <w:pPr>
              <w:spacing w:after="0"/>
              <w:rPr>
                <w:sz w:val="15"/>
                <w:szCs w:val="15"/>
                <w:color w:val="auto"/>
              </w:rPr>
            </w:pP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68</w:t>
            </w:r>
          </w:p>
        </w:tc>
        <w:tc>
          <w:tcPr>
            <w:tcW w:w="28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w:t>
            </w:r>
          </w:p>
        </w:tc>
      </w:tr>
      <w:tr>
        <w:trPr>
          <w:trHeight w:val="176"/>
        </w:trPr>
        <w:tc>
          <w:tcPr>
            <w:tcW w:w="3980" w:type="dxa"/>
            <w:vAlign w:val="bottom"/>
          </w:tcPr>
          <w:p>
            <w:pPr>
              <w:spacing w:after="0"/>
              <w:rPr>
                <w:sz w:val="20"/>
                <w:szCs w:val="20"/>
                <w:color w:val="auto"/>
              </w:rPr>
            </w:pPr>
            <w:r>
              <w:rPr>
                <w:rFonts w:ascii="Courier New" w:cs="Courier New" w:eastAsia="Courier New" w:hAnsi="Courier New"/>
                <w:sz w:val="15"/>
                <w:szCs w:val="15"/>
                <w:color w:val="auto"/>
              </w:rPr>
              <w:t>Corporate activities . . . . . . . . . . .</w:t>
            </w:r>
          </w:p>
        </w:tc>
        <w:tc>
          <w:tcPr>
            <w:tcW w:w="42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w:t>
            </w:r>
          </w:p>
        </w:tc>
        <w:tc>
          <w:tcPr>
            <w:tcW w:w="240" w:type="dxa"/>
            <w:vAlign w:val="bottom"/>
          </w:tcPr>
          <w:p>
            <w:pPr>
              <w:spacing w:after="0"/>
              <w:rPr>
                <w:sz w:val="15"/>
                <w:szCs w:val="15"/>
                <w:color w:val="auto"/>
              </w:rPr>
            </w:pPr>
          </w:p>
        </w:tc>
        <w:tc>
          <w:tcPr>
            <w:tcW w:w="10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(42)</w:t>
            </w:r>
          </w:p>
        </w:tc>
        <w:tc>
          <w:tcPr>
            <w:tcW w:w="56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(89)</w:t>
            </w:r>
          </w:p>
        </w:tc>
        <w:tc>
          <w:tcPr>
            <w:tcW w:w="280" w:type="dxa"/>
            <w:vAlign w:val="bottom"/>
          </w:tcPr>
          <w:p>
            <w:pPr>
              <w:spacing w:after="0"/>
              <w:rPr>
                <w:sz w:val="15"/>
                <w:szCs w:val="15"/>
                <w:color w:val="auto"/>
              </w:rPr>
            </w:pP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(79)</w:t>
            </w:r>
          </w:p>
        </w:tc>
      </w:tr>
      <w:tr>
        <w:trPr>
          <w:trHeight w:val="176"/>
        </w:trPr>
        <w:tc>
          <w:tcPr>
            <w:tcW w:w="3980" w:type="dxa"/>
            <w:vAlign w:val="bottom"/>
          </w:tcPr>
          <w:p>
            <w:pPr>
              <w:spacing w:after="0"/>
              <w:rPr>
                <w:sz w:val="20"/>
                <w:szCs w:val="20"/>
                <w:color w:val="auto"/>
              </w:rPr>
            </w:pPr>
            <w:r>
              <w:rPr>
                <w:rFonts w:ascii="Courier New" w:cs="Courier New" w:eastAsia="Courier New" w:hAnsi="Courier New"/>
                <w:sz w:val="15"/>
                <w:szCs w:val="15"/>
                <w:color w:val="auto"/>
              </w:rPr>
              <w:t>Special charges/gains, and acquisition-</w:t>
            </w: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3980" w:type="dxa"/>
            <w:vAlign w:val="bottom"/>
          </w:tcPr>
          <w:p>
            <w:pPr>
              <w:ind w:left="180"/>
              <w:spacing w:after="0"/>
              <w:rPr>
                <w:sz w:val="20"/>
                <w:szCs w:val="20"/>
                <w:color w:val="auto"/>
              </w:rPr>
            </w:pPr>
            <w:r>
              <w:rPr>
                <w:rFonts w:ascii="Courier New" w:cs="Courier New" w:eastAsia="Courier New" w:hAnsi="Courier New"/>
                <w:sz w:val="15"/>
                <w:szCs w:val="15"/>
                <w:color w:val="auto"/>
              </w:rPr>
              <w:t>related amortization, net of</w:t>
            </w: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3980" w:type="dxa"/>
            <w:vAlign w:val="bottom"/>
          </w:tcPr>
          <w:p>
            <w:pPr>
              <w:ind w:left="180"/>
              <w:spacing w:after="0"/>
              <w:rPr>
                <w:sz w:val="20"/>
                <w:szCs w:val="20"/>
                <w:color w:val="auto"/>
              </w:rPr>
            </w:pPr>
            <w:r>
              <w:rPr>
                <w:rFonts w:ascii="Courier New" w:cs="Courier New" w:eastAsia="Courier New" w:hAnsi="Courier New"/>
                <w:sz w:val="15"/>
                <w:szCs w:val="15"/>
                <w:color w:val="auto"/>
              </w:rPr>
              <w:t>applicable profit sharing. . . . . . . .</w:t>
            </w:r>
          </w:p>
        </w:tc>
        <w:tc>
          <w:tcPr>
            <w:tcW w:w="42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w:t>
            </w:r>
          </w:p>
        </w:tc>
        <w:tc>
          <w:tcPr>
            <w:tcW w:w="240" w:type="dxa"/>
            <w:vAlign w:val="bottom"/>
          </w:tcPr>
          <w:p>
            <w:pPr>
              <w:spacing w:after="0"/>
              <w:rPr>
                <w:sz w:val="15"/>
                <w:szCs w:val="15"/>
                <w:color w:val="auto"/>
              </w:rPr>
            </w:pPr>
          </w:p>
        </w:tc>
        <w:tc>
          <w:tcPr>
            <w:tcW w:w="10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(309)</w:t>
            </w:r>
          </w:p>
        </w:tc>
        <w:tc>
          <w:tcPr>
            <w:tcW w:w="56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w:t>
            </w:r>
          </w:p>
        </w:tc>
        <w:tc>
          <w:tcPr>
            <w:tcW w:w="280" w:type="dxa"/>
            <w:vAlign w:val="bottom"/>
          </w:tcPr>
          <w:p>
            <w:pPr>
              <w:spacing w:after="0"/>
              <w:rPr>
                <w:sz w:val="15"/>
                <w:szCs w:val="15"/>
                <w:color w:val="auto"/>
              </w:rPr>
            </w:pP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(418)</w:t>
            </w:r>
          </w:p>
        </w:tc>
      </w:tr>
      <w:tr>
        <w:trPr>
          <w:trHeight w:val="176"/>
        </w:trPr>
        <w:tc>
          <w:tcPr>
            <w:tcW w:w="3980" w:type="dxa"/>
            <w:vAlign w:val="bottom"/>
          </w:tcPr>
          <w:p>
            <w:pPr>
              <w:spacing w:after="0"/>
              <w:rPr>
                <w:sz w:val="20"/>
                <w:szCs w:val="20"/>
                <w:color w:val="auto"/>
              </w:rPr>
            </w:pPr>
            <w:r>
              <w:rPr>
                <w:rFonts w:ascii="Courier New" w:cs="Courier New" w:eastAsia="Courier New" w:hAnsi="Courier New"/>
                <w:sz w:val="15"/>
                <w:szCs w:val="15"/>
                <w:color w:val="auto"/>
              </w:rPr>
              <w:t>Interest on loans/other income (expense)</w:t>
            </w: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3980" w:type="dxa"/>
            <w:vAlign w:val="bottom"/>
          </w:tcPr>
          <w:p>
            <w:pPr>
              <w:ind w:left="180"/>
              <w:spacing w:after="0"/>
              <w:rPr>
                <w:sz w:val="20"/>
                <w:szCs w:val="20"/>
                <w:color w:val="auto"/>
              </w:rPr>
            </w:pPr>
            <w:r>
              <w:rPr>
                <w:rFonts w:ascii="Courier New" w:cs="Courier New" w:eastAsia="Courier New" w:hAnsi="Courier New"/>
                <w:sz w:val="15"/>
                <w:szCs w:val="15"/>
                <w:color w:val="auto"/>
              </w:rPr>
              <w:t>net, excluding a second-quarter 2002 gain</w:t>
            </w: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3980" w:type="dxa"/>
            <w:vAlign w:val="bottom"/>
          </w:tcPr>
          <w:p>
            <w:pPr>
              <w:ind w:left="180"/>
              <w:spacing w:after="0"/>
              <w:rPr>
                <w:sz w:val="20"/>
                <w:szCs w:val="20"/>
                <w:color w:val="auto"/>
              </w:rPr>
            </w:pPr>
            <w:r>
              <w:rPr>
                <w:rFonts w:ascii="Courier New" w:cs="Courier New" w:eastAsia="Courier New" w:hAnsi="Courier New"/>
                <w:sz w:val="15"/>
                <w:szCs w:val="15"/>
                <w:color w:val="auto"/>
              </w:rPr>
              <w:t>of $20, a first-quarter 2002 charge of $1</w:t>
            </w: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3980" w:type="dxa"/>
            <w:vAlign w:val="bottom"/>
          </w:tcPr>
          <w:p>
            <w:pPr>
              <w:ind w:left="180"/>
              <w:spacing w:after="0"/>
              <w:rPr>
                <w:sz w:val="20"/>
                <w:szCs w:val="20"/>
                <w:color w:val="auto"/>
              </w:rPr>
            </w:pPr>
            <w:r>
              <w:rPr>
                <w:rFonts w:ascii="Courier New" w:cs="Courier New" w:eastAsia="Courier New" w:hAnsi="Courier New"/>
                <w:sz w:val="15"/>
                <w:szCs w:val="15"/>
                <w:color w:val="auto"/>
              </w:rPr>
              <w:t>and a first-quarter 2001 gain of $3,</w:t>
            </w: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3980" w:type="dxa"/>
            <w:vAlign w:val="bottom"/>
          </w:tcPr>
          <w:p>
            <w:pPr>
              <w:ind w:left="180"/>
              <w:spacing w:after="0"/>
              <w:rPr>
                <w:sz w:val="20"/>
                <w:szCs w:val="20"/>
                <w:color w:val="auto"/>
              </w:rPr>
            </w:pPr>
            <w:r>
              <w:rPr>
                <w:rFonts w:ascii="Courier New" w:cs="Courier New" w:eastAsia="Courier New" w:hAnsi="Courier New"/>
                <w:sz w:val="15"/>
                <w:szCs w:val="15"/>
                <w:color w:val="auto"/>
              </w:rPr>
              <w:t>included above in Special charges/gains</w:t>
            </w: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3980" w:type="dxa"/>
            <w:vAlign w:val="bottom"/>
          </w:tcPr>
          <w:p>
            <w:pPr>
              <w:ind w:left="180"/>
              <w:spacing w:after="0"/>
              <w:rPr>
                <w:sz w:val="20"/>
                <w:szCs w:val="20"/>
                <w:color w:val="auto"/>
              </w:rPr>
            </w:pPr>
            <w:r>
              <w:rPr>
                <w:rFonts w:ascii="Courier New" w:cs="Courier New" w:eastAsia="Courier New" w:hAnsi="Courier New"/>
                <w:sz w:val="15"/>
                <w:szCs w:val="15"/>
                <w:color w:val="auto"/>
              </w:rPr>
              <w:t>and acquisition-related amortization . .</w:t>
            </w:r>
          </w:p>
        </w:tc>
        <w:tc>
          <w:tcPr>
            <w:tcW w:w="42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w:t>
            </w:r>
          </w:p>
        </w:tc>
        <w:tc>
          <w:tcPr>
            <w:tcW w:w="240" w:type="dxa"/>
            <w:vAlign w:val="bottom"/>
          </w:tcPr>
          <w:p>
            <w:pPr>
              <w:spacing w:after="0"/>
              <w:rPr>
                <w:sz w:val="15"/>
                <w:szCs w:val="15"/>
                <w:color w:val="auto"/>
              </w:rPr>
            </w:pPr>
          </w:p>
        </w:tc>
        <w:tc>
          <w:tcPr>
            <w:tcW w:w="10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42</w:t>
            </w:r>
          </w:p>
        </w:tc>
        <w:tc>
          <w:tcPr>
            <w:tcW w:w="56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(61)</w:t>
            </w:r>
          </w:p>
        </w:tc>
        <w:tc>
          <w:tcPr>
            <w:tcW w:w="28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130</w:t>
            </w:r>
          </w:p>
        </w:tc>
      </w:tr>
      <w:tr>
        <w:trPr>
          <w:trHeight w:val="176"/>
        </w:trPr>
        <w:tc>
          <w:tcPr>
            <w:tcW w:w="3980" w:type="dxa"/>
            <w:vAlign w:val="bottom"/>
          </w:tcPr>
          <w:p>
            <w:pPr>
              <w:spacing w:after="0"/>
              <w:rPr>
                <w:sz w:val="20"/>
                <w:szCs w:val="20"/>
                <w:color w:val="auto"/>
              </w:rPr>
            </w:pPr>
            <w:r>
              <w:rPr>
                <w:rFonts w:ascii="Courier New" w:cs="Courier New" w:eastAsia="Courier New" w:hAnsi="Courier New"/>
                <w:sz w:val="15"/>
                <w:szCs w:val="15"/>
                <w:color w:val="auto"/>
              </w:rPr>
              <w:t>Divested activities. . . . . . . . . . . .</w:t>
            </w:r>
          </w:p>
        </w:tc>
        <w:tc>
          <w:tcPr>
            <w:tcW w:w="420" w:type="dxa"/>
            <w:vAlign w:val="bottom"/>
          </w:tcPr>
          <w:p>
            <w:pPr>
              <w:spacing w:after="0"/>
              <w:rPr>
                <w:sz w:val="15"/>
                <w:szCs w:val="15"/>
                <w:color w:val="auto"/>
              </w:rPr>
            </w:pPr>
          </w:p>
        </w:tc>
        <w:tc>
          <w:tcPr>
            <w:tcW w:w="7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0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w:t>
            </w:r>
          </w:p>
        </w:tc>
      </w:tr>
      <w:tr>
        <w:trPr>
          <w:trHeight w:val="176"/>
        </w:trPr>
        <w:tc>
          <w:tcPr>
            <w:tcW w:w="3980" w:type="dxa"/>
            <w:vAlign w:val="bottom"/>
          </w:tcPr>
          <w:p>
            <w:pPr>
              <w:spacing w:after="0"/>
              <w:rPr>
                <w:sz w:val="15"/>
                <w:szCs w:val="15"/>
                <w:color w:val="auto"/>
              </w:rPr>
            </w:pPr>
          </w:p>
        </w:tc>
        <w:tc>
          <w:tcPr>
            <w:tcW w:w="11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98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 . . . .</w:t>
            </w:r>
          </w:p>
        </w:tc>
        <w:tc>
          <w:tcPr>
            <w:tcW w:w="4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117</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(256)</w:t>
            </w:r>
          </w:p>
        </w:tc>
        <w:tc>
          <w:tcPr>
            <w:tcW w:w="56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69</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64</w:t>
            </w:r>
          </w:p>
        </w:tc>
      </w:tr>
      <w:tr>
        <w:trPr>
          <w:trHeight w:val="176"/>
        </w:trPr>
        <w:tc>
          <w:tcPr>
            <w:tcW w:w="3980" w:type="dxa"/>
            <w:vAlign w:val="bottom"/>
          </w:tcPr>
          <w:p>
            <w:pPr>
              <w:spacing w:after="0"/>
              <w:rPr>
                <w:sz w:val="15"/>
                <w:szCs w:val="15"/>
                <w:color w:val="auto"/>
              </w:rPr>
            </w:pPr>
          </w:p>
        </w:tc>
        <w:tc>
          <w:tcPr>
            <w:tcW w:w="11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9"/>
        </w:trPr>
        <w:tc>
          <w:tcPr>
            <w:tcW w:w="3980" w:type="dxa"/>
            <w:vAlign w:val="bottom"/>
          </w:tcPr>
          <w:p>
            <w:pPr>
              <w:ind w:left="3660"/>
              <w:spacing w:after="0"/>
              <w:rPr>
                <w:sz w:val="20"/>
                <w:szCs w:val="20"/>
                <w:color w:val="auto"/>
              </w:rPr>
            </w:pPr>
            <w:r>
              <w:rPr>
                <w:rFonts w:ascii="Courier New" w:cs="Courier New" w:eastAsia="Courier New" w:hAnsi="Courier New"/>
                <w:sz w:val="15"/>
                <w:szCs w:val="15"/>
                <w:color w:val="auto"/>
              </w:rPr>
              <w:t>6</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225"/>
          </w:cols>
          <w:pgMar w:left="234" w:top="647" w:right="1440" w:bottom="1440" w:gutter="0" w:footer="0" w:header="0"/>
        </w:sectPr>
      </w:pPr>
    </w:p>
    <w:bookmarkStart w:id="6" w:name="page7"/>
    <w:bookmarkEnd w:id="6"/>
    <w:p>
      <w:pPr>
        <w:ind w:left="6" w:right="3179" w:hanging="6"/>
        <w:spacing w:after="0" w:line="249" w:lineRule="auto"/>
        <w:tabs>
          <w:tab w:leader="none" w:pos="464"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Year-to-date acquisition-related purchased in-process research and development (R&amp;D) charges were $1 million in 2002 and zero in 2001. These charges are for R&amp;D from business purchase acquisitions. Values for acquired in-process R&amp;D (purchased R&amp;D) were determined at the acquisition date based upon the appraised value of the related developmental projects. Purchased R&amp;D projects were assessed, analyzed and valued within the context and framework articulated by the Securities and Exchange Commission herein described as the Exclusion Approach.</w:t>
      </w:r>
    </w:p>
    <w:p>
      <w:pPr>
        <w:spacing w:after="0" w:line="175"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Major assumptions, detailed in the following table, used in determining the value of significant purchased R&amp;D included the discount rate, the estimated beginning date of projected operating cash flows, and the remaining cost and time, in engineer-months, to complete the R&amp;D projects. The term "engineer month" refers to the average amount of research work expected to be performed by an engineer in a month.</w:t>
      </w:r>
    </w:p>
    <w:p>
      <w:pPr>
        <w:spacing w:after="0" w:line="176"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5"/>
          </w:cols>
          <w:pgMar w:left="234" w:top="64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Millions of Dollars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59" w:lineRule="exact"/>
        <w:rPr>
          <w:sz w:val="20"/>
          <w:szCs w:val="20"/>
          <w:color w:val="auto"/>
        </w:rPr>
      </w:pPr>
    </w:p>
    <w:p>
      <w:pPr>
        <w:ind w:left="8340"/>
        <w:spacing w:after="0"/>
        <w:rPr>
          <w:sz w:val="20"/>
          <w:szCs w:val="20"/>
          <w:color w:val="auto"/>
        </w:rPr>
      </w:pPr>
      <w:r>
        <w:rPr>
          <w:rFonts w:ascii="Courier New" w:cs="Courier New" w:eastAsia="Courier New" w:hAnsi="Courier New"/>
          <w:sz w:val="15"/>
          <w:szCs w:val="15"/>
          <w:color w:val="auto"/>
        </w:rPr>
        <w:t>Cost/time to</w:t>
      </w:r>
    </w:p>
    <w:p>
      <w:pPr>
        <w:spacing w:after="0" w:line="6" w:lineRule="exact"/>
        <w:rPr>
          <w:sz w:val="20"/>
          <w:szCs w:val="20"/>
          <w:color w:val="auto"/>
        </w:rPr>
      </w:pPr>
    </w:p>
    <w:p>
      <w:pPr>
        <w:ind w:left="8060"/>
        <w:spacing w:after="0"/>
        <w:rPr>
          <w:sz w:val="20"/>
          <w:szCs w:val="20"/>
          <w:color w:val="auto"/>
        </w:rPr>
      </w:pPr>
      <w:r>
        <w:rPr>
          <w:rFonts w:ascii="Courier New" w:cs="Courier New" w:eastAsia="Courier New" w:hAnsi="Courier New"/>
          <w:sz w:val="15"/>
          <w:szCs w:val="15"/>
          <w:color w:val="auto"/>
        </w:rPr>
        <w:t>complete R&amp;D projects</w:t>
      </w:r>
    </w:p>
    <w:p>
      <w:pPr>
        <w:spacing w:after="0" w:line="6" w:lineRule="exact"/>
        <w:rPr>
          <w:sz w:val="20"/>
          <w:szCs w:val="20"/>
          <w:color w:val="auto"/>
        </w:rPr>
      </w:pPr>
    </w:p>
    <w:p>
      <w:pPr>
        <w:ind w:left="80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1260"/>
          </w:cols>
          <w:pgMar w:left="240" w:top="117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900" w:val="left"/>
          <w:tab w:leader="none" w:pos="2080" w:val="left"/>
        </w:tabs>
        <w:rPr>
          <w:sz w:val="20"/>
          <w:szCs w:val="20"/>
          <w:color w:val="auto"/>
        </w:rPr>
      </w:pPr>
      <w:r>
        <w:rPr>
          <w:rFonts w:ascii="Courier New" w:cs="Courier New" w:eastAsia="Courier New" w:hAnsi="Courier New"/>
          <w:sz w:val="15"/>
          <w:szCs w:val="15"/>
          <w:color w:val="auto"/>
        </w:rPr>
        <w:t>Entity</w:t>
      </w:r>
      <w:r>
        <w:rPr>
          <w:sz w:val="20"/>
          <w:szCs w:val="20"/>
          <w:color w:val="auto"/>
        </w:rPr>
        <w:tab/>
      </w:r>
      <w:r>
        <w:rPr>
          <w:rFonts w:ascii="Courier New" w:cs="Courier New" w:eastAsia="Courier New" w:hAnsi="Courier New"/>
          <w:sz w:val="15"/>
          <w:szCs w:val="15"/>
          <w:color w:val="auto"/>
        </w:rPr>
        <w:t>Acquisition</w:t>
        <w:tab/>
        <w:t>Consid-</w:t>
      </w:r>
    </w:p>
    <w:p>
      <w:pPr>
        <w:spacing w:after="0" w:line="6" w:lineRule="exact"/>
        <w:rPr>
          <w:sz w:val="20"/>
          <w:szCs w:val="20"/>
          <w:color w:val="auto"/>
        </w:rPr>
      </w:pPr>
    </w:p>
    <w:p>
      <w:pPr>
        <w:spacing w:after="0"/>
        <w:tabs>
          <w:tab w:leader="none" w:pos="900" w:val="left"/>
          <w:tab w:leader="none" w:pos="2080" w:val="left"/>
          <w:tab w:leader="none" w:pos="2900" w:val="left"/>
        </w:tabs>
        <w:rPr>
          <w:sz w:val="20"/>
          <w:szCs w:val="20"/>
          <w:color w:val="auto"/>
        </w:rPr>
      </w:pPr>
      <w:r>
        <w:rPr>
          <w:rFonts w:ascii="Courier New" w:cs="Courier New" w:eastAsia="Courier New" w:hAnsi="Courier New"/>
          <w:sz w:val="15"/>
          <w:szCs w:val="15"/>
          <w:color w:val="auto"/>
        </w:rPr>
        <w:t>acquired</w:t>
        <w:tab/>
        <w:t>date</w:t>
      </w:r>
      <w:r>
        <w:rPr>
          <w:sz w:val="20"/>
          <w:szCs w:val="20"/>
          <w:color w:val="auto"/>
        </w:rPr>
        <w:tab/>
      </w:r>
      <w:r>
        <w:rPr>
          <w:rFonts w:ascii="Courier New" w:cs="Courier New" w:eastAsia="Courier New" w:hAnsi="Courier New"/>
          <w:sz w:val="15"/>
          <w:szCs w:val="15"/>
          <w:color w:val="auto"/>
        </w:rPr>
        <w:t>eration</w:t>
        <w:tab/>
        <w:t>Goodwill</w:t>
      </w:r>
    </w:p>
    <w:p>
      <w:pPr>
        <w:spacing w:after="0" w:line="6" w:lineRule="exact"/>
        <w:rPr>
          <w:sz w:val="20"/>
          <w:szCs w:val="20"/>
          <w:color w:val="auto"/>
        </w:rPr>
      </w:pPr>
    </w:p>
    <w:p>
      <w:pPr>
        <w:spacing w:after="0"/>
        <w:tabs>
          <w:tab w:leader="none" w:pos="1080" w:val="left"/>
          <w:tab w:leader="none" w:pos="2260" w:val="left"/>
          <w:tab w:leader="none" w:pos="3080" w:val="left"/>
        </w:tabs>
        <w:rPr>
          <w:sz w:val="20"/>
          <w:szCs w:val="20"/>
          <w:color w:val="auto"/>
        </w:rPr>
      </w:pPr>
      <w:r>
        <w:rPr>
          <w:rFonts w:ascii="Courier New" w:cs="Courier New" w:eastAsia="Courier New" w:hAnsi="Courier New"/>
          <w:sz w:val="15"/>
          <w:szCs w:val="15"/>
          <w:color w:val="auto"/>
        </w:rPr>
        <w:t>- --------</w:t>
        <w:tab/>
        <w:t>-----------</w:t>
        <w:tab/>
        <w:t>-------</w:t>
        <w:tab/>
        <w:t>--------</w:t>
      </w:r>
    </w:p>
    <w:p>
      <w:pPr>
        <w:spacing w:after="0" w:line="6" w:lineRule="exact"/>
        <w:rPr>
          <w:sz w:val="20"/>
          <w:szCs w:val="20"/>
          <w:color w:val="auto"/>
        </w:rPr>
      </w:pPr>
    </w:p>
    <w:p>
      <w:pPr>
        <w:spacing w:after="0"/>
        <w:tabs>
          <w:tab w:leader="none" w:pos="900" w:val="left"/>
          <w:tab w:leader="none" w:pos="2080" w:val="left"/>
          <w:tab w:leader="none" w:pos="3000" w:val="left"/>
        </w:tabs>
        <w:rPr>
          <w:sz w:val="20"/>
          <w:szCs w:val="20"/>
          <w:color w:val="auto"/>
        </w:rPr>
      </w:pPr>
      <w:r>
        <w:rPr>
          <w:rFonts w:ascii="Courier New" w:cs="Courier New" w:eastAsia="Courier New" w:hAnsi="Courier New"/>
          <w:sz w:val="15"/>
          <w:szCs w:val="15"/>
          <w:color w:val="auto"/>
        </w:rPr>
        <w:t>Alantro</w:t>
      </w:r>
      <w:r>
        <w:rPr>
          <w:sz w:val="20"/>
          <w:szCs w:val="20"/>
          <w:color w:val="auto"/>
        </w:rPr>
        <w:tab/>
      </w:r>
      <w:r>
        <w:rPr>
          <w:rFonts w:ascii="Courier New" w:cs="Courier New" w:eastAsia="Courier New" w:hAnsi="Courier New"/>
          <w:sz w:val="15"/>
          <w:szCs w:val="15"/>
          <w:color w:val="auto"/>
        </w:rPr>
        <w:t>Third</w:t>
      </w:r>
      <w:r>
        <w:rPr>
          <w:sz w:val="20"/>
          <w:szCs w:val="20"/>
          <w:color w:val="auto"/>
        </w:rPr>
        <w:tab/>
      </w:r>
      <w:r>
        <w:rPr>
          <w:rFonts w:ascii="Courier New" w:cs="Courier New" w:eastAsia="Courier New" w:hAnsi="Courier New"/>
          <w:sz w:val="15"/>
          <w:szCs w:val="15"/>
          <w:color w:val="auto"/>
        </w:rPr>
        <w:t>$277</w:t>
      </w:r>
      <w:r>
        <w:rPr>
          <w:sz w:val="20"/>
          <w:szCs w:val="20"/>
          <w:color w:val="auto"/>
        </w:rPr>
        <w:tab/>
      </w:r>
      <w:r>
        <w:rPr>
          <w:rFonts w:ascii="Courier New" w:cs="Courier New" w:eastAsia="Courier New" w:hAnsi="Courier New"/>
          <w:sz w:val="15"/>
          <w:szCs w:val="15"/>
          <w:color w:val="auto"/>
        </w:rPr>
        <w:t>$148</w:t>
      </w:r>
    </w:p>
    <w:p>
      <w:pPr>
        <w:spacing w:after="0" w:line="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5"/>
          <w:szCs w:val="15"/>
          <w:color w:val="auto"/>
        </w:rPr>
        <w:t>Commun-</w:t>
      </w:r>
      <w:r>
        <w:rPr>
          <w:sz w:val="20"/>
          <w:szCs w:val="20"/>
          <w:color w:val="auto"/>
        </w:rPr>
        <w:tab/>
      </w:r>
      <w:r>
        <w:rPr>
          <w:rFonts w:ascii="Courier New" w:cs="Courier New" w:eastAsia="Courier New" w:hAnsi="Courier New"/>
          <w:sz w:val="15"/>
          <w:szCs w:val="15"/>
          <w:color w:val="auto"/>
        </w:rPr>
        <w:t>quarter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ications, 2000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700" w:val="left"/>
          <w:tab w:leader="none" w:pos="1620" w:val="left"/>
        </w:tabs>
        <w:rPr>
          <w:sz w:val="20"/>
          <w:szCs w:val="20"/>
          <w:color w:val="auto"/>
        </w:rPr>
      </w:pPr>
      <w:r>
        <w:rPr>
          <w:rFonts w:ascii="Courier New" w:cs="Courier New" w:eastAsia="Courier New" w:hAnsi="Courier New"/>
          <w:sz w:val="15"/>
          <w:szCs w:val="15"/>
          <w:color w:val="auto"/>
        </w:rPr>
        <w:t>Other</w:t>
        <w:tab/>
        <w:t>Deferred</w:t>
        <w:tab/>
        <w:t>Purchased</w:t>
      </w:r>
    </w:p>
    <w:p>
      <w:pPr>
        <w:spacing w:after="0" w:line="6" w:lineRule="exact"/>
        <w:rPr>
          <w:sz w:val="20"/>
          <w:szCs w:val="20"/>
          <w:color w:val="auto"/>
        </w:rPr>
      </w:pPr>
    </w:p>
    <w:p>
      <w:pPr>
        <w:spacing w:after="0"/>
        <w:tabs>
          <w:tab w:leader="none" w:pos="700" w:val="left"/>
          <w:tab w:leader="none" w:pos="1620" w:val="left"/>
          <w:tab w:leader="none" w:pos="2720" w:val="left"/>
          <w:tab w:leader="none" w:pos="3460" w:val="left"/>
        </w:tabs>
        <w:rPr>
          <w:sz w:val="20"/>
          <w:szCs w:val="20"/>
          <w:color w:val="auto"/>
        </w:rPr>
      </w:pPr>
      <w:r>
        <w:rPr>
          <w:rFonts w:ascii="Courier New" w:cs="Courier New" w:eastAsia="Courier New" w:hAnsi="Courier New"/>
          <w:sz w:val="15"/>
          <w:szCs w:val="15"/>
          <w:color w:val="auto"/>
        </w:rPr>
        <w:t>intan-</w:t>
        <w:tab/>
        <w:t>compen-</w:t>
      </w:r>
      <w:r>
        <w:rPr>
          <w:sz w:val="20"/>
          <w:szCs w:val="20"/>
          <w:color w:val="auto"/>
        </w:rPr>
        <w:tab/>
      </w:r>
      <w:r>
        <w:rPr>
          <w:rFonts w:ascii="Courier New" w:cs="Courier New" w:eastAsia="Courier New" w:hAnsi="Courier New"/>
          <w:sz w:val="15"/>
          <w:szCs w:val="15"/>
          <w:color w:val="auto"/>
        </w:rPr>
        <w:t>in-process</w:t>
        <w:tab/>
        <w:t>R&amp;D</w:t>
      </w:r>
      <w:r>
        <w:rPr>
          <w:sz w:val="20"/>
          <w:szCs w:val="20"/>
          <w:color w:val="auto"/>
        </w:rPr>
        <w:tab/>
      </w:r>
      <w:r>
        <w:rPr>
          <w:rFonts w:ascii="Courier New" w:cs="Courier New" w:eastAsia="Courier New" w:hAnsi="Courier New"/>
          <w:sz w:val="15"/>
          <w:szCs w:val="15"/>
          <w:color w:val="auto"/>
        </w:rPr>
        <w:t>Discount</w:t>
      </w:r>
    </w:p>
    <w:p>
      <w:pPr>
        <w:spacing w:after="0" w:line="6" w:lineRule="exact"/>
        <w:rPr>
          <w:sz w:val="20"/>
          <w:szCs w:val="20"/>
          <w:color w:val="auto"/>
        </w:rPr>
      </w:pPr>
    </w:p>
    <w:p>
      <w:pPr>
        <w:spacing w:after="0"/>
        <w:tabs>
          <w:tab w:leader="none" w:pos="700" w:val="left"/>
          <w:tab w:leader="none" w:pos="1620" w:val="left"/>
          <w:tab w:leader="none" w:pos="2720" w:val="left"/>
          <w:tab w:leader="none" w:pos="3460" w:val="left"/>
        </w:tabs>
        <w:rPr>
          <w:sz w:val="20"/>
          <w:szCs w:val="20"/>
          <w:color w:val="auto"/>
        </w:rPr>
      </w:pPr>
      <w:r>
        <w:rPr>
          <w:rFonts w:ascii="Courier New" w:cs="Courier New" w:eastAsia="Courier New" w:hAnsi="Courier New"/>
          <w:sz w:val="15"/>
          <w:szCs w:val="15"/>
          <w:color w:val="auto"/>
        </w:rPr>
        <w:t>gibles</w:t>
        <w:tab/>
        <w:t>sation</w:t>
      </w:r>
      <w:r>
        <w:rPr>
          <w:sz w:val="20"/>
          <w:szCs w:val="20"/>
          <w:color w:val="auto"/>
        </w:rPr>
        <w:tab/>
      </w:r>
      <w:r>
        <w:rPr>
          <w:rFonts w:ascii="Courier New" w:cs="Courier New" w:eastAsia="Courier New" w:hAnsi="Courier New"/>
          <w:sz w:val="15"/>
          <w:szCs w:val="15"/>
          <w:color w:val="auto"/>
        </w:rPr>
        <w:t>R&amp;D charge</w:t>
        <w:tab/>
        <w:t>focus</w:t>
      </w:r>
      <w:r>
        <w:rPr>
          <w:sz w:val="20"/>
          <w:szCs w:val="20"/>
          <w:color w:val="auto"/>
        </w:rPr>
        <w:tab/>
      </w:r>
      <w:r>
        <w:rPr>
          <w:rFonts w:ascii="Courier New" w:cs="Courier New" w:eastAsia="Courier New" w:hAnsi="Courier New"/>
          <w:sz w:val="15"/>
          <w:szCs w:val="15"/>
          <w:color w:val="auto"/>
        </w:rPr>
        <w:t>rate</w:t>
      </w:r>
    </w:p>
    <w:p>
      <w:pPr>
        <w:spacing w:after="0" w:line="6" w:lineRule="exact"/>
        <w:rPr>
          <w:sz w:val="20"/>
          <w:szCs w:val="20"/>
          <w:color w:val="auto"/>
        </w:rPr>
      </w:pPr>
    </w:p>
    <w:p>
      <w:pPr>
        <w:ind w:left="180"/>
        <w:spacing w:after="0"/>
        <w:tabs>
          <w:tab w:leader="none" w:pos="880" w:val="left"/>
          <w:tab w:leader="none" w:pos="1800" w:val="left"/>
          <w:tab w:leader="none" w:pos="2900" w:val="left"/>
          <w:tab w:leader="none" w:pos="3640" w:val="left"/>
        </w:tabs>
        <w:rPr>
          <w:sz w:val="20"/>
          <w:szCs w:val="20"/>
          <w:color w:val="auto"/>
        </w:rPr>
      </w:pPr>
      <w:r>
        <w:rPr>
          <w:rFonts w:ascii="Courier New" w:cs="Courier New" w:eastAsia="Courier New" w:hAnsi="Courier New"/>
          <w:sz w:val="15"/>
          <w:szCs w:val="15"/>
          <w:color w:val="auto"/>
        </w:rPr>
        <w:t>------</w:t>
        <w:tab/>
        <w:t>--------</w:t>
        <w:tab/>
        <w:t>----------</w:t>
        <w:tab/>
        <w:t>-----</w:t>
      </w:r>
      <w:r>
        <w:rPr>
          <w:sz w:val="20"/>
          <w:szCs w:val="20"/>
          <w:color w:val="auto"/>
        </w:rPr>
        <w:tab/>
      </w:r>
      <w:r>
        <w:rPr>
          <w:rFonts w:ascii="Courier New" w:cs="Courier New" w:eastAsia="Courier New" w:hAnsi="Courier New"/>
          <w:sz w:val="15"/>
          <w:szCs w:val="15"/>
          <w:color w:val="auto"/>
        </w:rPr>
        <w:t>-------</w:t>
      </w:r>
    </w:p>
    <w:p>
      <w:pPr>
        <w:spacing w:after="0" w:line="6" w:lineRule="exact"/>
        <w:rPr>
          <w:sz w:val="20"/>
          <w:szCs w:val="20"/>
          <w:color w:val="auto"/>
        </w:rPr>
      </w:pPr>
    </w:p>
    <w:p>
      <w:pPr>
        <w:spacing w:after="0"/>
        <w:tabs>
          <w:tab w:leader="none" w:pos="700" w:val="left"/>
          <w:tab w:leader="none" w:pos="1620" w:val="left"/>
          <w:tab w:leader="none" w:pos="2720" w:val="left"/>
          <w:tab w:leader="none" w:pos="3720"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5"/>
          <w:szCs w:val="15"/>
          <w:color w:val="auto"/>
        </w:rPr>
        <w:t>Wireless</w:t>
        <w:tab/>
        <w:t>24%</w:t>
      </w:r>
    </w:p>
    <w:p>
      <w:pPr>
        <w:spacing w:after="0" w:line="6"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networking</w:t>
      </w:r>
    </w:p>
    <w:p>
      <w:pPr>
        <w:spacing w:after="0" w:line="6"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technology</w:t>
      </w:r>
    </w:p>
    <w:p>
      <w:pPr>
        <w:spacing w:after="0" w:line="6"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for home</w:t>
      </w:r>
    </w:p>
    <w:p>
      <w:pPr>
        <w:spacing w:after="0" w:line="6"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and office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Year</w:t>
      </w:r>
    </w:p>
    <w:p>
      <w:pPr>
        <w:spacing w:after="0" w:line="6" w:lineRule="exact"/>
        <w:rPr>
          <w:sz w:val="20"/>
          <w:szCs w:val="20"/>
          <w:color w:val="auto"/>
        </w:rPr>
      </w:pPr>
    </w:p>
    <w:p>
      <w:pPr>
        <w:ind w:left="1020"/>
        <w:spacing w:after="0"/>
        <w:tabs>
          <w:tab w:leader="none" w:pos="1720" w:val="left"/>
        </w:tabs>
        <w:rPr>
          <w:sz w:val="20"/>
          <w:szCs w:val="20"/>
          <w:color w:val="auto"/>
        </w:rPr>
      </w:pPr>
      <w:r>
        <w:rPr>
          <w:rFonts w:ascii="Courier New" w:cs="Courier New" w:eastAsia="Courier New" w:hAnsi="Courier New"/>
          <w:sz w:val="15"/>
          <w:szCs w:val="15"/>
          <w:color w:val="auto"/>
        </w:rPr>
        <w:t>At</w:t>
      </w:r>
      <w:r>
        <w:rPr>
          <w:sz w:val="20"/>
          <w:szCs w:val="20"/>
          <w:color w:val="auto"/>
        </w:rPr>
        <w:tab/>
      </w:r>
      <w:r>
        <w:rPr>
          <w:rFonts w:ascii="Courier New" w:cs="Courier New" w:eastAsia="Courier New" w:hAnsi="Courier New"/>
          <w:sz w:val="15"/>
          <w:szCs w:val="15"/>
          <w:color w:val="auto"/>
        </w:rPr>
        <w:t>cash flows</w:t>
      </w:r>
    </w:p>
    <w:p>
      <w:pPr>
        <w:spacing w:after="0" w:line="6" w:lineRule="exact"/>
        <w:rPr>
          <w:sz w:val="20"/>
          <w:szCs w:val="20"/>
          <w:color w:val="auto"/>
        </w:rPr>
      </w:pPr>
    </w:p>
    <w:p>
      <w:pPr>
        <w:spacing w:after="0"/>
        <w:tabs>
          <w:tab w:leader="none" w:pos="1000" w:val="left"/>
          <w:tab w:leader="none" w:pos="1720" w:val="left"/>
        </w:tabs>
        <w:rPr>
          <w:sz w:val="20"/>
          <w:szCs w:val="20"/>
          <w:color w:val="auto"/>
        </w:rPr>
      </w:pPr>
      <w:r>
        <w:rPr>
          <w:rFonts w:ascii="Courier New" w:cs="Courier New" w:eastAsia="Courier New" w:hAnsi="Courier New"/>
          <w:sz w:val="15"/>
          <w:szCs w:val="15"/>
          <w:color w:val="auto"/>
        </w:rPr>
        <w:t>At ac-</w:t>
      </w:r>
      <w:r>
        <w:rPr>
          <w:sz w:val="20"/>
          <w:szCs w:val="20"/>
          <w:color w:val="auto"/>
        </w:rPr>
        <w:tab/>
      </w:r>
      <w:r>
        <w:rPr>
          <w:rFonts w:ascii="Courier New" w:cs="Courier New" w:eastAsia="Courier New" w:hAnsi="Courier New"/>
          <w:sz w:val="15"/>
          <w:szCs w:val="15"/>
          <w:color w:val="auto"/>
        </w:rPr>
        <w:t>June</w:t>
      </w:r>
      <w:r>
        <w:rPr>
          <w:sz w:val="20"/>
          <w:szCs w:val="20"/>
          <w:color w:val="auto"/>
        </w:rPr>
        <w:tab/>
      </w:r>
      <w:r>
        <w:rPr>
          <w:rFonts w:ascii="Courier New" w:cs="Courier New" w:eastAsia="Courier New" w:hAnsi="Courier New"/>
          <w:sz w:val="15"/>
          <w:szCs w:val="15"/>
          <w:color w:val="auto"/>
        </w:rPr>
        <w:t>projected</w:t>
      </w:r>
    </w:p>
    <w:p>
      <w:pPr>
        <w:spacing w:after="0" w:line="6" w:lineRule="exact"/>
        <w:rPr>
          <w:sz w:val="20"/>
          <w:szCs w:val="20"/>
          <w:color w:val="auto"/>
        </w:rPr>
      </w:pPr>
    </w:p>
    <w:p>
      <w:pPr>
        <w:spacing w:after="0"/>
        <w:tabs>
          <w:tab w:leader="none" w:pos="1000" w:val="left"/>
          <w:tab w:leader="none" w:pos="1720" w:val="left"/>
        </w:tabs>
        <w:rPr>
          <w:sz w:val="20"/>
          <w:szCs w:val="20"/>
          <w:color w:val="auto"/>
        </w:rPr>
      </w:pPr>
      <w:r>
        <w:rPr>
          <w:rFonts w:ascii="Courier New" w:cs="Courier New" w:eastAsia="Courier New" w:hAnsi="Courier New"/>
          <w:sz w:val="15"/>
          <w:szCs w:val="15"/>
          <w:color w:val="auto"/>
        </w:rPr>
        <w:t>quisition</w:t>
        <w:tab/>
        <w:t>2002</w:t>
      </w:r>
      <w:r>
        <w:rPr>
          <w:sz w:val="20"/>
          <w:szCs w:val="20"/>
          <w:color w:val="auto"/>
        </w:rPr>
        <w:tab/>
      </w:r>
      <w:r>
        <w:rPr>
          <w:rFonts w:ascii="Courier New" w:cs="Courier New" w:eastAsia="Courier New" w:hAnsi="Courier New"/>
          <w:sz w:val="15"/>
          <w:szCs w:val="15"/>
          <w:color w:val="auto"/>
        </w:rPr>
        <w:t>to begin</w:t>
      </w:r>
    </w:p>
    <w:p>
      <w:pPr>
        <w:spacing w:after="0" w:line="6" w:lineRule="exact"/>
        <w:rPr>
          <w:sz w:val="20"/>
          <w:szCs w:val="20"/>
          <w:color w:val="auto"/>
        </w:rPr>
      </w:pPr>
    </w:p>
    <w:p>
      <w:pPr>
        <w:ind w:left="180"/>
        <w:spacing w:after="0"/>
        <w:tabs>
          <w:tab w:leader="none" w:pos="1180" w:val="left"/>
          <w:tab w:leader="none" w:pos="1900" w:val="left"/>
        </w:tabs>
        <w:rPr>
          <w:sz w:val="20"/>
          <w:szCs w:val="20"/>
          <w:color w:val="auto"/>
        </w:rPr>
      </w:pPr>
      <w:r>
        <w:rPr>
          <w:rFonts w:ascii="Courier New" w:cs="Courier New" w:eastAsia="Courier New" w:hAnsi="Courier New"/>
          <w:sz w:val="15"/>
          <w:szCs w:val="15"/>
          <w:color w:val="auto"/>
        </w:rPr>
        <w:t>---------</w:t>
        <w:tab/>
        <w:t>-----</w:t>
        <w:tab/>
        <w:t>----------</w:t>
      </w:r>
    </w:p>
    <w:p>
      <w:pPr>
        <w:spacing w:after="0" w:line="6" w:lineRule="exact"/>
        <w:rPr>
          <w:sz w:val="20"/>
          <w:szCs w:val="20"/>
          <w:color w:val="auto"/>
        </w:rPr>
      </w:pPr>
    </w:p>
    <w:p>
      <w:pPr>
        <w:spacing w:after="0"/>
        <w:tabs>
          <w:tab w:leader="none" w:pos="1000" w:val="left"/>
          <w:tab w:leader="none" w:pos="1820" w:val="left"/>
        </w:tabs>
        <w:rPr>
          <w:sz w:val="20"/>
          <w:szCs w:val="20"/>
          <w:color w:val="auto"/>
        </w:rPr>
      </w:pPr>
      <w:r>
        <w:rPr>
          <w:rFonts w:ascii="Courier New" w:cs="Courier New" w:eastAsia="Courier New" w:hAnsi="Courier New"/>
          <w:sz w:val="15"/>
          <w:szCs w:val="15"/>
          <w:color w:val="auto"/>
        </w:rPr>
        <w:t>$4.1/256</w:t>
      </w:r>
      <w:r>
        <w:rPr>
          <w:sz w:val="20"/>
          <w:szCs w:val="20"/>
          <w:color w:val="auto"/>
        </w:rPr>
        <w:tab/>
      </w:r>
      <w:r>
        <w:rPr>
          <w:rFonts w:ascii="Courier New" w:cs="Courier New" w:eastAsia="Courier New" w:hAnsi="Courier New"/>
          <w:sz w:val="15"/>
          <w:szCs w:val="15"/>
          <w:color w:val="auto"/>
        </w:rPr>
        <w:t>Project</w:t>
        <w:tab/>
        <w:t>2002</w:t>
      </w:r>
    </w:p>
    <w:p>
      <w:pPr>
        <w:spacing w:after="0" w:line="6"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5"/>
          <w:szCs w:val="15"/>
          <w:color w:val="auto"/>
        </w:rPr>
        <w:t>engineer</w:t>
      </w:r>
      <w:r>
        <w:rPr>
          <w:sz w:val="20"/>
          <w:szCs w:val="20"/>
          <w:color w:val="auto"/>
        </w:rPr>
        <w:tab/>
      </w:r>
      <w:r>
        <w:rPr>
          <w:rFonts w:ascii="Courier New" w:cs="Courier New" w:eastAsia="Courier New" w:hAnsi="Courier New"/>
          <w:sz w:val="15"/>
          <w:szCs w:val="15"/>
          <w:color w:val="auto"/>
        </w:rPr>
        <w:t>completed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months</w:t>
      </w:r>
    </w:p>
    <w:p>
      <w:pPr>
        <w:spacing w:after="0" w:line="552" w:lineRule="exact"/>
        <w:rPr>
          <w:sz w:val="20"/>
          <w:szCs w:val="20"/>
          <w:color w:val="auto"/>
        </w:rPr>
      </w:pPr>
    </w:p>
    <w:p>
      <w:pPr>
        <w:sectPr>
          <w:pgSz w:w="11900" w:h="16838" w:orient="portrait"/>
          <w:cols w:equalWidth="0" w:num="3">
            <w:col w:w="3840" w:space="100"/>
            <w:col w:w="4300" w:space="180"/>
            <w:col w:w="2840"/>
          </w:cols>
          <w:pgMar w:left="240" w:top="1175" w:right="399" w:bottom="1440" w:gutter="0" w:footer="0" w:header="0"/>
          <w:type w:val="continuous"/>
        </w:sectPr>
      </w:pPr>
    </w:p>
    <w:p>
      <w:pPr>
        <w:spacing w:after="0" w:line="159"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1260"/>
          </w:cols>
          <w:pgMar w:left="240" w:top="1175" w:right="399" w:bottom="1440" w:gutter="0" w:footer="0" w:header="0"/>
          <w:type w:val="continuous"/>
        </w:sectPr>
      </w:pPr>
    </w:p>
    <w:bookmarkStart w:id="8" w:name="page9"/>
    <w:bookmarkEnd w:id="8"/>
    <w:p>
      <w:pPr>
        <w:ind w:left="6" w:right="4280" w:hanging="6"/>
        <w:spacing w:after="0" w:line="250" w:lineRule="auto"/>
        <w:tabs>
          <w:tab w:leader="none" w:pos="464"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is a reconciliation of individual restructuring accruals (in millions of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Year of Charge</w:t>
            </w:r>
          </w:p>
        </w:tc>
        <w:tc>
          <w:tcPr>
            <w:tcW w:w="14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6"/>
        </w:trPr>
        <w:tc>
          <w:tcPr>
            <w:tcW w:w="2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5440" w:type="dxa"/>
            <w:vAlign w:val="bottom"/>
            <w:gridSpan w:val="5"/>
          </w:tcPr>
          <w:p>
            <w:pPr>
              <w:jc w:val="right"/>
              <w:ind w:right="264"/>
              <w:spacing w:after="0"/>
              <w:rPr>
                <w:sz w:val="20"/>
                <w:szCs w:val="20"/>
                <w:color w:val="auto"/>
              </w:rPr>
            </w:pPr>
            <w:r>
              <w:rPr>
                <w:rFonts w:ascii="Courier New" w:cs="Courier New" w:eastAsia="Courier New" w:hAnsi="Courier New"/>
                <w:sz w:val="15"/>
                <w:szCs w:val="15"/>
                <w:color w:val="auto"/>
              </w:rPr>
              <w:t>------------------------------------------------------</w:t>
            </w:r>
          </w:p>
        </w:tc>
      </w:tr>
      <w:tr>
        <w:trPr>
          <w:trHeight w:val="176"/>
        </w:trPr>
        <w:tc>
          <w:tcPr>
            <w:tcW w:w="2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2001</w:t>
            </w:r>
          </w:p>
        </w:tc>
        <w:tc>
          <w:tcPr>
            <w:tcW w:w="146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2002</w:t>
            </w:r>
          </w:p>
        </w:tc>
      </w:tr>
      <w:tr>
        <w:trPr>
          <w:trHeight w:val="176"/>
        </w:trPr>
        <w:tc>
          <w:tcPr>
            <w:tcW w:w="2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420" w:type="dxa"/>
            <w:vAlign w:val="bottom"/>
            <w:gridSpan w:val="2"/>
          </w:tcPr>
          <w:p>
            <w:pPr>
              <w:ind w:left="140"/>
              <w:spacing w:after="0"/>
              <w:rPr>
                <w:sz w:val="20"/>
                <w:szCs w:val="20"/>
                <w:color w:val="auto"/>
              </w:rPr>
            </w:pPr>
            <w:r>
              <w:rPr>
                <w:rFonts w:ascii="Courier New" w:cs="Courier New" w:eastAsia="Courier New" w:hAnsi="Courier New"/>
                <w:sz w:val="5"/>
                <w:szCs w:val="5"/>
                <w:color w:val="auto"/>
                <w:w w:val="95"/>
              </w:rPr>
              <w:t>--------------------------------------------</w:t>
            </w:r>
          </w:p>
        </w:tc>
        <w:tc>
          <w:tcPr>
            <w:tcW w:w="14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r>
      <w:tr>
        <w:trPr>
          <w:trHeight w:val="176"/>
        </w:trPr>
        <w:tc>
          <w:tcPr>
            <w:tcW w:w="2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Balance, prior</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2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actions - primarily</w:t>
            </w:r>
          </w:p>
        </w:tc>
        <w:tc>
          <w:tcPr>
            <w:tcW w:w="1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Voluntary/</w:t>
            </w:r>
          </w:p>
        </w:tc>
        <w:tc>
          <w:tcPr>
            <w:tcW w:w="148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SC</w:t>
            </w:r>
          </w:p>
        </w:tc>
        <w:tc>
          <w:tcPr>
            <w:tcW w:w="14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SC</w:t>
            </w:r>
          </w:p>
        </w:tc>
        <w:tc>
          <w:tcPr>
            <w:tcW w:w="108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SC</w:t>
            </w:r>
          </w:p>
        </w:tc>
      </w:tr>
      <w:tr>
        <w:trPr>
          <w:trHeight w:val="176"/>
        </w:trPr>
        <w:tc>
          <w:tcPr>
            <w:tcW w:w="2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severance and</w:t>
            </w:r>
          </w:p>
        </w:tc>
        <w:tc>
          <w:tcPr>
            <w:tcW w:w="1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involuntary</w:t>
            </w:r>
          </w:p>
        </w:tc>
        <w:tc>
          <w:tcPr>
            <w:tcW w:w="1480" w:type="dxa"/>
            <w:vAlign w:val="bottom"/>
          </w:tcPr>
          <w:p>
            <w:pPr>
              <w:ind w:left="460"/>
              <w:spacing w:after="0"/>
              <w:rPr>
                <w:sz w:val="20"/>
                <w:szCs w:val="20"/>
                <w:color w:val="auto"/>
              </w:rPr>
            </w:pPr>
            <w:r>
              <w:rPr>
                <w:rFonts w:ascii="Courier New" w:cs="Courier New" w:eastAsia="Courier New" w:hAnsi="Courier New"/>
                <w:sz w:val="15"/>
                <w:szCs w:val="15"/>
                <w:color w:val="auto"/>
              </w:rPr>
              <w:t>site</w:t>
            </w:r>
          </w:p>
        </w:tc>
        <w:tc>
          <w:tcPr>
            <w:tcW w:w="1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international</w:t>
            </w:r>
          </w:p>
        </w:tc>
        <w:tc>
          <w:tcPr>
            <w:tcW w:w="108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site</w:t>
            </w:r>
          </w:p>
        </w:tc>
      </w:tr>
      <w:tr>
        <w:trPr>
          <w:trHeight w:val="176"/>
        </w:trPr>
        <w:tc>
          <w:tcPr>
            <w:tcW w:w="2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business divestiture</w:t>
            </w:r>
          </w:p>
        </w:tc>
        <w:tc>
          <w:tcPr>
            <w:tcW w:w="142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program</w:t>
            </w:r>
          </w:p>
        </w:tc>
        <w:tc>
          <w:tcPr>
            <w:tcW w:w="14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closings</w:t>
            </w:r>
          </w:p>
        </w:tc>
        <w:tc>
          <w:tcPr>
            <w:tcW w:w="1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restructuring</w:t>
            </w:r>
          </w:p>
        </w:tc>
        <w:tc>
          <w:tcPr>
            <w:tcW w:w="10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closings</w:t>
            </w: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960" w:type="dxa"/>
            <w:vAlign w:val="bottom"/>
          </w:tcPr>
          <w:p>
            <w:pPr>
              <w:jc w:val="right"/>
              <w:ind w:right="444"/>
              <w:spacing w:after="0"/>
              <w:rPr>
                <w:sz w:val="20"/>
                <w:szCs w:val="20"/>
                <w:color w:val="auto"/>
              </w:rPr>
            </w:pPr>
            <w:r>
              <w:rPr>
                <w:rFonts w:ascii="Courier New" w:cs="Courier New" w:eastAsia="Courier New" w:hAnsi="Courier New"/>
                <w:sz w:val="15"/>
                <w:szCs w:val="15"/>
                <w:color w:val="auto"/>
                <w:w w:val="93"/>
              </w:rPr>
              <w:t>Total</w:t>
            </w:r>
          </w:p>
        </w:tc>
        <w:tc>
          <w:tcPr>
            <w:tcW w:w="24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related</w:t>
            </w:r>
          </w:p>
        </w:tc>
        <w:tc>
          <w:tcPr>
            <w:tcW w:w="142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in U.S.</w:t>
            </w:r>
          </w:p>
        </w:tc>
        <w:tc>
          <w:tcPr>
            <w:tcW w:w="1480" w:type="dxa"/>
            <w:vAlign w:val="bottom"/>
          </w:tcPr>
          <w:p>
            <w:pPr>
              <w:ind w:left="460"/>
              <w:spacing w:after="0"/>
              <w:rPr>
                <w:sz w:val="20"/>
                <w:szCs w:val="20"/>
                <w:color w:val="auto"/>
              </w:rPr>
            </w:pPr>
            <w:r>
              <w:rPr>
                <w:rFonts w:ascii="Courier New" w:cs="Courier New" w:eastAsia="Courier New" w:hAnsi="Courier New"/>
                <w:sz w:val="15"/>
                <w:szCs w:val="15"/>
                <w:color w:val="auto"/>
              </w:rPr>
              <w:t>in U.S.</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actions</w:t>
            </w:r>
          </w:p>
        </w:tc>
        <w:tc>
          <w:tcPr>
            <w:tcW w:w="10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in U.S.</w:t>
            </w: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w w:val="96"/>
              </w:rPr>
              <w:t>---------</w:t>
            </w:r>
          </w:p>
        </w:tc>
      </w:tr>
      <w:tr>
        <w:trPr>
          <w:trHeight w:val="352"/>
        </w:trPr>
        <w:tc>
          <w:tcPr>
            <w:tcW w:w="2660" w:type="dxa"/>
            <w:vAlign w:val="bottom"/>
          </w:tcPr>
          <w:p>
            <w:pPr>
              <w:spacing w:after="0"/>
              <w:rPr>
                <w:sz w:val="20"/>
                <w:szCs w:val="20"/>
                <w:color w:val="auto"/>
              </w:rPr>
            </w:pPr>
            <w:r>
              <w:rPr>
                <w:rFonts w:ascii="Courier New" w:cs="Courier New" w:eastAsia="Courier New" w:hAnsi="Courier New"/>
                <w:sz w:val="15"/>
                <w:szCs w:val="15"/>
                <w:color w:val="auto"/>
              </w:rPr>
              <w:t>BALANCE, DECEMBER 31, 2001</w:t>
            </w:r>
          </w:p>
        </w:tc>
        <w:tc>
          <w:tcPr>
            <w:tcW w:w="96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4"/>
              </w:rPr>
              <w:t>$119</w:t>
            </w:r>
          </w:p>
        </w:tc>
        <w:tc>
          <w:tcPr>
            <w:tcW w:w="2460" w:type="dxa"/>
            <w:vAlign w:val="bottom"/>
          </w:tcPr>
          <w:p>
            <w:pPr>
              <w:jc w:val="right"/>
              <w:ind w:right="1244"/>
              <w:spacing w:after="0"/>
              <w:rPr>
                <w:sz w:val="20"/>
                <w:szCs w:val="20"/>
                <w:color w:val="auto"/>
              </w:rPr>
            </w:pPr>
            <w:r>
              <w:rPr>
                <w:rFonts w:ascii="Courier New" w:cs="Courier New" w:eastAsia="Courier New" w:hAnsi="Courier New"/>
                <w:sz w:val="15"/>
                <w:szCs w:val="15"/>
                <w:color w:val="auto"/>
              </w:rPr>
              <w:t>$ 40</w:t>
            </w:r>
          </w:p>
        </w:tc>
        <w:tc>
          <w:tcPr>
            <w:tcW w:w="142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$ 17</w:t>
            </w:r>
          </w:p>
        </w:tc>
        <w:tc>
          <w:tcPr>
            <w:tcW w:w="14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$ 23</w:t>
            </w:r>
          </w:p>
        </w:tc>
        <w:tc>
          <w:tcPr>
            <w:tcW w:w="146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$ 39</w:t>
            </w:r>
          </w:p>
        </w:tc>
        <w:tc>
          <w:tcPr>
            <w:tcW w:w="1080" w:type="dxa"/>
            <w:vAlign w:val="bottom"/>
          </w:tcPr>
          <w:p>
            <w:pPr>
              <w:spacing w:after="0"/>
              <w:rPr>
                <w:sz w:val="24"/>
                <w:szCs w:val="24"/>
                <w:color w:val="auto"/>
              </w:rPr>
            </w:pPr>
          </w:p>
        </w:tc>
      </w:tr>
      <w:tr>
        <w:trPr>
          <w:trHeight w:val="352"/>
        </w:trPr>
        <w:tc>
          <w:tcPr>
            <w:tcW w:w="2660" w:type="dxa"/>
            <w:vAlign w:val="bottom"/>
          </w:tcPr>
          <w:p>
            <w:pPr>
              <w:spacing w:after="0"/>
              <w:rPr>
                <w:sz w:val="20"/>
                <w:szCs w:val="20"/>
                <w:color w:val="auto"/>
              </w:rPr>
            </w:pPr>
            <w:r>
              <w:rPr>
                <w:rFonts w:ascii="Courier New" w:cs="Courier New" w:eastAsia="Courier New" w:hAnsi="Courier New"/>
                <w:sz w:val="15"/>
                <w:szCs w:val="15"/>
                <w:color w:val="auto"/>
              </w:rPr>
              <w:t>CHARGES:</w:t>
            </w:r>
          </w:p>
        </w:tc>
        <w:tc>
          <w:tcPr>
            <w:tcW w:w="9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Asset write-downs</w:t>
            </w:r>
          </w:p>
        </w:tc>
        <w:tc>
          <w:tcPr>
            <w:tcW w:w="9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14</w:t>
            </w:r>
          </w:p>
        </w:tc>
        <w:tc>
          <w:tcPr>
            <w:tcW w:w="2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$ 14</w:t>
            </w:r>
          </w:p>
        </w:tc>
      </w:tr>
      <w:tr>
        <w:trPr>
          <w:trHeight w:val="352"/>
        </w:trPr>
        <w:tc>
          <w:tcPr>
            <w:tcW w:w="2660" w:type="dxa"/>
            <w:vAlign w:val="bottom"/>
          </w:tcPr>
          <w:p>
            <w:pPr>
              <w:spacing w:after="0"/>
              <w:rPr>
                <w:sz w:val="20"/>
                <w:szCs w:val="20"/>
                <w:color w:val="auto"/>
              </w:rPr>
            </w:pPr>
            <w:r>
              <w:rPr>
                <w:rFonts w:ascii="Courier New" w:cs="Courier New" w:eastAsia="Courier New" w:hAnsi="Courier New"/>
                <w:sz w:val="15"/>
                <w:szCs w:val="15"/>
                <w:color w:val="auto"/>
              </w:rPr>
              <w:t>DISPOSITIONS:</w:t>
            </w:r>
          </w:p>
        </w:tc>
        <w:tc>
          <w:tcPr>
            <w:tcW w:w="9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Sale of facility</w:t>
            </w:r>
          </w:p>
        </w:tc>
        <w:tc>
          <w:tcPr>
            <w:tcW w:w="9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(8)</w:t>
            </w:r>
          </w:p>
        </w:tc>
        <w:tc>
          <w:tcPr>
            <w:tcW w:w="2460" w:type="dxa"/>
            <w:vAlign w:val="bottom"/>
          </w:tcPr>
          <w:p>
            <w:pPr>
              <w:jc w:val="right"/>
              <w:ind w:right="1164"/>
              <w:spacing w:after="0"/>
              <w:rPr>
                <w:sz w:val="20"/>
                <w:szCs w:val="20"/>
                <w:color w:val="auto"/>
              </w:rPr>
            </w:pPr>
            <w:r>
              <w:rPr>
                <w:rFonts w:ascii="Courier New" w:cs="Courier New" w:eastAsia="Courier New" w:hAnsi="Courier New"/>
                <w:sz w:val="15"/>
                <w:szCs w:val="15"/>
                <w:color w:val="auto"/>
              </w:rPr>
              <w:t>(8)</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Non-cash write-down of assets (14)</w:t>
            </w:r>
          </w:p>
        </w:tc>
        <w:tc>
          <w:tcPr>
            <w:tcW w:w="2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(14)</w:t>
            </w: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Severance payments</w:t>
            </w:r>
          </w:p>
        </w:tc>
        <w:tc>
          <w:tcPr>
            <w:tcW w:w="9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(26)</w:t>
            </w:r>
          </w:p>
        </w:tc>
        <w:tc>
          <w:tcPr>
            <w:tcW w:w="2460" w:type="dxa"/>
            <w:vAlign w:val="bottom"/>
          </w:tcPr>
          <w:p>
            <w:pPr>
              <w:jc w:val="right"/>
              <w:ind w:right="1164"/>
              <w:spacing w:after="0"/>
              <w:rPr>
                <w:sz w:val="20"/>
                <w:szCs w:val="20"/>
                <w:color w:val="auto"/>
              </w:rPr>
            </w:pPr>
            <w:r>
              <w:rPr>
                <w:rFonts w:ascii="Courier New" w:cs="Courier New" w:eastAsia="Courier New" w:hAnsi="Courier New"/>
                <w:sz w:val="15"/>
                <w:szCs w:val="15"/>
                <w:color w:val="auto"/>
              </w:rPr>
              <w:t>(4)</w:t>
            </w:r>
          </w:p>
        </w:tc>
        <w:tc>
          <w:tcPr>
            <w:tcW w:w="600" w:type="dxa"/>
            <w:vAlign w:val="bottom"/>
          </w:tcPr>
          <w:p>
            <w:pPr>
              <w:spacing w:after="0"/>
              <w:rPr>
                <w:sz w:val="15"/>
                <w:szCs w:val="15"/>
                <w:color w:val="auto"/>
              </w:rPr>
            </w:pPr>
          </w:p>
        </w:tc>
        <w:tc>
          <w:tcPr>
            <w:tcW w:w="82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6"/>
              </w:rPr>
              <w:t>(8)</w:t>
            </w:r>
          </w:p>
        </w:tc>
        <w:tc>
          <w:tcPr>
            <w:tcW w:w="14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w:t>
            </w: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(7)</w:t>
            </w:r>
          </w:p>
        </w:tc>
        <w:tc>
          <w:tcPr>
            <w:tcW w:w="1080" w:type="dxa"/>
            <w:vAlign w:val="bottom"/>
          </w:tcPr>
          <w:p>
            <w:pPr>
              <w:spacing w:after="0"/>
              <w:rPr>
                <w:sz w:val="15"/>
                <w:szCs w:val="15"/>
                <w:color w:val="auto"/>
              </w:rPr>
            </w:pPr>
          </w:p>
        </w:tc>
      </w:tr>
      <w:tr>
        <w:trPr>
          <w:trHeight w:val="176"/>
        </w:trPr>
        <w:tc>
          <w:tcPr>
            <w:tcW w:w="2660" w:type="dxa"/>
            <w:vAlign w:val="bottom"/>
          </w:tcPr>
          <w:p>
            <w:pPr>
              <w:spacing w:after="0"/>
              <w:rPr>
                <w:sz w:val="15"/>
                <w:szCs w:val="15"/>
                <w:color w:val="auto"/>
              </w:rPr>
            </w:pPr>
          </w:p>
        </w:tc>
        <w:tc>
          <w:tcPr>
            <w:tcW w:w="96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4"/>
              </w:rPr>
              <w:t>----</w:t>
            </w:r>
          </w:p>
        </w:tc>
        <w:tc>
          <w:tcPr>
            <w:tcW w:w="2460" w:type="dxa"/>
            <w:vAlign w:val="bottom"/>
          </w:tcPr>
          <w:p>
            <w:pPr>
              <w:jc w:val="right"/>
              <w:ind w:right="12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BALANCE, MARCH 31, 2002</w:t>
            </w:r>
          </w:p>
        </w:tc>
        <w:tc>
          <w:tcPr>
            <w:tcW w:w="96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4"/>
              </w:rPr>
              <w:t>$ 85</w:t>
            </w:r>
          </w:p>
        </w:tc>
        <w:tc>
          <w:tcPr>
            <w:tcW w:w="2460" w:type="dxa"/>
            <w:vAlign w:val="bottom"/>
          </w:tcPr>
          <w:p>
            <w:pPr>
              <w:jc w:val="right"/>
              <w:ind w:right="1244"/>
              <w:spacing w:after="0"/>
              <w:rPr>
                <w:sz w:val="20"/>
                <w:szCs w:val="20"/>
                <w:color w:val="auto"/>
              </w:rPr>
            </w:pPr>
            <w:r>
              <w:rPr>
                <w:rFonts w:ascii="Courier New" w:cs="Courier New" w:eastAsia="Courier New" w:hAnsi="Courier New"/>
                <w:sz w:val="15"/>
                <w:szCs w:val="15"/>
                <w:color w:val="auto"/>
              </w:rPr>
              <w:t>$ 28</w:t>
            </w:r>
          </w:p>
        </w:tc>
        <w:tc>
          <w:tcPr>
            <w:tcW w:w="60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9</w:t>
            </w:r>
          </w:p>
        </w:tc>
        <w:tc>
          <w:tcPr>
            <w:tcW w:w="14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$ 16</w:t>
            </w:r>
          </w:p>
        </w:tc>
        <w:tc>
          <w:tcPr>
            <w:tcW w:w="146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$ 32</w:t>
            </w:r>
          </w:p>
        </w:tc>
        <w:tc>
          <w:tcPr>
            <w:tcW w:w="10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 --</w:t>
            </w:r>
          </w:p>
        </w:tc>
      </w:tr>
      <w:tr>
        <w:trPr>
          <w:trHeight w:val="176"/>
        </w:trPr>
        <w:tc>
          <w:tcPr>
            <w:tcW w:w="2660" w:type="dxa"/>
            <w:vAlign w:val="bottom"/>
          </w:tcPr>
          <w:p>
            <w:pPr>
              <w:spacing w:after="0"/>
              <w:rPr>
                <w:sz w:val="15"/>
                <w:szCs w:val="15"/>
                <w:color w:val="auto"/>
              </w:rPr>
            </w:pPr>
          </w:p>
        </w:tc>
        <w:tc>
          <w:tcPr>
            <w:tcW w:w="96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4"/>
              </w:rPr>
              <w:t>----</w:t>
            </w:r>
          </w:p>
        </w:tc>
        <w:tc>
          <w:tcPr>
            <w:tcW w:w="2460" w:type="dxa"/>
            <w:vAlign w:val="bottom"/>
          </w:tcPr>
          <w:p>
            <w:pPr>
              <w:jc w:val="right"/>
              <w:ind w:right="12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r>
      <w:tr>
        <w:trPr>
          <w:trHeight w:val="529"/>
        </w:trPr>
        <w:tc>
          <w:tcPr>
            <w:tcW w:w="2660" w:type="dxa"/>
            <w:vAlign w:val="bottom"/>
          </w:tcPr>
          <w:p>
            <w:pPr>
              <w:spacing w:after="0"/>
              <w:rPr>
                <w:sz w:val="20"/>
                <w:szCs w:val="20"/>
                <w:color w:val="auto"/>
              </w:rPr>
            </w:pPr>
            <w:r>
              <w:rPr>
                <w:rFonts w:ascii="Courier New" w:cs="Courier New" w:eastAsia="Courier New" w:hAnsi="Courier New"/>
                <w:sz w:val="15"/>
                <w:szCs w:val="15"/>
                <w:color w:val="auto"/>
              </w:rPr>
              <w:t>CHARGES:</w:t>
            </w:r>
          </w:p>
        </w:tc>
        <w:tc>
          <w:tcPr>
            <w:tcW w:w="9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Asset write-downs</w:t>
            </w:r>
          </w:p>
        </w:tc>
        <w:tc>
          <w:tcPr>
            <w:tcW w:w="9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w:t>
            </w:r>
          </w:p>
        </w:tc>
        <w:tc>
          <w:tcPr>
            <w:tcW w:w="2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1</w:t>
            </w: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Severance charges</w:t>
            </w:r>
          </w:p>
        </w:tc>
        <w:tc>
          <w:tcPr>
            <w:tcW w:w="9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w:t>
            </w:r>
          </w:p>
        </w:tc>
        <w:tc>
          <w:tcPr>
            <w:tcW w:w="2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5</w:t>
            </w:r>
          </w:p>
        </w:tc>
      </w:tr>
      <w:tr>
        <w:trPr>
          <w:trHeight w:val="352"/>
        </w:trPr>
        <w:tc>
          <w:tcPr>
            <w:tcW w:w="2660" w:type="dxa"/>
            <w:vAlign w:val="bottom"/>
          </w:tcPr>
          <w:p>
            <w:pPr>
              <w:spacing w:after="0"/>
              <w:rPr>
                <w:sz w:val="20"/>
                <w:szCs w:val="20"/>
                <w:color w:val="auto"/>
              </w:rPr>
            </w:pPr>
            <w:r>
              <w:rPr>
                <w:rFonts w:ascii="Courier New" w:cs="Courier New" w:eastAsia="Courier New" w:hAnsi="Courier New"/>
                <w:sz w:val="15"/>
                <w:szCs w:val="15"/>
                <w:color w:val="auto"/>
              </w:rPr>
              <w:t>DISPOSITIONS:</w:t>
            </w:r>
          </w:p>
        </w:tc>
        <w:tc>
          <w:tcPr>
            <w:tcW w:w="9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Non-cash write-down of assets</w:t>
            </w:r>
          </w:p>
        </w:tc>
        <w:tc>
          <w:tcPr>
            <w:tcW w:w="9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(1)</w:t>
            </w:r>
          </w:p>
        </w:tc>
        <w:tc>
          <w:tcPr>
            <w:tcW w:w="2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w:t>
            </w: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Severance payments</w:t>
            </w:r>
          </w:p>
        </w:tc>
        <w:tc>
          <w:tcPr>
            <w:tcW w:w="9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(15)</w:t>
            </w:r>
          </w:p>
        </w:tc>
        <w:tc>
          <w:tcPr>
            <w:tcW w:w="2460" w:type="dxa"/>
            <w:vAlign w:val="bottom"/>
          </w:tcPr>
          <w:p>
            <w:pPr>
              <w:jc w:val="right"/>
              <w:ind w:right="1164"/>
              <w:spacing w:after="0"/>
              <w:rPr>
                <w:sz w:val="20"/>
                <w:szCs w:val="20"/>
                <w:color w:val="auto"/>
              </w:rPr>
            </w:pPr>
            <w:r>
              <w:rPr>
                <w:rFonts w:ascii="Courier New" w:cs="Courier New" w:eastAsia="Courier New" w:hAnsi="Courier New"/>
                <w:sz w:val="15"/>
                <w:szCs w:val="15"/>
                <w:color w:val="auto"/>
              </w:rPr>
              <w:t>(1)</w:t>
            </w:r>
          </w:p>
        </w:tc>
        <w:tc>
          <w:tcPr>
            <w:tcW w:w="600" w:type="dxa"/>
            <w:vAlign w:val="bottom"/>
          </w:tcPr>
          <w:p>
            <w:pPr>
              <w:spacing w:after="0"/>
              <w:rPr>
                <w:sz w:val="15"/>
                <w:szCs w:val="15"/>
                <w:color w:val="auto"/>
              </w:rPr>
            </w:pPr>
          </w:p>
        </w:tc>
        <w:tc>
          <w:tcPr>
            <w:tcW w:w="82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6"/>
              </w:rPr>
              <w:t>(6)</w:t>
            </w:r>
          </w:p>
        </w:tc>
        <w:tc>
          <w:tcPr>
            <w:tcW w:w="14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w:t>
            </w:r>
          </w:p>
        </w:tc>
        <w:tc>
          <w:tcPr>
            <w:tcW w:w="146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w:t>
            </w: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Change in estimates</w:t>
            </w:r>
          </w:p>
        </w:tc>
        <w:tc>
          <w:tcPr>
            <w:tcW w:w="9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(23)</w:t>
            </w:r>
          </w:p>
        </w:tc>
        <w:tc>
          <w:tcPr>
            <w:tcW w:w="2460" w:type="dxa"/>
            <w:vAlign w:val="bottom"/>
          </w:tcPr>
          <w:p>
            <w:pPr>
              <w:jc w:val="right"/>
              <w:ind w:right="1164"/>
              <w:spacing w:after="0"/>
              <w:rPr>
                <w:sz w:val="20"/>
                <w:szCs w:val="20"/>
                <w:color w:val="auto"/>
              </w:rPr>
            </w:pPr>
            <w:r>
              <w:rPr>
                <w:rFonts w:ascii="Courier New" w:cs="Courier New" w:eastAsia="Courier New" w:hAnsi="Courier New"/>
                <w:sz w:val="15"/>
                <w:szCs w:val="15"/>
                <w:color w:val="auto"/>
              </w:rPr>
              <w:t>(20)</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w:t>
            </w:r>
          </w:p>
        </w:tc>
        <w:tc>
          <w:tcPr>
            <w:tcW w:w="14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2660" w:type="dxa"/>
            <w:vAlign w:val="bottom"/>
          </w:tcPr>
          <w:p>
            <w:pPr>
              <w:spacing w:after="0"/>
              <w:rPr>
                <w:sz w:val="15"/>
                <w:szCs w:val="15"/>
                <w:color w:val="auto"/>
              </w:rPr>
            </w:pPr>
          </w:p>
        </w:tc>
        <w:tc>
          <w:tcPr>
            <w:tcW w:w="96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4"/>
              </w:rPr>
              <w:t>----</w:t>
            </w:r>
          </w:p>
        </w:tc>
        <w:tc>
          <w:tcPr>
            <w:tcW w:w="2460" w:type="dxa"/>
            <w:vAlign w:val="bottom"/>
          </w:tcPr>
          <w:p>
            <w:pPr>
              <w:jc w:val="right"/>
              <w:ind w:right="12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BALANCE, JUNE 30, 2002</w:t>
            </w:r>
          </w:p>
        </w:tc>
        <w:tc>
          <w:tcPr>
            <w:tcW w:w="96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4"/>
              </w:rPr>
              <w:t>$ 52</w:t>
            </w:r>
          </w:p>
        </w:tc>
        <w:tc>
          <w:tcPr>
            <w:tcW w:w="2460" w:type="dxa"/>
            <w:vAlign w:val="bottom"/>
          </w:tcPr>
          <w:p>
            <w:pPr>
              <w:jc w:val="right"/>
              <w:ind w:right="1244"/>
              <w:spacing w:after="0"/>
              <w:rPr>
                <w:sz w:val="20"/>
                <w:szCs w:val="20"/>
                <w:color w:val="auto"/>
              </w:rPr>
            </w:pPr>
            <w:r>
              <w:rPr>
                <w:rFonts w:ascii="Courier New" w:cs="Courier New" w:eastAsia="Courier New" w:hAnsi="Courier New"/>
                <w:sz w:val="15"/>
                <w:szCs w:val="15"/>
                <w:color w:val="auto"/>
              </w:rPr>
              <w:t>$  7</w:t>
            </w:r>
          </w:p>
        </w:tc>
        <w:tc>
          <w:tcPr>
            <w:tcW w:w="60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w:t>
            </w:r>
          </w:p>
        </w:tc>
        <w:tc>
          <w:tcPr>
            <w:tcW w:w="14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$ 10</w:t>
            </w:r>
          </w:p>
        </w:tc>
        <w:tc>
          <w:tcPr>
            <w:tcW w:w="146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$ 32</w:t>
            </w:r>
          </w:p>
        </w:tc>
        <w:tc>
          <w:tcPr>
            <w:tcW w:w="10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 --</w:t>
            </w:r>
          </w:p>
        </w:tc>
      </w:tr>
      <w:tr>
        <w:trPr>
          <w:trHeight w:val="176"/>
        </w:trPr>
        <w:tc>
          <w:tcPr>
            <w:tcW w:w="2660" w:type="dxa"/>
            <w:vAlign w:val="bottom"/>
          </w:tcPr>
          <w:p>
            <w:pPr>
              <w:spacing w:after="0"/>
              <w:rPr>
                <w:sz w:val="15"/>
                <w:szCs w:val="15"/>
                <w:color w:val="auto"/>
              </w:rPr>
            </w:pPr>
          </w:p>
        </w:tc>
        <w:tc>
          <w:tcPr>
            <w:tcW w:w="96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4"/>
              </w:rPr>
              <w:t>====</w:t>
            </w:r>
          </w:p>
        </w:tc>
        <w:tc>
          <w:tcPr>
            <w:tcW w:w="2460" w:type="dxa"/>
            <w:vAlign w:val="bottom"/>
          </w:tcPr>
          <w:p>
            <w:pPr>
              <w:jc w:val="right"/>
              <w:ind w:right="12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Abbreviations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SC= Semiconductor Business</w:t>
      </w:r>
    </w:p>
    <w:p>
      <w:pPr>
        <w:spacing w:after="0" w:line="182" w:lineRule="exact"/>
        <w:rPr>
          <w:sz w:val="20"/>
          <w:szCs w:val="20"/>
          <w:color w:val="auto"/>
        </w:rPr>
      </w:pPr>
    </w:p>
    <w:p>
      <w:pPr>
        <w:ind w:left="6" w:right="4200" w:hanging="6"/>
        <w:spacing w:after="0" w:line="249" w:lineRule="auto"/>
        <w:tabs>
          <w:tab w:leader="none" w:pos="464"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adopted Statement of Financial Accounting Standards(SFAS) No. 144, Accounting for Impairment or Disposal of Long-Lived Assets, effective January 1, 2002. The standard supercedes SFAS No. 121, Accounting for the Impairment of Long-Lived Assets and for Long-Lived Assets to be Disposed Of, and the accounting and reporting provisions of APB Opinion No. 30, Reporting the Results of Operations for a Disposal of a Segment of a Business. As of the adoption date, the standard did not affect the financial position or results of operations of the company.</w:t>
      </w:r>
    </w:p>
    <w:p>
      <w:pPr>
        <w:spacing w:after="0" w:line="175" w:lineRule="exact"/>
        <w:rPr>
          <w:rFonts w:ascii="Courier New" w:cs="Courier New" w:eastAsia="Courier New" w:hAnsi="Courier New"/>
          <w:sz w:val="15"/>
          <w:szCs w:val="15"/>
          <w:color w:val="auto"/>
        </w:rPr>
      </w:pPr>
    </w:p>
    <w:p>
      <w:pPr>
        <w:ind w:left="6" w:right="4380" w:hanging="6"/>
        <w:spacing w:after="0" w:line="249" w:lineRule="auto"/>
        <w:tabs>
          <w:tab w:leader="none" w:pos="464"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adopted SFAS No. 142, Goodwill and Other Intangible Assets effective January 1, 2002. Under SFAS 142, goodwill is no longer amortized but is reviewed for impairment annually, or more frequently if certain indicators arise. In addition, the statement requires reassessment of the useful lives of previously recognized intangible assets.</w:t>
      </w:r>
    </w:p>
    <w:p>
      <w:pPr>
        <w:spacing w:after="0" w:line="176" w:lineRule="exact"/>
        <w:rPr>
          <w:sz w:val="20"/>
          <w:szCs w:val="20"/>
          <w:color w:val="auto"/>
        </w:rPr>
      </w:pPr>
    </w:p>
    <w:p>
      <w:pPr>
        <w:ind w:left="6" w:right="4280"/>
        <w:spacing w:after="0" w:line="249" w:lineRule="auto"/>
        <w:rPr>
          <w:sz w:val="20"/>
          <w:szCs w:val="20"/>
          <w:color w:val="auto"/>
        </w:rPr>
      </w:pPr>
      <w:r>
        <w:rPr>
          <w:rFonts w:ascii="Courier New" w:cs="Courier New" w:eastAsia="Courier New" w:hAnsi="Courier New"/>
          <w:sz w:val="15"/>
          <w:szCs w:val="15"/>
          <w:color w:val="auto"/>
        </w:rPr>
        <w:t>As required by the statement, intangible assets that do not meet the criteria for recognition apart from goodwill must be reclassified. As a result of the company's analysis, $14 million (net of tax) of intangibles, primarily relating to acquired workforce intangibles, was transferred to goodwill as of January 1, 2002.</w:t>
      </w:r>
    </w:p>
    <w:p>
      <w:pPr>
        <w:spacing w:after="0" w:line="176" w:lineRule="exact"/>
        <w:rPr>
          <w:sz w:val="20"/>
          <w:szCs w:val="20"/>
          <w:color w:val="auto"/>
        </w:rPr>
      </w:pPr>
    </w:p>
    <w:p>
      <w:pPr>
        <w:ind w:left="6" w:right="4200"/>
        <w:spacing w:after="0" w:line="250" w:lineRule="auto"/>
        <w:rPr>
          <w:sz w:val="20"/>
          <w:szCs w:val="20"/>
          <w:color w:val="auto"/>
        </w:rPr>
      </w:pPr>
      <w:r>
        <w:rPr>
          <w:rFonts w:ascii="Courier New" w:cs="Courier New" w:eastAsia="Courier New" w:hAnsi="Courier New"/>
          <w:sz w:val="15"/>
          <w:szCs w:val="15"/>
          <w:color w:val="auto"/>
        </w:rPr>
        <w:t>With the adoption of the statement, the company ceased amortization of goodwill as of January 1, 2002. The following table presents the quarterly results of the company on a comparable basis (in millions of dollars, except per-share amounts):</w:t>
      </w:r>
    </w:p>
    <w:p>
      <w:pPr>
        <w:spacing w:after="0" w:line="350"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1526"/>
          </w:cols>
          <w:pgMar w:left="234" w:top="647" w:right="1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220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For Three Months Ended</w:t>
            </w:r>
          </w:p>
        </w:tc>
        <w:tc>
          <w:tcPr>
            <w:tcW w:w="19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For Six Months Ended</w:t>
            </w:r>
          </w:p>
        </w:tc>
      </w:tr>
      <w:tr>
        <w:trPr>
          <w:trHeight w:val="176"/>
        </w:trPr>
        <w:tc>
          <w:tcPr>
            <w:tcW w:w="362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Courier New" w:cs="Courier New" w:eastAsia="Courier New" w:hAnsi="Courier New"/>
                <w:sz w:val="10"/>
                <w:szCs w:val="10"/>
                <w:color w:val="auto"/>
                <w:w w:val="74"/>
              </w:rPr>
              <w:t>----------------------</w:t>
            </w: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9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620" w:type="dxa"/>
            <w:vAlign w:val="bottom"/>
          </w:tcPr>
          <w:p>
            <w:pPr>
              <w:spacing w:after="0"/>
              <w:rPr>
                <w:sz w:val="15"/>
                <w:szCs w:val="15"/>
                <w:color w:val="auto"/>
              </w:rPr>
            </w:pPr>
          </w:p>
        </w:tc>
        <w:tc>
          <w:tcPr>
            <w:tcW w:w="10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June 30</w:t>
            </w:r>
          </w:p>
        </w:tc>
        <w:tc>
          <w:tcPr>
            <w:tcW w:w="11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June 30</w:t>
            </w:r>
          </w:p>
        </w:tc>
        <w:tc>
          <w:tcPr>
            <w:tcW w:w="10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June 30</w:t>
            </w:r>
          </w:p>
        </w:tc>
        <w:tc>
          <w:tcPr>
            <w:tcW w:w="920" w:type="dxa"/>
            <w:vAlign w:val="bottom"/>
            <w:gridSpan w:val="2"/>
          </w:tcPr>
          <w:p>
            <w:pPr>
              <w:ind w:left="280"/>
              <w:spacing w:after="0"/>
              <w:rPr>
                <w:sz w:val="20"/>
                <w:szCs w:val="20"/>
                <w:color w:val="auto"/>
              </w:rPr>
            </w:pPr>
            <w:r>
              <w:rPr>
                <w:rFonts w:ascii="Courier New" w:cs="Courier New" w:eastAsia="Courier New" w:hAnsi="Courier New"/>
                <w:sz w:val="15"/>
                <w:szCs w:val="15"/>
                <w:color w:val="auto"/>
                <w:w w:val="98"/>
              </w:rPr>
              <w:t>June 30</w:t>
            </w:r>
          </w:p>
        </w:tc>
      </w:tr>
      <w:tr>
        <w:trPr>
          <w:trHeight w:val="176"/>
        </w:trPr>
        <w:tc>
          <w:tcPr>
            <w:tcW w:w="3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9"/>
              </w:rPr>
              <w:t>2002</w:t>
            </w:r>
          </w:p>
        </w:tc>
        <w:tc>
          <w:tcPr>
            <w:tcW w:w="420" w:type="dxa"/>
            <w:vAlign w:val="bottom"/>
          </w:tcPr>
          <w:p>
            <w:pPr>
              <w:spacing w:after="0"/>
              <w:rPr>
                <w:sz w:val="15"/>
                <w:szCs w:val="15"/>
                <w:color w:val="auto"/>
              </w:rPr>
            </w:pPr>
          </w:p>
        </w:tc>
        <w:tc>
          <w:tcPr>
            <w:tcW w:w="7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2001</w:t>
            </w:r>
          </w:p>
        </w:tc>
        <w:tc>
          <w:tcPr>
            <w:tcW w:w="360" w:type="dxa"/>
            <w:vAlign w:val="bottom"/>
          </w:tcPr>
          <w:p>
            <w:pPr>
              <w:spacing w:after="0"/>
              <w:rPr>
                <w:sz w:val="15"/>
                <w:szCs w:val="15"/>
                <w:color w:val="auto"/>
              </w:rPr>
            </w:pPr>
          </w:p>
        </w:tc>
        <w:tc>
          <w:tcPr>
            <w:tcW w:w="6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2002</w:t>
            </w:r>
          </w:p>
        </w:tc>
        <w:tc>
          <w:tcPr>
            <w:tcW w:w="420" w:type="dxa"/>
            <w:vAlign w:val="bottom"/>
          </w:tcPr>
          <w:p>
            <w:pPr>
              <w:spacing w:after="0"/>
              <w:rPr>
                <w:sz w:val="15"/>
                <w:szCs w:val="15"/>
                <w:color w:val="auto"/>
              </w:rPr>
            </w:pP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2001</w:t>
            </w:r>
          </w:p>
        </w:tc>
      </w:tr>
      <w:tr>
        <w:trPr>
          <w:trHeight w:val="176"/>
        </w:trPr>
        <w:tc>
          <w:tcPr>
            <w:tcW w:w="3620" w:type="dxa"/>
            <w:vAlign w:val="bottom"/>
          </w:tcPr>
          <w:p>
            <w:pPr>
              <w:spacing w:after="0"/>
              <w:rPr>
                <w:sz w:val="15"/>
                <w:szCs w:val="15"/>
                <w:color w:val="auto"/>
              </w:rPr>
            </w:pPr>
          </w:p>
        </w:tc>
        <w:tc>
          <w:tcPr>
            <w:tcW w:w="10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6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76"/>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Reported net income (loss). . . . . .</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95</w:t>
            </w:r>
          </w:p>
        </w:tc>
        <w:tc>
          <w:tcPr>
            <w:tcW w:w="4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(197)</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57</w:t>
            </w:r>
          </w:p>
        </w:tc>
        <w:tc>
          <w:tcPr>
            <w:tcW w:w="4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6"/>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Goodwill and workforce amortization</w:t>
            </w: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3620" w:type="dxa"/>
            <w:vAlign w:val="bottom"/>
          </w:tcPr>
          <w:p>
            <w:pPr>
              <w:ind w:left="360"/>
              <w:spacing w:after="0"/>
              <w:rPr>
                <w:sz w:val="20"/>
                <w:szCs w:val="20"/>
                <w:color w:val="auto"/>
              </w:rPr>
            </w:pPr>
            <w:r>
              <w:rPr>
                <w:rFonts w:ascii="Courier New" w:cs="Courier New" w:eastAsia="Courier New" w:hAnsi="Courier New"/>
                <w:sz w:val="15"/>
                <w:szCs w:val="15"/>
                <w:color w:val="auto"/>
              </w:rPr>
              <w:t>(net of tax). . . . . . . . . . . .</w:t>
            </w:r>
          </w:p>
        </w:tc>
        <w:tc>
          <w:tcPr>
            <w:tcW w:w="40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7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29</w:t>
            </w:r>
          </w:p>
        </w:tc>
        <w:tc>
          <w:tcPr>
            <w:tcW w:w="36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176"/>
        </w:trPr>
        <w:tc>
          <w:tcPr>
            <w:tcW w:w="3620" w:type="dxa"/>
            <w:vAlign w:val="bottom"/>
          </w:tcPr>
          <w:p>
            <w:pPr>
              <w:spacing w:after="0"/>
              <w:rPr>
                <w:sz w:val="15"/>
                <w:szCs w:val="15"/>
                <w:color w:val="auto"/>
              </w:rPr>
            </w:pP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Adjusted net income (loss). . . . . .</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95</w:t>
            </w:r>
          </w:p>
        </w:tc>
        <w:tc>
          <w:tcPr>
            <w:tcW w:w="4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(168)</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57</w:t>
            </w:r>
          </w:p>
        </w:tc>
        <w:tc>
          <w:tcPr>
            <w:tcW w:w="4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r>
      <w:tr>
        <w:trPr>
          <w:trHeight w:val="176"/>
        </w:trPr>
        <w:tc>
          <w:tcPr>
            <w:tcW w:w="3620" w:type="dxa"/>
            <w:vAlign w:val="bottom"/>
          </w:tcPr>
          <w:p>
            <w:pPr>
              <w:spacing w:after="0"/>
              <w:rPr>
                <w:sz w:val="15"/>
                <w:szCs w:val="15"/>
                <w:color w:val="auto"/>
              </w:rPr>
            </w:pP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62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Reported net income (loss). . . . . .</w:t>
            </w:r>
          </w:p>
        </w:tc>
        <w:tc>
          <w:tcPr>
            <w:tcW w:w="40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.05</w:t>
            </w:r>
          </w:p>
        </w:tc>
        <w:tc>
          <w:tcPr>
            <w:tcW w:w="420" w:type="dxa"/>
            <w:vAlign w:val="bottom"/>
          </w:tcPr>
          <w:p>
            <w:pPr>
              <w:spacing w:after="0"/>
              <w:rPr>
                <w:sz w:val="15"/>
                <w:szCs w:val="15"/>
                <w:color w:val="auto"/>
              </w:rPr>
            </w:pP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w:t>
            </w:r>
          </w:p>
        </w:tc>
        <w:tc>
          <w:tcPr>
            <w:tcW w:w="36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.03</w:t>
            </w:r>
          </w:p>
        </w:tc>
        <w:tc>
          <w:tcPr>
            <w:tcW w:w="4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r>
        <w:trPr>
          <w:trHeight w:val="176"/>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Goodwill and workforce amortization</w:t>
            </w: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3620" w:type="dxa"/>
            <w:vAlign w:val="bottom"/>
          </w:tcPr>
          <w:p>
            <w:pPr>
              <w:ind w:left="360"/>
              <w:spacing w:after="0"/>
              <w:rPr>
                <w:sz w:val="20"/>
                <w:szCs w:val="20"/>
                <w:color w:val="auto"/>
              </w:rPr>
            </w:pPr>
            <w:r>
              <w:rPr>
                <w:rFonts w:ascii="Courier New" w:cs="Courier New" w:eastAsia="Courier New" w:hAnsi="Courier New"/>
                <w:sz w:val="15"/>
                <w:szCs w:val="15"/>
                <w:color w:val="auto"/>
              </w:rPr>
              <w:t>(net of tax). . . . . . . . . . . .</w:t>
            </w:r>
          </w:p>
        </w:tc>
        <w:tc>
          <w:tcPr>
            <w:tcW w:w="40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7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.02</w:t>
            </w:r>
          </w:p>
        </w:tc>
        <w:tc>
          <w:tcPr>
            <w:tcW w:w="36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.03</w:t>
            </w:r>
          </w:p>
        </w:tc>
      </w:tr>
      <w:tr>
        <w:trPr>
          <w:trHeight w:val="176"/>
        </w:trPr>
        <w:tc>
          <w:tcPr>
            <w:tcW w:w="3620" w:type="dxa"/>
            <w:vAlign w:val="bottom"/>
          </w:tcPr>
          <w:p>
            <w:pPr>
              <w:spacing w:after="0"/>
              <w:rPr>
                <w:sz w:val="15"/>
                <w:szCs w:val="15"/>
                <w:color w:val="auto"/>
              </w:rPr>
            </w:pP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Adjusted net income (loss). . . . . .</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.05</w:t>
            </w:r>
          </w:p>
        </w:tc>
        <w:tc>
          <w:tcPr>
            <w:tcW w:w="4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(.09)</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.03</w:t>
            </w:r>
          </w:p>
        </w:tc>
        <w:tc>
          <w:tcPr>
            <w:tcW w:w="4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r>
      <w:tr>
        <w:trPr>
          <w:trHeight w:val="176"/>
        </w:trPr>
        <w:tc>
          <w:tcPr>
            <w:tcW w:w="3620" w:type="dxa"/>
            <w:vAlign w:val="bottom"/>
          </w:tcPr>
          <w:p>
            <w:pPr>
              <w:spacing w:after="0"/>
              <w:rPr>
                <w:sz w:val="15"/>
                <w:szCs w:val="15"/>
                <w:color w:val="auto"/>
              </w:rPr>
            </w:pP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62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76"/>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Reported net income (loss). . . . . .</w:t>
            </w:r>
          </w:p>
        </w:tc>
        <w:tc>
          <w:tcPr>
            <w:tcW w:w="40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.05</w:t>
            </w:r>
          </w:p>
        </w:tc>
        <w:tc>
          <w:tcPr>
            <w:tcW w:w="420" w:type="dxa"/>
            <w:vAlign w:val="bottom"/>
          </w:tcPr>
          <w:p>
            <w:pPr>
              <w:spacing w:after="0"/>
              <w:rPr>
                <w:sz w:val="15"/>
                <w:szCs w:val="15"/>
                <w:color w:val="auto"/>
              </w:rPr>
            </w:pP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w:t>
            </w:r>
          </w:p>
        </w:tc>
        <w:tc>
          <w:tcPr>
            <w:tcW w:w="36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.03</w:t>
            </w:r>
          </w:p>
        </w:tc>
        <w:tc>
          <w:tcPr>
            <w:tcW w:w="4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r>
        <w:trPr>
          <w:trHeight w:val="176"/>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Goodwill and workforce amortization</w:t>
            </w: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3620" w:type="dxa"/>
            <w:vAlign w:val="bottom"/>
          </w:tcPr>
          <w:p>
            <w:pPr>
              <w:ind w:left="360"/>
              <w:spacing w:after="0"/>
              <w:rPr>
                <w:sz w:val="20"/>
                <w:szCs w:val="20"/>
                <w:color w:val="auto"/>
              </w:rPr>
            </w:pPr>
            <w:r>
              <w:rPr>
                <w:rFonts w:ascii="Courier New" w:cs="Courier New" w:eastAsia="Courier New" w:hAnsi="Courier New"/>
                <w:sz w:val="15"/>
                <w:szCs w:val="15"/>
                <w:color w:val="auto"/>
              </w:rPr>
              <w:t>(net of tax). . . . . . . . . . . .</w:t>
            </w:r>
          </w:p>
        </w:tc>
        <w:tc>
          <w:tcPr>
            <w:tcW w:w="40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7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.02</w:t>
            </w:r>
          </w:p>
        </w:tc>
        <w:tc>
          <w:tcPr>
            <w:tcW w:w="36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.03</w:t>
            </w:r>
          </w:p>
        </w:tc>
      </w:tr>
      <w:tr>
        <w:trPr>
          <w:trHeight w:val="176"/>
        </w:trPr>
        <w:tc>
          <w:tcPr>
            <w:tcW w:w="3620" w:type="dxa"/>
            <w:vAlign w:val="bottom"/>
          </w:tcPr>
          <w:p>
            <w:pPr>
              <w:spacing w:after="0"/>
              <w:rPr>
                <w:sz w:val="15"/>
                <w:szCs w:val="15"/>
                <w:color w:val="auto"/>
              </w:rPr>
            </w:pP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Adjusted net income (loss). . . . . .</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.05</w:t>
            </w:r>
          </w:p>
        </w:tc>
        <w:tc>
          <w:tcPr>
            <w:tcW w:w="4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(.09)</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.03</w:t>
            </w:r>
          </w:p>
        </w:tc>
        <w:tc>
          <w:tcPr>
            <w:tcW w:w="4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r>
      <w:tr>
        <w:trPr>
          <w:trHeight w:val="176"/>
        </w:trPr>
        <w:tc>
          <w:tcPr>
            <w:tcW w:w="3620" w:type="dxa"/>
            <w:vAlign w:val="bottom"/>
          </w:tcPr>
          <w:p>
            <w:pPr>
              <w:spacing w:after="0"/>
              <w:rPr>
                <w:sz w:val="15"/>
                <w:szCs w:val="15"/>
                <w:color w:val="auto"/>
              </w:rPr>
            </w:pP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As of January 1, 2002, the company completed a goodwill impairment test. This test involved the use of estimates related to the fair market value of the company's reporting units with which the goodwill was associated. No impairment was indicated at that time.</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1351" w:right="1440" w:bottom="1440" w:gutter="0" w:footer="0" w:header="0"/>
        </w:sectPr>
      </w:pPr>
    </w:p>
    <w:bookmarkStart w:id="10" w:name="page11"/>
    <w:bookmarkEnd w:id="10"/>
    <w:p>
      <w:pPr>
        <w:ind w:right="3079"/>
        <w:spacing w:after="0" w:line="250" w:lineRule="auto"/>
        <w:rPr>
          <w:sz w:val="20"/>
          <w:szCs w:val="20"/>
          <w:color w:val="auto"/>
        </w:rPr>
      </w:pPr>
      <w:r>
        <w:rPr>
          <w:rFonts w:ascii="Courier New" w:cs="Courier New" w:eastAsia="Courier New" w:hAnsi="Courier New"/>
          <w:sz w:val="15"/>
          <w:szCs w:val="15"/>
          <w:color w:val="auto"/>
        </w:rPr>
        <w:t>The carrying amount of goodwill at June 30, 2002, by business segment, was (in millions of dollars):</w:t>
      </w:r>
    </w:p>
    <w:p>
      <w:pPr>
        <w:spacing w:after="0" w:line="175" w:lineRule="exact"/>
        <w:rPr>
          <w:sz w:val="20"/>
          <w:szCs w:val="20"/>
          <w:color w:val="auto"/>
        </w:rPr>
      </w:pPr>
    </w:p>
    <w:tbl>
      <w:tblPr>
        <w:tblLayout w:type="fixed"/>
        <w:tblInd w:w="1180" w:type="dxa"/>
        <w:tblCellMar>
          <w:top w:w="0" w:type="dxa"/>
          <w:left w:w="0" w:type="dxa"/>
          <w:bottom w:w="0" w:type="dxa"/>
          <w:right w:w="0" w:type="dxa"/>
        </w:tblCellMar>
      </w:tblPr>
      <w:tr>
        <w:trPr>
          <w:trHeight w:val="171"/>
        </w:trPr>
        <w:tc>
          <w:tcPr>
            <w:tcW w:w="14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Semiconductor</w:t>
            </w:r>
          </w:p>
        </w:tc>
        <w:tc>
          <w:tcPr>
            <w:tcW w:w="2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Sensors &amp; Controls</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E&amp;PS</w:t>
            </w:r>
          </w:p>
        </w:tc>
        <w:tc>
          <w:tcPr>
            <w:tcW w:w="740" w:type="dxa"/>
            <w:vAlign w:val="bottom"/>
          </w:tcPr>
          <w:p>
            <w:pPr>
              <w:ind w:left="180"/>
              <w:spacing w:after="0"/>
              <w:rPr>
                <w:sz w:val="20"/>
                <w:szCs w:val="20"/>
                <w:color w:val="auto"/>
              </w:rPr>
            </w:pPr>
            <w:r>
              <w:rPr>
                <w:rFonts w:ascii="Courier New" w:cs="Courier New" w:eastAsia="Courier New" w:hAnsi="Courier New"/>
                <w:sz w:val="15"/>
                <w:szCs w:val="15"/>
                <w:color w:val="auto"/>
              </w:rPr>
              <w:t>Total</w:t>
            </w:r>
          </w:p>
        </w:tc>
      </w:tr>
      <w:tr>
        <w:trPr>
          <w:trHeight w:val="176"/>
        </w:trPr>
        <w:tc>
          <w:tcPr>
            <w:tcW w:w="14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180"/>
              <w:spacing w:after="0"/>
              <w:rPr>
                <w:sz w:val="20"/>
                <w:szCs w:val="20"/>
                <w:color w:val="auto"/>
              </w:rPr>
            </w:pPr>
            <w:r>
              <w:rPr>
                <w:rFonts w:ascii="Courier New" w:cs="Courier New" w:eastAsia="Courier New" w:hAnsi="Courier New"/>
                <w:sz w:val="15"/>
                <w:szCs w:val="15"/>
                <w:color w:val="auto"/>
                <w:w w:val="99"/>
              </w:rPr>
              <w:t>------</w:t>
            </w:r>
          </w:p>
        </w:tc>
      </w:tr>
      <w:tr>
        <w:trPr>
          <w:trHeight w:val="176"/>
        </w:trPr>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  611</w:t>
            </w:r>
          </w:p>
        </w:tc>
        <w:tc>
          <w:tcPr>
            <w:tcW w:w="20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  18</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w:t>
            </w:r>
          </w:p>
        </w:tc>
        <w:tc>
          <w:tcPr>
            <w:tcW w:w="740" w:type="dxa"/>
            <w:vAlign w:val="bottom"/>
          </w:tcPr>
          <w:p>
            <w:pPr>
              <w:ind w:left="180"/>
              <w:spacing w:after="0"/>
              <w:rPr>
                <w:sz w:val="20"/>
                <w:szCs w:val="20"/>
                <w:color w:val="auto"/>
              </w:rPr>
            </w:pPr>
            <w:r>
              <w:rPr>
                <w:rFonts w:ascii="Courier New" w:cs="Courier New" w:eastAsia="Courier New" w:hAnsi="Courier New"/>
                <w:sz w:val="15"/>
                <w:szCs w:val="15"/>
                <w:color w:val="auto"/>
                <w:w w:val="99"/>
              </w:rPr>
              <w:t>$  629</w:t>
            </w:r>
          </w:p>
        </w:tc>
      </w:tr>
      <w:tr>
        <w:trPr>
          <w:trHeight w:val="176"/>
        </w:trPr>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180"/>
              <w:spacing w:after="0"/>
              <w:rPr>
                <w:sz w:val="20"/>
                <w:szCs w:val="20"/>
                <w:color w:val="auto"/>
              </w:rPr>
            </w:pPr>
            <w:r>
              <w:rPr>
                <w:rFonts w:ascii="Courier New" w:cs="Courier New" w:eastAsia="Courier New" w:hAnsi="Courier New"/>
                <w:sz w:val="15"/>
                <w:szCs w:val="15"/>
                <w:color w:val="auto"/>
                <w:w w:val="99"/>
              </w:rPr>
              <w:t>======</w:t>
            </w:r>
          </w:p>
        </w:tc>
      </w:tr>
    </w:tbl>
    <w:p>
      <w:pPr>
        <w:spacing w:after="0" w:line="357"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The following table reflects the components of amortized intangible assets (in millions of dollars):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138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June 30, 2002</w:t>
            </w:r>
          </w:p>
        </w:tc>
        <w:tc>
          <w:tcPr>
            <w:tcW w:w="640" w:type="dxa"/>
            <w:vAlign w:val="bottom"/>
          </w:tcPr>
          <w:p>
            <w:pPr>
              <w:spacing w:after="0"/>
              <w:rPr>
                <w:sz w:val="14"/>
                <w:szCs w:val="14"/>
                <w:color w:val="auto"/>
              </w:rPr>
            </w:pPr>
          </w:p>
        </w:tc>
        <w:tc>
          <w:tcPr>
            <w:tcW w:w="170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January 1, 2002</w:t>
            </w:r>
          </w:p>
        </w:tc>
        <w:tc>
          <w:tcPr>
            <w:tcW w:w="580" w:type="dxa"/>
            <w:vAlign w:val="bottom"/>
          </w:tcPr>
          <w:p>
            <w:pPr>
              <w:spacing w:after="0"/>
              <w:rPr>
                <w:sz w:val="14"/>
                <w:szCs w:val="14"/>
                <w:color w:val="auto"/>
              </w:rPr>
            </w:pPr>
          </w:p>
        </w:tc>
      </w:tr>
      <w:tr>
        <w:trPr>
          <w:trHeight w:val="352"/>
        </w:trPr>
        <w:tc>
          <w:tcPr>
            <w:tcW w:w="2740" w:type="dxa"/>
            <w:vAlign w:val="bottom"/>
          </w:tcPr>
          <w:p>
            <w:pPr>
              <w:spacing w:after="0"/>
              <w:rPr>
                <w:sz w:val="24"/>
                <w:szCs w:val="24"/>
                <w:color w:val="auto"/>
              </w:rPr>
            </w:pPr>
          </w:p>
        </w:tc>
        <w:tc>
          <w:tcPr>
            <w:tcW w:w="102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5"/>
              </w:rPr>
              <w:t>----------------------</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80" w:type="dxa"/>
            <w:vAlign w:val="bottom"/>
            <w:gridSpan w:val="4"/>
          </w:tcPr>
          <w:p>
            <w:pPr>
              <w:ind w:left="460"/>
              <w:spacing w:after="0"/>
              <w:rPr>
                <w:sz w:val="20"/>
                <w:szCs w:val="20"/>
                <w:color w:val="auto"/>
              </w:rPr>
            </w:pPr>
            <w:r>
              <w:rPr>
                <w:rFonts w:ascii="Courier New" w:cs="Courier New" w:eastAsia="Courier New" w:hAnsi="Courier New"/>
                <w:sz w:val="15"/>
                <w:szCs w:val="15"/>
                <w:color w:val="auto"/>
                <w:w w:val="99"/>
              </w:rPr>
              <w:t>--------------------</w:t>
            </w:r>
          </w:p>
        </w:tc>
      </w:tr>
      <w:tr>
        <w:trPr>
          <w:trHeight w:val="176"/>
        </w:trPr>
        <w:tc>
          <w:tcPr>
            <w:tcW w:w="2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7"/>
              </w:rPr>
              <w:t>Gross</w:t>
            </w:r>
          </w:p>
        </w:tc>
        <w:tc>
          <w:tcPr>
            <w:tcW w:w="1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Gross</w:t>
            </w: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6"/>
        </w:trPr>
        <w:tc>
          <w:tcPr>
            <w:tcW w:w="2740" w:type="dxa"/>
            <w:vAlign w:val="bottom"/>
          </w:tcPr>
          <w:p>
            <w:pPr>
              <w:spacing w:after="0"/>
              <w:rPr>
                <w:sz w:val="15"/>
                <w:szCs w:val="15"/>
                <w:color w:val="auto"/>
              </w:rPr>
            </w:pPr>
          </w:p>
        </w:tc>
        <w:tc>
          <w:tcPr>
            <w:tcW w:w="102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Carrying</w:t>
            </w:r>
          </w:p>
        </w:tc>
        <w:tc>
          <w:tcPr>
            <w:tcW w:w="1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Accum.</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Carrying</w:t>
            </w:r>
          </w:p>
        </w:tc>
        <w:tc>
          <w:tcPr>
            <w:tcW w:w="1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Accum.</w:t>
            </w:r>
          </w:p>
        </w:tc>
      </w:tr>
      <w:tr>
        <w:trPr>
          <w:trHeight w:val="176"/>
        </w:trPr>
        <w:tc>
          <w:tcPr>
            <w:tcW w:w="2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9"/>
              </w:rPr>
              <w:t>Amount</w:t>
            </w:r>
          </w:p>
        </w:tc>
        <w:tc>
          <w:tcPr>
            <w:tcW w:w="1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Amort.</w:t>
            </w:r>
          </w:p>
        </w:tc>
        <w:tc>
          <w:tcPr>
            <w:tcW w:w="128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Amount</w:t>
            </w:r>
          </w:p>
        </w:tc>
        <w:tc>
          <w:tcPr>
            <w:tcW w:w="1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Amort.</w:t>
            </w:r>
          </w:p>
        </w:tc>
      </w:tr>
      <w:tr>
        <w:trPr>
          <w:trHeight w:val="176"/>
        </w:trPr>
        <w:tc>
          <w:tcPr>
            <w:tcW w:w="2740" w:type="dxa"/>
            <w:vAlign w:val="bottom"/>
          </w:tcPr>
          <w:p>
            <w:pPr>
              <w:spacing w:after="0"/>
              <w:rPr>
                <w:sz w:val="15"/>
                <w:szCs w:val="15"/>
                <w:color w:val="auto"/>
              </w:rPr>
            </w:pPr>
          </w:p>
        </w:tc>
        <w:tc>
          <w:tcPr>
            <w:tcW w:w="1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Amortized intangible assets: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6"/>
        </w:trPr>
        <w:tc>
          <w:tcPr>
            <w:tcW w:w="2740" w:type="dxa"/>
            <w:vAlign w:val="bottom"/>
          </w:tcPr>
          <w:p>
            <w:pPr>
              <w:ind w:left="180"/>
              <w:spacing w:after="0"/>
              <w:rPr>
                <w:sz w:val="20"/>
                <w:szCs w:val="20"/>
                <w:color w:val="auto"/>
              </w:rPr>
            </w:pPr>
            <w:r>
              <w:rPr>
                <w:rFonts w:ascii="Courier New" w:cs="Courier New" w:eastAsia="Courier New" w:hAnsi="Courier New"/>
                <w:sz w:val="15"/>
                <w:szCs w:val="15"/>
                <w:color w:val="auto"/>
              </w:rPr>
              <w:t>- Developed technology. . .</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249</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110</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213</w:t>
            </w:r>
          </w:p>
        </w:tc>
        <w:tc>
          <w:tcPr>
            <w:tcW w:w="4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98</w:t>
            </w:r>
          </w:p>
        </w:tc>
      </w:tr>
      <w:tr>
        <w:trPr>
          <w:trHeight w:val="176"/>
        </w:trPr>
        <w:tc>
          <w:tcPr>
            <w:tcW w:w="2740" w:type="dxa"/>
            <w:vAlign w:val="bottom"/>
          </w:tcPr>
          <w:p>
            <w:pPr>
              <w:ind w:left="180"/>
              <w:spacing w:after="0"/>
              <w:rPr>
                <w:sz w:val="20"/>
                <w:szCs w:val="20"/>
                <w:color w:val="auto"/>
              </w:rPr>
            </w:pPr>
            <w:r>
              <w:rPr>
                <w:rFonts w:ascii="Courier New" w:cs="Courier New" w:eastAsia="Courier New" w:hAnsi="Courier New"/>
                <w:sz w:val="15"/>
                <w:szCs w:val="15"/>
                <w:color w:val="auto"/>
              </w:rPr>
              <w:t>- Deferred compensation . .</w:t>
            </w:r>
          </w:p>
        </w:tc>
        <w:tc>
          <w:tcPr>
            <w:tcW w:w="180" w:type="dxa"/>
            <w:vAlign w:val="bottom"/>
          </w:tcPr>
          <w:p>
            <w:pPr>
              <w:spacing w:after="0"/>
              <w:rPr>
                <w:sz w:val="15"/>
                <w:szCs w:val="15"/>
                <w:color w:val="auto"/>
              </w:rPr>
            </w:pPr>
          </w:p>
        </w:tc>
        <w:tc>
          <w:tcPr>
            <w:tcW w:w="8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59</w:t>
            </w:r>
          </w:p>
        </w:tc>
        <w:tc>
          <w:tcPr>
            <w:tcW w:w="360" w:type="dxa"/>
            <w:vAlign w:val="bottom"/>
          </w:tcPr>
          <w:p>
            <w:pPr>
              <w:spacing w:after="0"/>
              <w:rPr>
                <w:sz w:val="15"/>
                <w:szCs w:val="15"/>
                <w:color w:val="auto"/>
              </w:rPr>
            </w:pP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54</w:t>
            </w:r>
          </w:p>
        </w:tc>
        <w:tc>
          <w:tcPr>
            <w:tcW w:w="740" w:type="dxa"/>
            <w:vAlign w:val="bottom"/>
          </w:tcPr>
          <w:p>
            <w:pPr>
              <w:spacing w:after="0"/>
              <w:rPr>
                <w:sz w:val="15"/>
                <w:szCs w:val="15"/>
                <w:color w:val="auto"/>
              </w:rPr>
            </w:pP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67</w:t>
            </w:r>
          </w:p>
        </w:tc>
        <w:tc>
          <w:tcPr>
            <w:tcW w:w="420" w:type="dxa"/>
            <w:vAlign w:val="bottom"/>
          </w:tcPr>
          <w:p>
            <w:pPr>
              <w:spacing w:after="0"/>
              <w:rPr>
                <w:sz w:val="15"/>
                <w:szCs w:val="15"/>
                <w:color w:val="auto"/>
              </w:rPr>
            </w:pPr>
          </w:p>
        </w:tc>
        <w:tc>
          <w:tcPr>
            <w:tcW w:w="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52</w:t>
            </w:r>
          </w:p>
        </w:tc>
      </w:tr>
      <w:tr>
        <w:trPr>
          <w:trHeight w:val="176"/>
        </w:trPr>
        <w:tc>
          <w:tcPr>
            <w:tcW w:w="2740" w:type="dxa"/>
            <w:vAlign w:val="bottom"/>
          </w:tcPr>
          <w:p>
            <w:pPr>
              <w:ind w:left="180"/>
              <w:spacing w:after="0"/>
              <w:rPr>
                <w:sz w:val="20"/>
                <w:szCs w:val="20"/>
                <w:color w:val="auto"/>
              </w:rPr>
            </w:pPr>
            <w:r>
              <w:rPr>
                <w:rFonts w:ascii="Courier New" w:cs="Courier New" w:eastAsia="Courier New" w:hAnsi="Courier New"/>
                <w:sz w:val="15"/>
                <w:szCs w:val="15"/>
                <w:color w:val="auto"/>
              </w:rPr>
              <w:t>- Non-compete agreement . .</w:t>
            </w:r>
          </w:p>
        </w:tc>
        <w:tc>
          <w:tcPr>
            <w:tcW w:w="180" w:type="dxa"/>
            <w:vAlign w:val="bottom"/>
          </w:tcPr>
          <w:p>
            <w:pPr>
              <w:spacing w:after="0"/>
              <w:rPr>
                <w:sz w:val="15"/>
                <w:szCs w:val="15"/>
                <w:color w:val="auto"/>
              </w:rPr>
            </w:pPr>
          </w:p>
        </w:tc>
        <w:tc>
          <w:tcPr>
            <w:tcW w:w="8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62</w:t>
            </w:r>
          </w:p>
        </w:tc>
        <w:tc>
          <w:tcPr>
            <w:tcW w:w="360" w:type="dxa"/>
            <w:vAlign w:val="bottom"/>
          </w:tcPr>
          <w:p>
            <w:pPr>
              <w:spacing w:after="0"/>
              <w:rPr>
                <w:sz w:val="15"/>
                <w:szCs w:val="15"/>
                <w:color w:val="auto"/>
              </w:rPr>
            </w:pP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37</w:t>
            </w:r>
          </w:p>
        </w:tc>
        <w:tc>
          <w:tcPr>
            <w:tcW w:w="740" w:type="dxa"/>
            <w:vAlign w:val="bottom"/>
          </w:tcPr>
          <w:p>
            <w:pPr>
              <w:spacing w:after="0"/>
              <w:rPr>
                <w:sz w:val="15"/>
                <w:szCs w:val="15"/>
                <w:color w:val="auto"/>
              </w:rPr>
            </w:pP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w:t>
            </w:r>
          </w:p>
        </w:tc>
        <w:tc>
          <w:tcPr>
            <w:tcW w:w="420" w:type="dxa"/>
            <w:vAlign w:val="bottom"/>
          </w:tcPr>
          <w:p>
            <w:pPr>
              <w:spacing w:after="0"/>
              <w:rPr>
                <w:sz w:val="15"/>
                <w:szCs w:val="15"/>
                <w:color w:val="auto"/>
              </w:rPr>
            </w:pPr>
          </w:p>
        </w:tc>
        <w:tc>
          <w:tcPr>
            <w:tcW w:w="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33</w:t>
            </w:r>
          </w:p>
        </w:tc>
      </w:tr>
      <w:tr>
        <w:trPr>
          <w:trHeight w:val="176"/>
        </w:trPr>
        <w:tc>
          <w:tcPr>
            <w:tcW w:w="2740" w:type="dxa"/>
            <w:vAlign w:val="bottom"/>
          </w:tcPr>
          <w:p>
            <w:pPr>
              <w:ind w:left="180"/>
              <w:spacing w:after="0"/>
              <w:rPr>
                <w:sz w:val="20"/>
                <w:szCs w:val="20"/>
                <w:color w:val="auto"/>
              </w:rPr>
            </w:pPr>
            <w:r>
              <w:rPr>
                <w:rFonts w:ascii="Courier New" w:cs="Courier New" w:eastAsia="Courier New" w:hAnsi="Courier New"/>
                <w:sz w:val="15"/>
                <w:szCs w:val="15"/>
                <w:color w:val="auto"/>
              </w:rPr>
              <w:t>- Other . . . . . . . . . .</w:t>
            </w:r>
          </w:p>
        </w:tc>
        <w:tc>
          <w:tcPr>
            <w:tcW w:w="180" w:type="dxa"/>
            <w:vAlign w:val="bottom"/>
          </w:tcPr>
          <w:p>
            <w:pPr>
              <w:spacing w:after="0"/>
              <w:rPr>
                <w:sz w:val="15"/>
                <w:szCs w:val="15"/>
                <w:color w:val="auto"/>
              </w:rPr>
            </w:pPr>
          </w:p>
        </w:tc>
        <w:tc>
          <w:tcPr>
            <w:tcW w:w="8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118</w:t>
            </w:r>
          </w:p>
        </w:tc>
        <w:tc>
          <w:tcPr>
            <w:tcW w:w="360" w:type="dxa"/>
            <w:vAlign w:val="bottom"/>
          </w:tcPr>
          <w:p>
            <w:pPr>
              <w:spacing w:after="0"/>
              <w:rPr>
                <w:sz w:val="15"/>
                <w:szCs w:val="15"/>
                <w:color w:val="auto"/>
              </w:rPr>
            </w:pP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70</w:t>
            </w:r>
          </w:p>
        </w:tc>
        <w:tc>
          <w:tcPr>
            <w:tcW w:w="740" w:type="dxa"/>
            <w:vAlign w:val="bottom"/>
          </w:tcPr>
          <w:p>
            <w:pPr>
              <w:spacing w:after="0"/>
              <w:rPr>
                <w:sz w:val="15"/>
                <w:szCs w:val="15"/>
                <w:color w:val="auto"/>
              </w:rPr>
            </w:pP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113</w:t>
            </w:r>
          </w:p>
        </w:tc>
        <w:tc>
          <w:tcPr>
            <w:tcW w:w="420" w:type="dxa"/>
            <w:vAlign w:val="bottom"/>
          </w:tcPr>
          <w:p>
            <w:pPr>
              <w:spacing w:after="0"/>
              <w:rPr>
                <w:sz w:val="15"/>
                <w:szCs w:val="15"/>
                <w:color w:val="auto"/>
              </w:rPr>
            </w:pPr>
          </w:p>
        </w:tc>
        <w:tc>
          <w:tcPr>
            <w:tcW w:w="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63</w:t>
            </w:r>
          </w:p>
        </w:tc>
      </w:tr>
      <w:tr>
        <w:trPr>
          <w:trHeight w:val="176"/>
        </w:trPr>
        <w:tc>
          <w:tcPr>
            <w:tcW w:w="2740" w:type="dxa"/>
            <w:vAlign w:val="bottom"/>
          </w:tcPr>
          <w:p>
            <w:pPr>
              <w:spacing w:after="0"/>
              <w:rPr>
                <w:sz w:val="15"/>
                <w:szCs w:val="15"/>
                <w:color w:val="auto"/>
              </w:rPr>
            </w:pPr>
          </w:p>
        </w:tc>
        <w:tc>
          <w:tcPr>
            <w:tcW w:w="102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ind w:left="180"/>
              <w:spacing w:after="0"/>
              <w:rPr>
                <w:sz w:val="20"/>
                <w:szCs w:val="20"/>
                <w:color w:val="auto"/>
              </w:rPr>
            </w:pPr>
            <w:r>
              <w:rPr>
                <w:rFonts w:ascii="Courier New" w:cs="Courier New" w:eastAsia="Courier New" w:hAnsi="Courier New"/>
                <w:sz w:val="15"/>
                <w:szCs w:val="15"/>
                <w:color w:val="auto"/>
              </w:rPr>
              <w:t>Total . . . . . . . . . . .</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488</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271</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452</w:t>
            </w:r>
          </w:p>
        </w:tc>
        <w:tc>
          <w:tcPr>
            <w:tcW w:w="4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246</w:t>
            </w:r>
          </w:p>
        </w:tc>
      </w:tr>
      <w:tr>
        <w:trPr>
          <w:trHeight w:val="176"/>
        </w:trPr>
        <w:tc>
          <w:tcPr>
            <w:tcW w:w="2740" w:type="dxa"/>
            <w:vAlign w:val="bottom"/>
          </w:tcPr>
          <w:p>
            <w:pPr>
              <w:spacing w:after="0"/>
              <w:rPr>
                <w:sz w:val="15"/>
                <w:szCs w:val="15"/>
                <w:color w:val="auto"/>
              </w:rPr>
            </w:pPr>
          </w:p>
        </w:tc>
        <w:tc>
          <w:tcPr>
            <w:tcW w:w="102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Amortization expense on intangible assets (including deferred</w:t>
      </w:r>
    </w:p>
    <w:p>
      <w:pPr>
        <w:spacing w:after="0" w:line="6" w:lineRule="exact"/>
        <w:rPr>
          <w:sz w:val="20"/>
          <w:szCs w:val="20"/>
          <w:color w:val="auto"/>
        </w:rPr>
      </w:pPr>
    </w:p>
    <w:p>
      <w:pPr>
        <w:jc w:val="both"/>
        <w:ind w:right="3179"/>
        <w:spacing w:after="0" w:line="250" w:lineRule="auto"/>
        <w:rPr>
          <w:sz w:val="20"/>
          <w:szCs w:val="20"/>
          <w:color w:val="auto"/>
        </w:rPr>
      </w:pPr>
      <w:r>
        <w:rPr>
          <w:rFonts w:ascii="Courier New" w:cs="Courier New" w:eastAsia="Courier New" w:hAnsi="Courier New"/>
          <w:sz w:val="15"/>
          <w:szCs w:val="15"/>
          <w:color w:val="auto"/>
        </w:rPr>
        <w:t>compensation in stockholders' equity) was $29 million and $31 million for the quarters ended June 30, 2002 and 2001.</w:t>
      </w:r>
    </w:p>
    <w:p>
      <w:pPr>
        <w:spacing w:after="0" w:line="175"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The following sets forth the estimated amortization expense on intangible assets for the fiscal years ended December 31 (in millions of dollars):</w:t>
      </w:r>
    </w:p>
    <w:p>
      <w:pPr>
        <w:spacing w:after="0" w:line="175"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$113</w:t>
      </w:r>
    </w:p>
    <w:p>
      <w:pPr>
        <w:spacing w:after="0" w:line="6"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5"/>
          <w:szCs w:val="15"/>
          <w:color w:val="auto"/>
        </w:rPr>
        <w:t>2003</w:t>
      </w:r>
      <w:r>
        <w:rPr>
          <w:sz w:val="20"/>
          <w:szCs w:val="20"/>
          <w:color w:val="auto"/>
        </w:rPr>
        <w:tab/>
      </w:r>
      <w:r>
        <w:rPr>
          <w:rFonts w:ascii="Courier New" w:cs="Courier New" w:eastAsia="Courier New" w:hAnsi="Courier New"/>
          <w:sz w:val="15"/>
          <w:szCs w:val="15"/>
          <w:color w:val="auto"/>
        </w:rPr>
        <w:t>85</w:t>
      </w:r>
    </w:p>
    <w:p>
      <w:pPr>
        <w:spacing w:after="0" w:line="6"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5"/>
          <w:szCs w:val="15"/>
          <w:color w:val="auto"/>
        </w:rPr>
        <w:t>2004</w:t>
      </w:r>
      <w:r>
        <w:rPr>
          <w:sz w:val="20"/>
          <w:szCs w:val="20"/>
          <w:color w:val="auto"/>
        </w:rPr>
        <w:tab/>
      </w:r>
      <w:r>
        <w:rPr>
          <w:rFonts w:ascii="Courier New" w:cs="Courier New" w:eastAsia="Courier New" w:hAnsi="Courier New"/>
          <w:sz w:val="15"/>
          <w:szCs w:val="15"/>
          <w:color w:val="auto"/>
        </w:rPr>
        <w:t>54</w:t>
      </w:r>
    </w:p>
    <w:p>
      <w:pPr>
        <w:spacing w:after="0" w:line="6"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5"/>
          <w:szCs w:val="15"/>
          <w:color w:val="auto"/>
        </w:rPr>
        <w:t>2005</w:t>
      </w:r>
      <w:r>
        <w:rPr>
          <w:sz w:val="20"/>
          <w:szCs w:val="20"/>
          <w:color w:val="auto"/>
        </w:rPr>
        <w:tab/>
      </w:r>
      <w:r>
        <w:rPr>
          <w:rFonts w:ascii="Courier New" w:cs="Courier New" w:eastAsia="Courier New" w:hAnsi="Courier New"/>
          <w:sz w:val="15"/>
          <w:szCs w:val="15"/>
          <w:color w:val="auto"/>
        </w:rPr>
        <w:t>37</w:t>
      </w:r>
    </w:p>
    <w:p>
      <w:pPr>
        <w:spacing w:after="0" w:line="6"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5"/>
          <w:szCs w:val="15"/>
          <w:color w:val="auto"/>
        </w:rPr>
        <w:t>2006</w:t>
      </w:r>
      <w:r>
        <w:rPr>
          <w:sz w:val="20"/>
          <w:szCs w:val="20"/>
          <w:color w:val="auto"/>
        </w:rPr>
        <w:tab/>
      </w:r>
      <w:r>
        <w:rPr>
          <w:rFonts w:ascii="Courier New" w:cs="Courier New" w:eastAsia="Courier New" w:hAnsi="Courier New"/>
          <w:sz w:val="15"/>
          <w:szCs w:val="15"/>
          <w:color w:val="auto"/>
        </w:rPr>
        <w:t>30</w:t>
      </w:r>
    </w:p>
    <w:p>
      <w:pPr>
        <w:spacing w:after="0" w:line="182" w:lineRule="exact"/>
        <w:rPr>
          <w:sz w:val="20"/>
          <w:szCs w:val="20"/>
          <w:color w:val="auto"/>
        </w:rPr>
      </w:pPr>
    </w:p>
    <w:p>
      <w:pPr>
        <w:jc w:val="both"/>
        <w:ind w:right="3179"/>
        <w:spacing w:after="0" w:line="249" w:lineRule="auto"/>
        <w:rPr>
          <w:sz w:val="20"/>
          <w:szCs w:val="20"/>
          <w:color w:val="auto"/>
        </w:rPr>
      </w:pPr>
      <w:r>
        <w:rPr>
          <w:rFonts w:ascii="Courier New" w:cs="Courier New" w:eastAsia="Courier New" w:hAnsi="Courier New"/>
          <w:sz w:val="15"/>
          <w:szCs w:val="15"/>
          <w:color w:val="auto"/>
        </w:rPr>
        <w:t>The company completed its acquisition of Condat during the quarter ended June 30, 2002. The following table contains a summary of the intangibles acquired (in millions of dollars).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2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Amortization</w:t>
            </w:r>
          </w:p>
        </w:tc>
      </w:tr>
      <w:tr>
        <w:trPr>
          <w:trHeight w:val="176"/>
        </w:trPr>
        <w:tc>
          <w:tcPr>
            <w:tcW w:w="2060" w:type="dxa"/>
            <w:vAlign w:val="bottom"/>
          </w:tcPr>
          <w:p>
            <w:pPr>
              <w:spacing w:after="0"/>
              <w:rPr>
                <w:sz w:val="20"/>
                <w:szCs w:val="20"/>
                <w:color w:val="auto"/>
              </w:rPr>
            </w:pPr>
            <w:r>
              <w:rPr>
                <w:rFonts w:ascii="Courier New" w:cs="Courier New" w:eastAsia="Courier New" w:hAnsi="Courier New"/>
                <w:sz w:val="15"/>
                <w:szCs w:val="15"/>
                <w:color w:val="auto"/>
              </w:rPr>
              <w:t>Intangible Assets</w:t>
            </w:r>
          </w:p>
        </w:tc>
        <w:tc>
          <w:tcPr>
            <w:tcW w:w="10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Amount</w:t>
            </w:r>
          </w:p>
        </w:tc>
        <w:tc>
          <w:tcPr>
            <w:tcW w:w="152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Lives</w:t>
            </w:r>
          </w:p>
        </w:tc>
      </w:tr>
      <w:tr>
        <w:trPr>
          <w:trHeight w:val="176"/>
        </w:trPr>
        <w:tc>
          <w:tcPr>
            <w:tcW w:w="20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w:t>
            </w:r>
          </w:p>
        </w:tc>
      </w:tr>
      <w:tr>
        <w:trPr>
          <w:trHeight w:val="176"/>
        </w:trPr>
        <w:tc>
          <w:tcPr>
            <w:tcW w:w="2060" w:type="dxa"/>
            <w:vAlign w:val="bottom"/>
          </w:tcPr>
          <w:p>
            <w:pPr>
              <w:spacing w:after="0"/>
              <w:rPr>
                <w:sz w:val="20"/>
                <w:szCs w:val="20"/>
                <w:color w:val="auto"/>
              </w:rPr>
            </w:pPr>
            <w:r>
              <w:rPr>
                <w:rFonts w:ascii="Courier New" w:cs="Courier New" w:eastAsia="Courier New" w:hAnsi="Courier New"/>
                <w:sz w:val="15"/>
                <w:szCs w:val="15"/>
                <w:color w:val="auto"/>
              </w:rPr>
              <w:t>Developed Technology</w:t>
            </w:r>
          </w:p>
        </w:tc>
        <w:tc>
          <w:tcPr>
            <w:tcW w:w="10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26</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years</w:t>
            </w:r>
          </w:p>
        </w:tc>
      </w:tr>
      <w:tr>
        <w:trPr>
          <w:trHeight w:val="176"/>
        </w:trPr>
        <w:tc>
          <w:tcPr>
            <w:tcW w:w="2060" w:type="dxa"/>
            <w:vAlign w:val="bottom"/>
          </w:tcPr>
          <w:p>
            <w:pPr>
              <w:spacing w:after="0"/>
              <w:rPr>
                <w:sz w:val="20"/>
                <w:szCs w:val="20"/>
                <w:color w:val="auto"/>
              </w:rPr>
            </w:pPr>
            <w:r>
              <w:rPr>
                <w:rFonts w:ascii="Courier New" w:cs="Courier New" w:eastAsia="Courier New" w:hAnsi="Courier New"/>
                <w:sz w:val="15"/>
                <w:szCs w:val="15"/>
                <w:color w:val="auto"/>
              </w:rPr>
              <w:t>Customer Relationship</w:t>
            </w:r>
          </w:p>
        </w:tc>
        <w:tc>
          <w:tcPr>
            <w:tcW w:w="10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years</w:t>
            </w:r>
          </w:p>
        </w:tc>
      </w:tr>
      <w:tr>
        <w:trPr>
          <w:trHeight w:val="176"/>
        </w:trPr>
        <w:tc>
          <w:tcPr>
            <w:tcW w:w="2060" w:type="dxa"/>
            <w:vAlign w:val="bottom"/>
          </w:tcPr>
          <w:p>
            <w:pPr>
              <w:spacing w:after="0"/>
              <w:rPr>
                <w:sz w:val="20"/>
                <w:szCs w:val="20"/>
                <w:color w:val="auto"/>
              </w:rPr>
            </w:pPr>
            <w:r>
              <w:rPr>
                <w:rFonts w:ascii="Courier New" w:cs="Courier New" w:eastAsia="Courier New" w:hAnsi="Courier New"/>
                <w:sz w:val="15"/>
                <w:szCs w:val="15"/>
                <w:color w:val="auto"/>
              </w:rPr>
              <w:t>Non-Compete Agreements</w:t>
            </w:r>
          </w:p>
        </w:tc>
        <w:tc>
          <w:tcPr>
            <w:tcW w:w="10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years</w:t>
            </w:r>
          </w:p>
        </w:tc>
      </w:tr>
      <w:tr>
        <w:trPr>
          <w:trHeight w:val="352"/>
        </w:trPr>
        <w:tc>
          <w:tcPr>
            <w:tcW w:w="2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11</w:t>
            </w:r>
          </w:p>
        </w:tc>
      </w:tr>
    </w:tbl>
    <w:p>
      <w:pPr>
        <w:sectPr>
          <w:pgSz w:w="11900" w:h="16838" w:orient="portrait"/>
          <w:cols w:equalWidth="0" w:num="1">
            <w:col w:w="10219"/>
          </w:cols>
          <w:pgMar w:left="240" w:top="647" w:right="1440" w:bottom="1440" w:gutter="0" w:footer="0" w:header="0"/>
        </w:sectPr>
      </w:pPr>
    </w:p>
    <w:bookmarkStart w:id="11" w:name="page12"/>
    <w:bookmarkEnd w:id="11"/>
    <w:p>
      <w:pPr>
        <w:ind w:right="2979"/>
        <w:spacing w:after="0" w:line="250"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Registrant (the "company" or "TI") announced that its second-quarter revenue increased 18 percent sequentially and 6 percent compared with the year-ago period.</w:t>
      </w:r>
    </w:p>
    <w:p>
      <w:pPr>
        <w:spacing w:after="0" w:line="17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Sequential revenue growth of $335 million was driven by double-digit percentage gains in all of TI's business segments - Semiconductor, Sensors &amp; Controls, and Educational &amp; Productivity Solutions (E&amp;PS). Semiconductor was the largest contributor, with a sequential revenue increase of $246 million, or 16 percent. Revenue for the quarter includes $30 million in catch-up royalties from a new semiconductor cross-license agreement.</w:t>
      </w:r>
    </w:p>
    <w:p>
      <w:pPr>
        <w:spacing w:after="0" w:line="176" w:lineRule="exact"/>
        <w:rPr>
          <w:sz w:val="20"/>
          <w:szCs w:val="20"/>
          <w:color w:val="auto"/>
        </w:rPr>
      </w:pPr>
    </w:p>
    <w:p>
      <w:pPr>
        <w:ind w:right="3259"/>
        <w:spacing w:after="0" w:line="249" w:lineRule="auto"/>
        <w:rPr>
          <w:sz w:val="20"/>
          <w:szCs w:val="20"/>
          <w:color w:val="auto"/>
        </w:rPr>
      </w:pPr>
      <w:r>
        <w:rPr>
          <w:rFonts w:ascii="Courier New" w:cs="Courier New" w:eastAsia="Courier New" w:hAnsi="Courier New"/>
          <w:sz w:val="15"/>
          <w:szCs w:val="15"/>
          <w:color w:val="auto"/>
        </w:rPr>
        <w:t>Compared with the year-ago quarter, TI revenue was up $125 million, or 6 percent, based on 6 percent growth in Semiconductor and 16 percent growth in E&amp;PS.</w:t>
      </w:r>
    </w:p>
    <w:p>
      <w:pPr>
        <w:spacing w:after="0" w:line="17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Operating profit and margin increased sequentially due to increased revenue in the second quarter of 2002. Compared with the year-ago period, the increase in operating profit was substantially greater than the increase in revenue, due to lower severance charges resulting from restructuring activities and higher semiconductor factory utilization and cost reductions in the second quarter of 2002.</w:t>
      </w:r>
    </w:p>
    <w:p>
      <w:pPr>
        <w:spacing w:after="0" w:line="176" w:lineRule="exact"/>
        <w:rPr>
          <w:sz w:val="20"/>
          <w:szCs w:val="20"/>
          <w:color w:val="auto"/>
        </w:rPr>
      </w:pPr>
    </w:p>
    <w:p>
      <w:pPr>
        <w:jc w:val="both"/>
        <w:ind w:right="3179"/>
        <w:spacing w:after="0" w:line="249" w:lineRule="auto"/>
        <w:rPr>
          <w:sz w:val="20"/>
          <w:szCs w:val="20"/>
          <w:color w:val="auto"/>
        </w:rPr>
      </w:pPr>
      <w:r>
        <w:rPr>
          <w:rFonts w:ascii="Courier New" w:cs="Courier New" w:eastAsia="Courier New" w:hAnsi="Courier New"/>
          <w:sz w:val="15"/>
          <w:szCs w:val="15"/>
          <w:color w:val="auto"/>
        </w:rPr>
        <w:t>Other income (expense)/interest was negative in the quarter due to a non-cash charge of $96 million to write down certain equity holdings in the company's investment portfolio.</w:t>
      </w:r>
    </w:p>
    <w:p>
      <w:pPr>
        <w:spacing w:after="0" w:line="176"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Net income was $95 million. EPS (earnings per share) was $0.05. The investment write-downs reduced earnings by 4 cents per share. The catch-up royalties increased EPS by 1 cent.</w:t>
      </w:r>
    </w:p>
    <w:p>
      <w:pPr>
        <w:spacing w:after="0" w:line="17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Orders of $2292 million in the second quarter increased 20 percent sequentially and 34 percent from the year-ago period. Semiconductor orders of $1876 million were up 22 percent sequentially and 42 percent from the year-ago period. TI and Semiconductor book-to-bill increased sequentially.</w:t>
      </w:r>
    </w:p>
    <w:p>
      <w:pPr>
        <w:spacing w:after="0" w:line="176"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5"/>
          <w:szCs w:val="15"/>
          <w:color w:val="auto"/>
        </w:rPr>
        <w:t>SUMMARY OF FINANCIAL</w:t>
        <w:tab/>
        <w:t>RESULTS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second quarter of 2002, TI reported the following:</w:t>
      </w:r>
    </w:p>
    <w:p>
      <w:pPr>
        <w:spacing w:after="0" w:line="182" w:lineRule="exact"/>
        <w:rPr>
          <w:sz w:val="20"/>
          <w:szCs w:val="20"/>
          <w:color w:val="auto"/>
        </w:rPr>
      </w:pPr>
    </w:p>
    <w:p>
      <w:pPr>
        <w:ind w:left="920" w:right="3439" w:hanging="468"/>
        <w:spacing w:after="0" w:line="249" w:lineRule="auto"/>
        <w:tabs>
          <w:tab w:leader="none" w:pos="9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revenue for TI was $2162 million, up 6 percent from $2037 million in the year-ago quarter, and up 18 percent sequentially, primarily due to higher Semiconductor shipments.</w:t>
      </w:r>
    </w:p>
    <w:p>
      <w:pPr>
        <w:spacing w:after="0" w:line="175" w:lineRule="exact"/>
        <w:rPr>
          <w:rFonts w:ascii="Courier New" w:cs="Courier New" w:eastAsia="Courier New" w:hAnsi="Courier New"/>
          <w:sz w:val="15"/>
          <w:szCs w:val="15"/>
          <w:color w:val="auto"/>
        </w:rPr>
      </w:pPr>
    </w:p>
    <w:p>
      <w:pPr>
        <w:ind w:left="920" w:right="3079" w:hanging="468"/>
        <w:spacing w:after="0" w:line="249" w:lineRule="auto"/>
        <w:tabs>
          <w:tab w:leader="none" w:pos="9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 of revenues in the second quarter was $1306 million, compared with $1523 million in the year-ago quarter. Cost of revenues as a percent of revenue decreased, reflecting lower restructuring charges and increased factory utilization.</w:t>
      </w:r>
    </w:p>
    <w:p>
      <w:pPr>
        <w:spacing w:after="0" w:line="175" w:lineRule="exact"/>
        <w:rPr>
          <w:rFonts w:ascii="Courier New" w:cs="Courier New" w:eastAsia="Courier New" w:hAnsi="Courier New"/>
          <w:sz w:val="15"/>
          <w:szCs w:val="15"/>
          <w:color w:val="auto"/>
        </w:rPr>
      </w:pPr>
    </w:p>
    <w:p>
      <w:pPr>
        <w:ind w:left="920" w:right="3179" w:hanging="468"/>
        <w:spacing w:after="0" w:line="249" w:lineRule="auto"/>
        <w:tabs>
          <w:tab w:leader="none" w:pos="9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and development (R&amp;D) totaled $404 million, down from $412 million in the second quarter of 2001 due to lower restructuring charges and lower amortization of acquisition-related intangibles.</w:t>
      </w:r>
    </w:p>
    <w:p>
      <w:pPr>
        <w:spacing w:after="0" w:line="175" w:lineRule="exact"/>
        <w:rPr>
          <w:rFonts w:ascii="Courier New" w:cs="Courier New" w:eastAsia="Courier New" w:hAnsi="Courier New"/>
          <w:sz w:val="15"/>
          <w:szCs w:val="15"/>
          <w:color w:val="auto"/>
        </w:rPr>
      </w:pPr>
    </w:p>
    <w:p>
      <w:pPr>
        <w:ind w:left="920" w:right="3079" w:hanging="468"/>
        <w:spacing w:after="0" w:line="248" w:lineRule="auto"/>
        <w:tabs>
          <w:tab w:leader="none" w:pos="9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Selling, general and administrative expense in the quarter was $297 million, down from $400 million in the year-ago quarter due to lower restructuring charges and cessation of amortization of goodwill in accordance with Statement of Financial Accounting Standards</w:t>
      </w:r>
    </w:p>
    <w:p>
      <w:pPr>
        <w:spacing w:after="0" w:line="2" w:lineRule="exact"/>
        <w:rPr>
          <w:rFonts w:ascii="Courier New" w:cs="Courier New" w:eastAsia="Courier New" w:hAnsi="Courier New"/>
          <w:sz w:val="15"/>
          <w:szCs w:val="15"/>
          <w:color w:val="auto"/>
        </w:rPr>
      </w:pPr>
    </w:p>
    <w:p>
      <w:pPr>
        <w:ind w:left="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(SFAS) 142.</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47" w:right="1440" w:bottom="1440" w:gutter="0" w:footer="0" w:header="0"/>
        </w:sectPr>
      </w:pPr>
    </w:p>
    <w:bookmarkStart w:id="12" w:name="page13"/>
    <w:bookmarkEnd w:id="12"/>
    <w:p>
      <w:pPr>
        <w:ind w:left="920" w:right="2899" w:hanging="468"/>
        <w:spacing w:after="0" w:line="249" w:lineRule="auto"/>
        <w:tabs>
          <w:tab w:leader="none" w:pos="9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income (expense) net decreased from $57 million in the second quarter of 2001 to $(24) million in the second quarter of 2002, due to increased investment write-downs.</w:t>
      </w:r>
    </w:p>
    <w:p>
      <w:pPr>
        <w:spacing w:after="0" w:line="175" w:lineRule="exact"/>
        <w:rPr>
          <w:rFonts w:ascii="Courier New" w:cs="Courier New" w:eastAsia="Courier New" w:hAnsi="Courier New"/>
          <w:sz w:val="15"/>
          <w:szCs w:val="15"/>
          <w:color w:val="auto"/>
        </w:rPr>
      </w:pPr>
    </w:p>
    <w:p>
      <w:pPr>
        <w:ind w:left="920" w:hanging="468"/>
        <w:spacing w:after="0"/>
        <w:tabs>
          <w:tab w:leader="none" w:pos="9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 income tax rate for the quarter was 19 percent.</w:t>
      </w:r>
    </w:p>
    <w:p>
      <w:pPr>
        <w:spacing w:after="0" w:line="182" w:lineRule="exact"/>
        <w:rPr>
          <w:rFonts w:ascii="Courier New" w:cs="Courier New" w:eastAsia="Courier New" w:hAnsi="Courier New"/>
          <w:sz w:val="15"/>
          <w:szCs w:val="15"/>
          <w:color w:val="auto"/>
        </w:rPr>
      </w:pPr>
    </w:p>
    <w:p>
      <w:pPr>
        <w:ind w:left="920" w:right="2899" w:hanging="468"/>
        <w:spacing w:after="0" w:line="249" w:lineRule="auto"/>
        <w:tabs>
          <w:tab w:leader="none" w:pos="9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 orders in the second quarter were $2292 million, up from $1704 million in the year-ago quarter and $1905 million in the first quarter due to growth in Semiconductor.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concerning special charges, gains and other items is on pages 16-17.</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OUTLOOK</w:t>
      </w:r>
    </w:p>
    <w:p>
      <w:pPr>
        <w:spacing w:after="0" w:line="182" w:lineRule="exact"/>
        <w:rPr>
          <w:sz w:val="20"/>
          <w:szCs w:val="20"/>
          <w:color w:val="auto"/>
        </w:rPr>
      </w:pPr>
    </w:p>
    <w:p>
      <w:pPr>
        <w:jc w:val="both"/>
        <w:ind w:right="3079"/>
        <w:spacing w:after="0" w:line="250" w:lineRule="auto"/>
        <w:rPr>
          <w:sz w:val="20"/>
          <w:szCs w:val="20"/>
          <w:color w:val="auto"/>
        </w:rPr>
      </w:pPr>
      <w:r>
        <w:rPr>
          <w:rFonts w:ascii="Courier New" w:cs="Courier New" w:eastAsia="Courier New" w:hAnsi="Courier New"/>
          <w:sz w:val="15"/>
          <w:szCs w:val="15"/>
          <w:color w:val="auto"/>
        </w:rPr>
        <w:t>Stabilizing inventory at the company's customers means that in the second half of 2002, TI should be generally shipping close to the same rate as end demand.</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For the third quarter of 2002: TI expects revenue to grow about 5 percent sequentially (or about 6 percent excluding the $30 million in catch-up royalties included in second-quarter revenue). Semiconductor revenue is expected to grow about 4 percent sequentially (or about 6 percent excluding the catch-up royalties), Sensors &amp; Controls revenue is expected to seasonally decline a few percentage points, and E&amp;PS revenue is expected to seasonally increase about 25 percent.</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Operating margin in the third quarter should increase 1 to 2 percentage points. Other income/interest is expected to be about $10 million. EPS is expected to be about $0.09.</w:t>
      </w:r>
    </w:p>
    <w:p>
      <w:pPr>
        <w:spacing w:after="0" w:line="176"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For 2002, TI expects R&amp;D to be about $1.6 billion. Capital expenditures are expected to be about $800 million in 2002, and depreciation is expected to be about $1.6 billion.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2002 effective income tax rate is expected to be about 18 percent.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SEMICONDUCTOR</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Semiconductor revenue in the second quarter was $1764 million, up from $1657 million in the year-ago quarter, due to growth in DSP. Second-quarter revenue was up from $1518 million in the prior quarter due to increased shipments across the breadth of Semiconductor products.</w:t>
      </w:r>
    </w:p>
    <w:p>
      <w:pPr>
        <w:spacing w:after="0" w:line="176"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Semiconductor operating profit for the second quarter was $132 million, or 7.5 percent of revenue, up from an operating loss of $37 million in the year-ago quarter due to higher factory utilization and revenue growth, and up from an operating loss of $27 million in the prior quarter due to increased revenue.</w:t>
      </w:r>
    </w:p>
    <w:p>
      <w:pPr>
        <w:spacing w:after="0" w:line="176" w:lineRule="exact"/>
        <w:rPr>
          <w:sz w:val="20"/>
          <w:szCs w:val="20"/>
          <w:color w:val="auto"/>
        </w:rPr>
      </w:pPr>
    </w:p>
    <w:p>
      <w:pPr>
        <w:jc w:val="both"/>
        <w:ind w:right="3719"/>
        <w:spacing w:after="0" w:line="249" w:lineRule="auto"/>
        <w:rPr>
          <w:sz w:val="20"/>
          <w:szCs w:val="20"/>
          <w:color w:val="auto"/>
        </w:rPr>
      </w:pPr>
      <w:r>
        <w:rPr>
          <w:rFonts w:ascii="Courier New" w:cs="Courier New" w:eastAsia="Courier New" w:hAnsi="Courier New"/>
          <w:sz w:val="15"/>
          <w:szCs w:val="15"/>
          <w:color w:val="auto"/>
        </w:rPr>
        <w:t>Analog revenue was up 3 percent from the year-ago period and 16 percent sequentially. Growth in Analog was broad-based and included 25 percent sequential growth in high-performance Analog product revenue.</w:t>
      </w:r>
    </w:p>
    <w:p>
      <w:pPr>
        <w:spacing w:after="0" w:line="176" w:lineRule="exact"/>
        <w:rPr>
          <w:sz w:val="20"/>
          <w:szCs w:val="20"/>
          <w:color w:val="auto"/>
        </w:rPr>
      </w:pPr>
    </w:p>
    <w:p>
      <w:pPr>
        <w:ind w:right="3619"/>
        <w:spacing w:after="0" w:line="250" w:lineRule="auto"/>
        <w:rPr>
          <w:sz w:val="20"/>
          <w:szCs w:val="20"/>
          <w:color w:val="auto"/>
        </w:rPr>
      </w:pPr>
      <w:r>
        <w:rPr>
          <w:rFonts w:ascii="Courier New" w:cs="Courier New" w:eastAsia="Courier New" w:hAnsi="Courier New"/>
          <w:sz w:val="15"/>
          <w:szCs w:val="15"/>
          <w:color w:val="auto"/>
        </w:rPr>
        <w:t>DSP revenue increased 41 percent from the year-ago quarter and 8 percent sequentially, primarily due to wireless.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47" w:right="1440" w:bottom="1440" w:gutter="0" w:footer="0" w:header="0"/>
        </w:sectPr>
      </w:pPr>
    </w:p>
    <w:bookmarkStart w:id="13" w:name="page14"/>
    <w:bookmarkEnd w:id="13"/>
    <w:p>
      <w:pPr>
        <w:ind w:right="3359"/>
        <w:spacing w:after="0" w:line="250" w:lineRule="auto"/>
        <w:rPr>
          <w:sz w:val="20"/>
          <w:szCs w:val="20"/>
          <w:color w:val="auto"/>
        </w:rPr>
      </w:pPr>
      <w:r>
        <w:rPr>
          <w:rFonts w:ascii="Courier New" w:cs="Courier New" w:eastAsia="Courier New" w:hAnsi="Courier New"/>
          <w:sz w:val="15"/>
          <w:szCs w:val="15"/>
          <w:color w:val="auto"/>
        </w:rPr>
        <w:t>TI's remaining Semiconductor revenue decreased 11 percent from the year-ago quarter and increased 26 percent sequentially.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TI's Semiconductor revenue in key markets was as follows:</w:t>
      </w:r>
    </w:p>
    <w:p>
      <w:pPr>
        <w:spacing w:after="0" w:line="182" w:lineRule="exact"/>
        <w:rPr>
          <w:sz w:val="20"/>
          <w:szCs w:val="20"/>
          <w:color w:val="auto"/>
        </w:rPr>
      </w:pPr>
    </w:p>
    <w:p>
      <w:pPr>
        <w:ind w:left="920" w:right="2899" w:hanging="468"/>
        <w:spacing w:after="0" w:line="248" w:lineRule="auto"/>
        <w:tabs>
          <w:tab w:leader="none" w:pos="9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Wireless revenue increased 62 percent from the year-ago quarter and 14 percent sequentially.</w:t>
      </w:r>
    </w:p>
    <w:p>
      <w:pPr>
        <w:spacing w:after="0" w:line="1" w:lineRule="exact"/>
        <w:rPr>
          <w:rFonts w:ascii="Courier New" w:cs="Courier New" w:eastAsia="Courier New" w:hAnsi="Courier New"/>
          <w:sz w:val="15"/>
          <w:szCs w:val="15"/>
          <w:color w:val="auto"/>
        </w:rPr>
      </w:pPr>
    </w:p>
    <w:p>
      <w:pPr>
        <w:ind w:left="920" w:right="2979" w:hanging="468"/>
        <w:spacing w:after="0" w:line="248" w:lineRule="auto"/>
        <w:tabs>
          <w:tab w:leader="none" w:pos="9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from TI's catalog products, composed of high-performance Analog and catalog DSP, decreased 3 percent from the year-ago quarter but increased 20 percent sequentially.</w:t>
      </w:r>
    </w:p>
    <w:p>
      <w:pPr>
        <w:spacing w:after="0" w:line="1" w:lineRule="exact"/>
        <w:rPr>
          <w:rFonts w:ascii="Courier New" w:cs="Courier New" w:eastAsia="Courier New" w:hAnsi="Courier New"/>
          <w:sz w:val="15"/>
          <w:szCs w:val="15"/>
          <w:color w:val="auto"/>
        </w:rPr>
      </w:pPr>
    </w:p>
    <w:p>
      <w:pPr>
        <w:ind w:left="920" w:right="2899" w:hanging="468"/>
        <w:spacing w:after="0" w:line="249" w:lineRule="auto"/>
        <w:tabs>
          <w:tab w:leader="none" w:pos="9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Broadband communications revenue, which includes DSL and cable modems, voice over packet (VoP), and wireless local area networks (WLANs), decreased 59 percent from the year-ago quarter but increased 15 percent sequentially.</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Semiconductor orders were $1876 million, up 42 percent from the year-ago quarter and 22 percent sequentially as demand increased across the range of Semiconductor products.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SENSORS &amp; CONTROLS</w:t>
      </w:r>
    </w:p>
    <w:p>
      <w:pPr>
        <w:spacing w:after="0" w:line="18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Sensors &amp; Controls revenue was $252 million for the second quarter of 2002, compared with $257 million in the year-ago quarter. Sequentially, revenue increased 10 percent from $229 million primarily due to increased shipments of sensor products. The sequentially higher shipments were mostly related to the automotive market, where TI benefited from new products, higher demand and increased penetration.</w:t>
      </w:r>
    </w:p>
    <w:p>
      <w:pPr>
        <w:spacing w:after="0" w:line="17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Operating profit was $56 million, a record 22.1 percent of revenue, compared with $52 million in the year-ago quarter, due to manufacturing cost reductions. Operating profit increased 14 percent from $49 million in the first quarter primarily due to increased shipments.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EDUCATIONAL &amp; PRODUCTIVITY SOLUTIONS (E&amp;PS)</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E&amp;PS revenue was $150 million for the second quarter of 2002, compared with $129 million in the year-ago quarter due to stronger sales of graphing calculators resulting from earlier retail stocking for back-to-school sales than in the previous year. Sequentially, revenue increased 75 percent from $85 million due to retail stocking for upcoming back-to-school sales.</w:t>
      </w:r>
    </w:p>
    <w:p>
      <w:pPr>
        <w:spacing w:after="0" w:line="17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Operating profit was $49 million, or 33 percent of revenue, compared with $38 million in the year-ago quarter, primarily due to higher revenue. Operating profit increased from $19 million in the prior quarter, primarily due to higher revenue.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HALF OF 2002</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first six months of 2002, TI reported the following:</w:t>
      </w:r>
    </w:p>
    <w:p>
      <w:pPr>
        <w:spacing w:after="0" w:line="182" w:lineRule="exact"/>
        <w:rPr>
          <w:sz w:val="20"/>
          <w:szCs w:val="20"/>
          <w:color w:val="auto"/>
        </w:rPr>
      </w:pPr>
    </w:p>
    <w:p>
      <w:pPr>
        <w:ind w:left="920" w:right="2899" w:hanging="468"/>
        <w:spacing w:after="0" w:line="249" w:lineRule="auto"/>
        <w:tabs>
          <w:tab w:leader="none" w:pos="9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 revenue was $3989 million, down from $4565 million in the first six months of 2001, primarily due to Semiconductor. The decrease in Semiconductor revenue was primarily due to lower shipments in the first quarter of 2002 resulting from excess customer inventories, a trend that reversed in the second quarter of 2002 as shipments increased compared to the second quarter of 2001. The decrease in Sensors &amp; Controls revenue was due to decreased shipments and the increase in E&amp;PS revenue was primarily due to earlier stocking for back-to-school sales.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47" w:right="1440" w:bottom="1440" w:gutter="0" w:footer="0" w:header="0"/>
        </w:sectPr>
      </w:pPr>
    </w:p>
    <w:bookmarkStart w:id="14" w:name="page15"/>
    <w:bookmarkEnd w:id="14"/>
    <w:p>
      <w:pPr>
        <w:ind w:left="920" w:right="2979" w:hanging="468"/>
        <w:spacing w:after="0" w:line="249" w:lineRule="auto"/>
        <w:tabs>
          <w:tab w:leader="none" w:pos="9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 of revenues was $2523 million compared with $3028 million in the year-ago period. Cost of revenues declined due to lower shipments in Semiconductor in the first half of 2002 and higher restructuring charges in the first half of 2001.</w:t>
      </w:r>
    </w:p>
    <w:p>
      <w:pPr>
        <w:spacing w:after="0" w:line="175" w:lineRule="exact"/>
        <w:rPr>
          <w:rFonts w:ascii="Courier New" w:cs="Courier New" w:eastAsia="Courier New" w:hAnsi="Courier New"/>
          <w:sz w:val="15"/>
          <w:szCs w:val="15"/>
          <w:color w:val="auto"/>
        </w:rPr>
      </w:pPr>
    </w:p>
    <w:p>
      <w:pPr>
        <w:ind w:left="920" w:right="3179" w:hanging="468"/>
        <w:spacing w:after="0" w:line="248" w:lineRule="auto"/>
        <w:tabs>
          <w:tab w:leader="none" w:pos="9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R&amp;D totaled $792 million, compared to $858 million in the first six months of 2001. The decrease was primarily due to the company's</w:t>
      </w:r>
    </w:p>
    <w:p>
      <w:pPr>
        <w:spacing w:after="0" w:line="1" w:lineRule="exact"/>
        <w:rPr>
          <w:rFonts w:ascii="Courier New" w:cs="Courier New" w:eastAsia="Courier New" w:hAnsi="Courier New"/>
          <w:sz w:val="15"/>
          <w:szCs w:val="15"/>
          <w:color w:val="auto"/>
        </w:rPr>
      </w:pPr>
    </w:p>
    <w:p>
      <w:pPr>
        <w:ind w:left="920"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300-millimeter wafer facility moving from development into production, and lower restructuring charges and amortization of acquisition-related intangibles.</w:t>
      </w:r>
    </w:p>
    <w:p>
      <w:pPr>
        <w:spacing w:after="0" w:line="175" w:lineRule="exact"/>
        <w:rPr>
          <w:rFonts w:ascii="Courier New" w:cs="Courier New" w:eastAsia="Courier New" w:hAnsi="Courier New"/>
          <w:sz w:val="15"/>
          <w:szCs w:val="15"/>
          <w:color w:val="auto"/>
        </w:rPr>
      </w:pPr>
    </w:p>
    <w:p>
      <w:pPr>
        <w:ind w:left="920" w:right="3259" w:hanging="468"/>
        <w:spacing w:after="0" w:line="249" w:lineRule="auto"/>
        <w:tabs>
          <w:tab w:leader="none" w:pos="9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Selling, general and administrative expense was $563 million, down from $748 million in the year-ago period due primarily to lower restructuring charges and cessation of amortization of goodwill in accordance with SFAS 142.</w:t>
      </w:r>
    </w:p>
    <w:p>
      <w:pPr>
        <w:spacing w:after="0" w:line="175" w:lineRule="exact"/>
        <w:rPr>
          <w:rFonts w:ascii="Courier New" w:cs="Courier New" w:eastAsia="Courier New" w:hAnsi="Courier New"/>
          <w:sz w:val="15"/>
          <w:szCs w:val="15"/>
          <w:color w:val="auto"/>
        </w:rPr>
      </w:pPr>
    </w:p>
    <w:p>
      <w:pPr>
        <w:ind w:left="920" w:right="3079" w:hanging="468"/>
        <w:spacing w:after="0" w:line="249" w:lineRule="auto"/>
        <w:tabs>
          <w:tab w:leader="none" w:pos="9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income (expense) net decreased from $164 million in the first six months of 2001 to $(13) million in the first six months of 2002, primarily due to investment write-downs and lower interest income.</w:t>
      </w:r>
    </w:p>
    <w:p>
      <w:pPr>
        <w:spacing w:after="0" w:line="175" w:lineRule="exact"/>
        <w:rPr>
          <w:rFonts w:ascii="Courier New" w:cs="Courier New" w:eastAsia="Courier New" w:hAnsi="Courier New"/>
          <w:sz w:val="15"/>
          <w:szCs w:val="15"/>
          <w:color w:val="auto"/>
        </w:rPr>
      </w:pPr>
    </w:p>
    <w:p>
      <w:pPr>
        <w:ind w:left="920" w:hanging="468"/>
        <w:spacing w:after="0"/>
        <w:tabs>
          <w:tab w:leader="none" w:pos="9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 income tax rate was 18 percent.</w:t>
      </w:r>
    </w:p>
    <w:p>
      <w:pPr>
        <w:spacing w:after="0" w:line="182" w:lineRule="exact"/>
        <w:rPr>
          <w:rFonts w:ascii="Courier New" w:cs="Courier New" w:eastAsia="Courier New" w:hAnsi="Courier New"/>
          <w:sz w:val="15"/>
          <w:szCs w:val="15"/>
          <w:color w:val="auto"/>
        </w:rPr>
      </w:pPr>
    </w:p>
    <w:p>
      <w:pPr>
        <w:ind w:left="920" w:right="2899" w:hanging="468"/>
        <w:spacing w:after="0" w:line="249" w:lineRule="auto"/>
        <w:tabs>
          <w:tab w:leader="none" w:pos="9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Orders were $4197 million, up from $3601 million from the same period a year ago, due to Semiconductor. Semiconductor orders for the first six months were up across a range of Semiconductor products. Sensors &amp; Controls orders were down slightly . E&amp;PS orders were up due to earlier stocking for back-to-school sales.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CONDITION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The company's balance sheet remains strong. In the first six months of 2002, total cash, composed of cash and cash equivalents plus short-term investments and long-term cash investments, increased by $123 million to $3474 million, primarily due to operating activities.</w:t>
      </w:r>
    </w:p>
    <w:p>
      <w:pPr>
        <w:spacing w:after="0" w:line="17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In the first six months of 2002, accounts receivable increased by $337 million, to $1535 million, primarily reflecting higher Semiconductor revenue as well as E&amp;PS seasonality.</w:t>
      </w:r>
    </w:p>
    <w:p>
      <w:pPr>
        <w:spacing w:after="0" w:line="176"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In the first six months of 2002, inventory increased by $69 million, to $820 million, as Semiconductor and E&amp;PS built product to support anticipated higher third-quarter shipments.</w:t>
      </w:r>
    </w:p>
    <w:p>
      <w:pPr>
        <w:spacing w:after="0" w:line="176"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Equity investments declined to $1461 million, down $753 million from $2214 million at year-end 2001. Investment write-downs during the first half of 2002 were $116 million. The balance of the decline was from mark-to-market adjustments of the available-for-sale securities, primarily shares of Micron Technology, Inc. common stock. The mark-to-market adjustment, net of tax, is reflected in stockholders' equity.</w:t>
      </w:r>
    </w:p>
    <w:p>
      <w:pPr>
        <w:spacing w:after="0" w:line="176"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Capital expenditures totaled $297 million in the first six months of 2002, compared with $1242 million in the first half of 2001. Capital expenditures in the year-ago period were primarily for the upgrade of three analog fabrication facilities to 200-millimeter wafers and the installation of the 300 millimeter wafer facility production line.</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47" w:right="1440" w:bottom="1440" w:gutter="0" w:footer="0" w:header="0"/>
        </w:sectPr>
      </w:pPr>
    </w:p>
    <w:bookmarkStart w:id="15" w:name="page16"/>
    <w:bookmarkEnd w:id="15"/>
    <w:p>
      <w:pPr>
        <w:ind w:left="6" w:right="2899"/>
        <w:spacing w:after="0" w:line="250" w:lineRule="auto"/>
        <w:rPr>
          <w:sz w:val="20"/>
          <w:szCs w:val="20"/>
          <w:color w:val="auto"/>
        </w:rPr>
      </w:pPr>
      <w:r>
        <w:rPr>
          <w:rFonts w:ascii="Courier New" w:cs="Courier New" w:eastAsia="Courier New" w:hAnsi="Courier New"/>
          <w:sz w:val="15"/>
          <w:szCs w:val="15"/>
          <w:color w:val="auto"/>
        </w:rPr>
        <w:t>Debt-to-total-capital ratio was 0.10 at the end of the second quarter, unchanged from the end of 2001.</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SPECIAL CHARGES, GAINS AND OTHER ITEMS</w:t>
      </w:r>
    </w:p>
    <w:p>
      <w:pPr>
        <w:spacing w:after="0" w:line="6" w:lineRule="exact"/>
        <w:rPr>
          <w:sz w:val="20"/>
          <w:szCs w:val="20"/>
          <w:color w:val="auto"/>
        </w:rPr>
      </w:pPr>
    </w:p>
    <w:p>
      <w:pPr>
        <w:ind w:left="186" w:hanging="186"/>
        <w:spacing w:after="0"/>
        <w:tabs>
          <w:tab w:leader="none" w:pos="18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Second Quarter of 2002:</w:t>
      </w:r>
    </w:p>
    <w:p>
      <w:pPr>
        <w:spacing w:after="0" w:line="182"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In the second quarter of 2002, pretax gains of $16 million net were recorded, of which $20 million was the reversal of a warranty reserve taken against the gain on the sale of the software business unit in 1997, because the warranty period has expired. Of the $16 million gain, $20 million is included in other income, $5 million is in selling, general and administrative expense, $2 million is a reduction in cost of revenues and $1 million is in research and development expense. Also included in results for the quarter is the amortization of acquisition-related intangibles of $29 million.</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First Quarter of 2002:</w:t>
      </w:r>
    </w:p>
    <w:p>
      <w:pPr>
        <w:spacing w:after="0" w:line="182"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In the first quarter of 2002, pretax charges of $17 million net were taken, of which $14 million was for restructuring charges primarily related to the closing of the Semiconductor manufacturing facility in Merrimack, New Hampshire. Of the $14 million, $9 million was for the acceleration of depreciation over the remaining service life of the facility, and $4 million was for fixed asset write-downs for assets held for sale. Of the $17 million charge, $16 million is included in cost of revenues and $1 million is in other income (expense) net. Also included in results for the first quarter of 2002 is the amortization of acquisition-related intangibles of $28 million.</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Second Quarter of 2001:</w:t>
      </w:r>
    </w:p>
    <w:p>
      <w:pPr>
        <w:spacing w:after="0" w:line="182" w:lineRule="exact"/>
        <w:rPr>
          <w:sz w:val="20"/>
          <w:szCs w:val="20"/>
          <w:color w:val="auto"/>
        </w:rPr>
      </w:pPr>
    </w:p>
    <w:p>
      <w:pPr>
        <w:ind w:left="6" w:right="2899"/>
        <w:spacing w:after="0" w:line="248" w:lineRule="auto"/>
        <w:rPr>
          <w:sz w:val="20"/>
          <w:szCs w:val="20"/>
          <w:color w:val="auto"/>
        </w:rPr>
      </w:pPr>
      <w:r>
        <w:rPr>
          <w:rFonts w:ascii="Courier New" w:cs="Courier New" w:eastAsia="Courier New" w:hAnsi="Courier New"/>
          <w:sz w:val="15"/>
          <w:szCs w:val="15"/>
          <w:color w:val="auto"/>
        </w:rPr>
        <w:t>As of June 30, 2002, $260 million of the $293 million aggregate severance cost obligations for the 2001 worldwide cost-reduction and restructuring actions affecting a total of 5724 employees had been paid. In the second quarter of 2001, pretax charges of $252 million net were taken, of which $214 million was severance cost for the 2001 worldwide cost-reduction program affecting 3778 employees and $35 million relates to the restructuring charges for the closing of three Semiconductor facilities. Of the $35 million, $14 million was severance cost for 559 additional employees and $16 million was for acceleration of depreciation over the remaining service life of the facilities. Of the $252 million, $162 million is included in cost of revenues, $84 million is in selling, general and administrative expense and $6 million is in research and development expense. Also included in results for the second quarter of 2001 are a $68 million increase in the income tax provision to adjust to the expected tax rate for the year, and the amortization of goodwill and other acquisition-related intangibles of $58 million.</w:t>
      </w:r>
    </w:p>
    <w:p>
      <w:pPr>
        <w:spacing w:after="0" w:line="18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First Quarter of 2001:</w:t>
      </w:r>
    </w:p>
    <w:p>
      <w:pPr>
        <w:spacing w:after="0" w:line="182"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In the first quarter of 2001, pretax charges of $50 million net were taken, of which $27 million was severance cost for 502 employees under the 2001 worldwide cost-reduction program and $25 million relates to the closing of a Semiconductor manufacturing facility in Santa Cruz, California. Of the $25 million charge, $16 million was severance cost for 600 additional employees and $5 million was for acceleration of depreciation over the remaining service life of the facility. Of the $50 million, $44 million is included in cost of revenues, $7 million is in selling, general and administrative expense, $2 million is in research and</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5"/>
          </w:cols>
          <w:pgMar w:left="234" w:top="647" w:right="1440" w:bottom="1440" w:gutter="0" w:footer="0" w:header="0"/>
        </w:sectPr>
      </w:pPr>
    </w:p>
    <w:bookmarkStart w:id="16" w:name="page17"/>
    <w:bookmarkEnd w:id="16"/>
    <w:p>
      <w:pPr>
        <w:ind w:right="460"/>
        <w:spacing w:after="0" w:line="249" w:lineRule="auto"/>
        <w:rPr>
          <w:sz w:val="20"/>
          <w:szCs w:val="20"/>
          <w:color w:val="auto"/>
        </w:rPr>
      </w:pPr>
      <w:r>
        <w:rPr>
          <w:rFonts w:ascii="Courier New" w:cs="Courier New" w:eastAsia="Courier New" w:hAnsi="Courier New"/>
          <w:sz w:val="15"/>
          <w:szCs w:val="15"/>
          <w:color w:val="auto"/>
        </w:rPr>
        <w:t>development expense, and $3 million is in other income. Also included in results for the first quarter of 2001 is the amortization of goodwill and other acquisition-related intangibles of $59 million.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Purchased In-Process R&amp;D Charges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discussion in Note 13 to the consolidated financial statements.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Quantitative and Qualitative Disclosures About Market Risk.</w:t>
      </w:r>
    </w:p>
    <w:p>
      <w:pPr>
        <w:spacing w:after="0" w:line="182" w:lineRule="exact"/>
        <w:rPr>
          <w:sz w:val="20"/>
          <w:szCs w:val="20"/>
          <w:color w:val="auto"/>
        </w:rPr>
      </w:pPr>
    </w:p>
    <w:p>
      <w:pPr>
        <w:ind w:right="540"/>
        <w:spacing w:after="0" w:line="249" w:lineRule="auto"/>
        <w:rPr>
          <w:sz w:val="20"/>
          <w:szCs w:val="20"/>
          <w:color w:val="auto"/>
        </w:rPr>
      </w:pPr>
      <w:r>
        <w:rPr>
          <w:rFonts w:ascii="Courier New" w:cs="Courier New" w:eastAsia="Courier New" w:hAnsi="Courier New"/>
          <w:sz w:val="15"/>
          <w:szCs w:val="15"/>
          <w:color w:val="auto"/>
        </w:rPr>
        <w:t>Information concerning market risk is contained on pages C-37 and C-38 of the Registrant's proxy statement for the 2002 annual meeting of stockholders and is incorporated by reference to such proxy statement.</w:t>
      </w:r>
    </w:p>
    <w:p>
      <w:pPr>
        <w:spacing w:after="0" w:line="176" w:lineRule="exact"/>
        <w:rPr>
          <w:sz w:val="20"/>
          <w:szCs w:val="20"/>
          <w:color w:val="auto"/>
        </w:rPr>
      </w:pPr>
    </w:p>
    <w:p>
      <w:pPr>
        <w:ind w:left="2380"/>
        <w:spacing w:after="0"/>
        <w:tabs>
          <w:tab w:leader="none" w:pos="3180" w:val="left"/>
          <w:tab w:leader="none" w:pos="3460" w:val="left"/>
        </w:tabs>
        <w:rPr>
          <w:sz w:val="20"/>
          <w:szCs w:val="20"/>
          <w:color w:val="auto"/>
        </w:rPr>
      </w:pPr>
      <w:r>
        <w:rPr>
          <w:rFonts w:ascii="Courier New" w:cs="Courier New" w:eastAsia="Courier New" w:hAnsi="Courier New"/>
          <w:sz w:val="15"/>
          <w:szCs w:val="15"/>
          <w:color w:val="auto"/>
        </w:rPr>
        <w:t>PART II</w:t>
        <w:tab/>
        <w:t>-</w:t>
        <w:tab/>
        <w:t>OTHER INFORMATION</w:t>
      </w:r>
    </w:p>
    <w:p>
      <w:pPr>
        <w:spacing w:after="0" w:line="18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4.</w:t>
        <w:tab/>
        <w:t>Submission of Matters to a Vote of Security Holders.</w:t>
      </w:r>
    </w:p>
    <w:p>
      <w:pPr>
        <w:spacing w:after="0" w:line="182" w:lineRule="exact"/>
        <w:rPr>
          <w:sz w:val="20"/>
          <w:szCs w:val="20"/>
          <w:color w:val="auto"/>
        </w:rPr>
      </w:pPr>
    </w:p>
    <w:p>
      <w:pPr>
        <w:ind w:right="460"/>
        <w:spacing w:after="0" w:line="249" w:lineRule="auto"/>
        <w:rPr>
          <w:sz w:val="20"/>
          <w:szCs w:val="20"/>
          <w:color w:val="auto"/>
        </w:rPr>
      </w:pPr>
      <w:r>
        <w:rPr>
          <w:rFonts w:ascii="Courier New" w:cs="Courier New" w:eastAsia="Courier New" w:hAnsi="Courier New"/>
          <w:sz w:val="15"/>
          <w:szCs w:val="15"/>
          <w:color w:val="auto"/>
        </w:rPr>
        <w:t>At the annual meeting of stockholders held on April 18, 2002, in addition to the election of directors the stockholders voted upon the two board proposals contained in the Registrant's Proxy Statement dated March 1, 2002.</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nominees were elected as directors with the following vote:</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38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Nominee</w:t>
            </w:r>
          </w:p>
        </w:tc>
        <w:tc>
          <w:tcPr>
            <w:tcW w:w="168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For</w:t>
            </w:r>
          </w:p>
        </w:tc>
        <w:tc>
          <w:tcPr>
            <w:tcW w:w="1240" w:type="dxa"/>
            <w:vAlign w:val="bottom"/>
          </w:tcPr>
          <w:p>
            <w:pPr>
              <w:ind w:left="320"/>
              <w:spacing w:after="0"/>
              <w:rPr>
                <w:sz w:val="20"/>
                <w:szCs w:val="20"/>
                <w:color w:val="auto"/>
              </w:rPr>
            </w:pPr>
            <w:r>
              <w:rPr>
                <w:rFonts w:ascii="Courier New" w:cs="Courier New" w:eastAsia="Courier New" w:hAnsi="Courier New"/>
                <w:sz w:val="15"/>
                <w:szCs w:val="15"/>
                <w:color w:val="auto"/>
              </w:rPr>
              <w:t>Withheld</w:t>
            </w:r>
          </w:p>
        </w:tc>
      </w:tr>
      <w:tr>
        <w:trPr>
          <w:trHeight w:val="176"/>
        </w:trPr>
        <w:tc>
          <w:tcPr>
            <w:tcW w:w="238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r>
      <w:tr>
        <w:trPr>
          <w:trHeight w:val="352"/>
        </w:trPr>
        <w:tc>
          <w:tcPr>
            <w:tcW w:w="540" w:type="dxa"/>
            <w:vAlign w:val="bottom"/>
          </w:tcPr>
          <w:p>
            <w:pPr>
              <w:spacing w:after="0"/>
              <w:rPr>
                <w:sz w:val="20"/>
                <w:szCs w:val="20"/>
                <w:color w:val="auto"/>
              </w:rPr>
            </w:pPr>
            <w:r>
              <w:rPr>
                <w:rFonts w:ascii="Courier New" w:cs="Courier New" w:eastAsia="Courier New" w:hAnsi="Courier New"/>
                <w:sz w:val="15"/>
                <w:szCs w:val="15"/>
                <w:color w:val="auto"/>
              </w:rPr>
              <w:t>James</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R.</w:t>
            </w:r>
          </w:p>
        </w:tc>
        <w:tc>
          <w:tcPr>
            <w:tcW w:w="1480" w:type="dxa"/>
            <w:vAlign w:val="bottom"/>
          </w:tcPr>
          <w:p>
            <w:pPr>
              <w:ind w:left="100"/>
              <w:spacing w:after="0"/>
              <w:rPr>
                <w:sz w:val="20"/>
                <w:szCs w:val="20"/>
                <w:color w:val="auto"/>
              </w:rPr>
            </w:pPr>
            <w:r>
              <w:rPr>
                <w:rFonts w:ascii="Courier New" w:cs="Courier New" w:eastAsia="Courier New" w:hAnsi="Courier New"/>
                <w:sz w:val="15"/>
                <w:szCs w:val="15"/>
                <w:color w:val="auto"/>
              </w:rPr>
              <w:t>Adams</w:t>
            </w:r>
          </w:p>
        </w:tc>
        <w:tc>
          <w:tcPr>
            <w:tcW w:w="16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1,450,153,948</w:t>
            </w:r>
          </w:p>
        </w:tc>
        <w:tc>
          <w:tcPr>
            <w:tcW w:w="1240" w:type="dxa"/>
            <w:vAlign w:val="bottom"/>
          </w:tcPr>
          <w:p>
            <w:pPr>
              <w:ind w:left="320"/>
              <w:spacing w:after="0"/>
              <w:rPr>
                <w:sz w:val="20"/>
                <w:szCs w:val="20"/>
                <w:color w:val="auto"/>
              </w:rPr>
            </w:pPr>
            <w:r>
              <w:rPr>
                <w:rFonts w:ascii="Courier New" w:cs="Courier New" w:eastAsia="Courier New" w:hAnsi="Courier New"/>
                <w:sz w:val="15"/>
                <w:szCs w:val="15"/>
                <w:color w:val="auto"/>
                <w:w w:val="99"/>
              </w:rPr>
              <w:t>24,226,501</w:t>
            </w:r>
          </w:p>
        </w:tc>
      </w:tr>
      <w:tr>
        <w:trPr>
          <w:trHeight w:val="176"/>
        </w:trPr>
        <w:tc>
          <w:tcPr>
            <w:tcW w:w="540" w:type="dxa"/>
            <w:vAlign w:val="bottom"/>
          </w:tcPr>
          <w:p>
            <w:pPr>
              <w:spacing w:after="0"/>
              <w:rPr>
                <w:sz w:val="20"/>
                <w:szCs w:val="20"/>
                <w:color w:val="auto"/>
              </w:rPr>
            </w:pPr>
            <w:r>
              <w:rPr>
                <w:rFonts w:ascii="Courier New" w:cs="Courier New" w:eastAsia="Courier New" w:hAnsi="Courier New"/>
                <w:sz w:val="15"/>
                <w:szCs w:val="15"/>
                <w:color w:val="auto"/>
              </w:rPr>
              <w:t>David</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L.</w:t>
            </w:r>
          </w:p>
        </w:tc>
        <w:tc>
          <w:tcPr>
            <w:tcW w:w="1480" w:type="dxa"/>
            <w:vAlign w:val="bottom"/>
          </w:tcPr>
          <w:p>
            <w:pPr>
              <w:ind w:left="100"/>
              <w:spacing w:after="0"/>
              <w:rPr>
                <w:sz w:val="20"/>
                <w:szCs w:val="20"/>
                <w:color w:val="auto"/>
              </w:rPr>
            </w:pPr>
            <w:r>
              <w:rPr>
                <w:rFonts w:ascii="Courier New" w:cs="Courier New" w:eastAsia="Courier New" w:hAnsi="Courier New"/>
                <w:sz w:val="15"/>
                <w:szCs w:val="15"/>
                <w:color w:val="auto"/>
              </w:rPr>
              <w:t>Boren</w:t>
            </w:r>
          </w:p>
        </w:tc>
        <w:tc>
          <w:tcPr>
            <w:tcW w:w="16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1,454,868,771</w:t>
            </w:r>
          </w:p>
        </w:tc>
        <w:tc>
          <w:tcPr>
            <w:tcW w:w="1240" w:type="dxa"/>
            <w:vAlign w:val="bottom"/>
          </w:tcPr>
          <w:p>
            <w:pPr>
              <w:ind w:left="320"/>
              <w:spacing w:after="0"/>
              <w:rPr>
                <w:sz w:val="20"/>
                <w:szCs w:val="20"/>
                <w:color w:val="auto"/>
              </w:rPr>
            </w:pPr>
            <w:r>
              <w:rPr>
                <w:rFonts w:ascii="Courier New" w:cs="Courier New" w:eastAsia="Courier New" w:hAnsi="Courier New"/>
                <w:sz w:val="15"/>
                <w:szCs w:val="15"/>
                <w:color w:val="auto"/>
                <w:w w:val="99"/>
              </w:rPr>
              <w:t>19,511,678</w:t>
            </w:r>
          </w:p>
        </w:tc>
      </w:tr>
      <w:tr>
        <w:trPr>
          <w:trHeight w:val="176"/>
        </w:trPr>
        <w:tc>
          <w:tcPr>
            <w:tcW w:w="540" w:type="dxa"/>
            <w:vAlign w:val="bottom"/>
          </w:tcPr>
          <w:p>
            <w:pPr>
              <w:spacing w:after="0"/>
              <w:rPr>
                <w:sz w:val="20"/>
                <w:szCs w:val="20"/>
                <w:color w:val="auto"/>
              </w:rPr>
            </w:pPr>
            <w:r>
              <w:rPr>
                <w:rFonts w:ascii="Courier New" w:cs="Courier New" w:eastAsia="Courier New" w:hAnsi="Courier New"/>
                <w:sz w:val="15"/>
                <w:szCs w:val="15"/>
                <w:color w:val="auto"/>
              </w:rPr>
              <w:t>James</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B.</w:t>
            </w:r>
          </w:p>
        </w:tc>
        <w:tc>
          <w:tcPr>
            <w:tcW w:w="1480" w:type="dxa"/>
            <w:vAlign w:val="bottom"/>
          </w:tcPr>
          <w:p>
            <w:pPr>
              <w:ind w:left="100"/>
              <w:spacing w:after="0"/>
              <w:rPr>
                <w:sz w:val="20"/>
                <w:szCs w:val="20"/>
                <w:color w:val="auto"/>
              </w:rPr>
            </w:pPr>
            <w:r>
              <w:rPr>
                <w:rFonts w:ascii="Courier New" w:cs="Courier New" w:eastAsia="Courier New" w:hAnsi="Courier New"/>
                <w:sz w:val="15"/>
                <w:szCs w:val="15"/>
                <w:color w:val="auto"/>
              </w:rPr>
              <w:t>Busey</w:t>
            </w:r>
          </w:p>
        </w:tc>
        <w:tc>
          <w:tcPr>
            <w:tcW w:w="16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1,462,160,143</w:t>
            </w:r>
          </w:p>
        </w:tc>
        <w:tc>
          <w:tcPr>
            <w:tcW w:w="1240" w:type="dxa"/>
            <w:vAlign w:val="bottom"/>
          </w:tcPr>
          <w:p>
            <w:pPr>
              <w:ind w:left="320"/>
              <w:spacing w:after="0"/>
              <w:rPr>
                <w:sz w:val="20"/>
                <w:szCs w:val="20"/>
                <w:color w:val="auto"/>
              </w:rPr>
            </w:pPr>
            <w:r>
              <w:rPr>
                <w:rFonts w:ascii="Courier New" w:cs="Courier New" w:eastAsia="Courier New" w:hAnsi="Courier New"/>
                <w:sz w:val="15"/>
                <w:szCs w:val="15"/>
                <w:color w:val="auto"/>
                <w:w w:val="99"/>
              </w:rPr>
              <w:t>12,220,306</w:t>
            </w:r>
          </w:p>
        </w:tc>
      </w:tr>
      <w:tr>
        <w:trPr>
          <w:trHeight w:val="176"/>
        </w:trPr>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Daniel</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w w:val="88"/>
              </w:rPr>
              <w:t>A.</w:t>
            </w:r>
          </w:p>
        </w:tc>
        <w:tc>
          <w:tcPr>
            <w:tcW w:w="1480" w:type="dxa"/>
            <w:vAlign w:val="bottom"/>
          </w:tcPr>
          <w:p>
            <w:pPr>
              <w:ind w:left="200"/>
              <w:spacing w:after="0"/>
              <w:rPr>
                <w:sz w:val="20"/>
                <w:szCs w:val="20"/>
                <w:color w:val="auto"/>
              </w:rPr>
            </w:pPr>
            <w:r>
              <w:rPr>
                <w:rFonts w:ascii="Courier New" w:cs="Courier New" w:eastAsia="Courier New" w:hAnsi="Courier New"/>
                <w:sz w:val="15"/>
                <w:szCs w:val="15"/>
                <w:color w:val="auto"/>
              </w:rPr>
              <w:t>Carp</w:t>
            </w:r>
          </w:p>
        </w:tc>
        <w:tc>
          <w:tcPr>
            <w:tcW w:w="16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1,462,302,451</w:t>
            </w:r>
          </w:p>
        </w:tc>
        <w:tc>
          <w:tcPr>
            <w:tcW w:w="1240" w:type="dxa"/>
            <w:vAlign w:val="bottom"/>
          </w:tcPr>
          <w:p>
            <w:pPr>
              <w:ind w:left="320"/>
              <w:spacing w:after="0"/>
              <w:rPr>
                <w:sz w:val="20"/>
                <w:szCs w:val="20"/>
                <w:color w:val="auto"/>
              </w:rPr>
            </w:pPr>
            <w:r>
              <w:rPr>
                <w:rFonts w:ascii="Courier New" w:cs="Courier New" w:eastAsia="Courier New" w:hAnsi="Courier New"/>
                <w:sz w:val="15"/>
                <w:szCs w:val="15"/>
                <w:color w:val="auto"/>
                <w:w w:val="99"/>
              </w:rPr>
              <w:t>12,077,998</w:t>
            </w:r>
          </w:p>
        </w:tc>
      </w:tr>
      <w:tr>
        <w:trPr>
          <w:trHeight w:val="176"/>
        </w:trPr>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Thomas</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w w:val="88"/>
              </w:rPr>
              <w:t>J.</w:t>
            </w:r>
          </w:p>
        </w:tc>
        <w:tc>
          <w:tcPr>
            <w:tcW w:w="1480" w:type="dxa"/>
            <w:vAlign w:val="bottom"/>
          </w:tcPr>
          <w:p>
            <w:pPr>
              <w:ind w:left="200"/>
              <w:spacing w:after="0"/>
              <w:rPr>
                <w:sz w:val="20"/>
                <w:szCs w:val="20"/>
                <w:color w:val="auto"/>
              </w:rPr>
            </w:pPr>
            <w:r>
              <w:rPr>
                <w:rFonts w:ascii="Courier New" w:cs="Courier New" w:eastAsia="Courier New" w:hAnsi="Courier New"/>
                <w:sz w:val="15"/>
                <w:szCs w:val="15"/>
                <w:color w:val="auto"/>
              </w:rPr>
              <w:t>Engibous</w:t>
            </w:r>
          </w:p>
        </w:tc>
        <w:tc>
          <w:tcPr>
            <w:tcW w:w="16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1,461,292,794</w:t>
            </w:r>
          </w:p>
        </w:tc>
        <w:tc>
          <w:tcPr>
            <w:tcW w:w="1240" w:type="dxa"/>
            <w:vAlign w:val="bottom"/>
          </w:tcPr>
          <w:p>
            <w:pPr>
              <w:ind w:left="320"/>
              <w:spacing w:after="0"/>
              <w:rPr>
                <w:sz w:val="20"/>
                <w:szCs w:val="20"/>
                <w:color w:val="auto"/>
              </w:rPr>
            </w:pPr>
            <w:r>
              <w:rPr>
                <w:rFonts w:ascii="Courier New" w:cs="Courier New" w:eastAsia="Courier New" w:hAnsi="Courier New"/>
                <w:sz w:val="15"/>
                <w:szCs w:val="15"/>
                <w:color w:val="auto"/>
                <w:w w:val="99"/>
              </w:rPr>
              <w:t>13,087,655</w:t>
            </w:r>
          </w:p>
        </w:tc>
      </w:tr>
      <w:tr>
        <w:trPr>
          <w:trHeight w:val="176"/>
        </w:trPr>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Gerald</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w w:val="88"/>
              </w:rPr>
              <w:t>W.</w:t>
            </w:r>
          </w:p>
        </w:tc>
        <w:tc>
          <w:tcPr>
            <w:tcW w:w="1480" w:type="dxa"/>
            <w:vAlign w:val="bottom"/>
          </w:tcPr>
          <w:p>
            <w:pPr>
              <w:ind w:left="200"/>
              <w:spacing w:after="0"/>
              <w:rPr>
                <w:sz w:val="20"/>
                <w:szCs w:val="20"/>
                <w:color w:val="auto"/>
              </w:rPr>
            </w:pPr>
            <w:r>
              <w:rPr>
                <w:rFonts w:ascii="Courier New" w:cs="Courier New" w:eastAsia="Courier New" w:hAnsi="Courier New"/>
                <w:sz w:val="15"/>
                <w:szCs w:val="15"/>
                <w:color w:val="auto"/>
              </w:rPr>
              <w:t>Fronterhouse</w:t>
            </w:r>
          </w:p>
        </w:tc>
        <w:tc>
          <w:tcPr>
            <w:tcW w:w="16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1,459,541,192</w:t>
            </w:r>
          </w:p>
        </w:tc>
        <w:tc>
          <w:tcPr>
            <w:tcW w:w="1240" w:type="dxa"/>
            <w:vAlign w:val="bottom"/>
          </w:tcPr>
          <w:p>
            <w:pPr>
              <w:ind w:left="320"/>
              <w:spacing w:after="0"/>
              <w:rPr>
                <w:sz w:val="20"/>
                <w:szCs w:val="20"/>
                <w:color w:val="auto"/>
              </w:rPr>
            </w:pPr>
            <w:r>
              <w:rPr>
                <w:rFonts w:ascii="Courier New" w:cs="Courier New" w:eastAsia="Courier New" w:hAnsi="Courier New"/>
                <w:sz w:val="15"/>
                <w:szCs w:val="15"/>
                <w:color w:val="auto"/>
                <w:w w:val="99"/>
              </w:rPr>
              <w:t>14,839,257</w:t>
            </w:r>
          </w:p>
        </w:tc>
      </w:tr>
      <w:tr>
        <w:trPr>
          <w:trHeight w:val="176"/>
        </w:trPr>
        <w:tc>
          <w:tcPr>
            <w:tcW w:w="540" w:type="dxa"/>
            <w:vAlign w:val="bottom"/>
          </w:tcPr>
          <w:p>
            <w:pPr>
              <w:spacing w:after="0"/>
              <w:rPr>
                <w:sz w:val="20"/>
                <w:szCs w:val="20"/>
                <w:color w:val="auto"/>
              </w:rPr>
            </w:pPr>
            <w:r>
              <w:rPr>
                <w:rFonts w:ascii="Courier New" w:cs="Courier New" w:eastAsia="Courier New" w:hAnsi="Courier New"/>
                <w:sz w:val="15"/>
                <w:szCs w:val="15"/>
                <w:color w:val="auto"/>
              </w:rPr>
              <w:t>David</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R.</w:t>
            </w:r>
          </w:p>
        </w:tc>
        <w:tc>
          <w:tcPr>
            <w:tcW w:w="1480" w:type="dxa"/>
            <w:vAlign w:val="bottom"/>
          </w:tcPr>
          <w:p>
            <w:pPr>
              <w:ind w:left="100"/>
              <w:spacing w:after="0"/>
              <w:rPr>
                <w:sz w:val="20"/>
                <w:szCs w:val="20"/>
                <w:color w:val="auto"/>
              </w:rPr>
            </w:pPr>
            <w:r>
              <w:rPr>
                <w:rFonts w:ascii="Courier New" w:cs="Courier New" w:eastAsia="Courier New" w:hAnsi="Courier New"/>
                <w:sz w:val="15"/>
                <w:szCs w:val="15"/>
                <w:color w:val="auto"/>
              </w:rPr>
              <w:t>Goode</w:t>
            </w:r>
          </w:p>
        </w:tc>
        <w:tc>
          <w:tcPr>
            <w:tcW w:w="16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1,455,193,721</w:t>
            </w:r>
          </w:p>
        </w:tc>
        <w:tc>
          <w:tcPr>
            <w:tcW w:w="1240" w:type="dxa"/>
            <w:vAlign w:val="bottom"/>
          </w:tcPr>
          <w:p>
            <w:pPr>
              <w:ind w:left="320"/>
              <w:spacing w:after="0"/>
              <w:rPr>
                <w:sz w:val="20"/>
                <w:szCs w:val="20"/>
                <w:color w:val="auto"/>
              </w:rPr>
            </w:pPr>
            <w:r>
              <w:rPr>
                <w:rFonts w:ascii="Courier New" w:cs="Courier New" w:eastAsia="Courier New" w:hAnsi="Courier New"/>
                <w:sz w:val="15"/>
                <w:szCs w:val="15"/>
                <w:color w:val="auto"/>
                <w:w w:val="99"/>
              </w:rPr>
              <w:t>19,186,728</w:t>
            </w:r>
          </w:p>
        </w:tc>
      </w:tr>
      <w:tr>
        <w:trPr>
          <w:trHeight w:val="176"/>
        </w:trPr>
        <w:tc>
          <w:tcPr>
            <w:tcW w:w="540" w:type="dxa"/>
            <w:vAlign w:val="bottom"/>
          </w:tcPr>
          <w:p>
            <w:pPr>
              <w:spacing w:after="0"/>
              <w:rPr>
                <w:sz w:val="20"/>
                <w:szCs w:val="20"/>
                <w:color w:val="auto"/>
              </w:rPr>
            </w:pPr>
            <w:r>
              <w:rPr>
                <w:rFonts w:ascii="Courier New" w:cs="Courier New" w:eastAsia="Courier New" w:hAnsi="Courier New"/>
                <w:sz w:val="15"/>
                <w:szCs w:val="15"/>
                <w:color w:val="auto"/>
              </w:rPr>
              <w:t>Wayne</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R.</w:t>
            </w:r>
          </w:p>
        </w:tc>
        <w:tc>
          <w:tcPr>
            <w:tcW w:w="1480" w:type="dxa"/>
            <w:vAlign w:val="bottom"/>
          </w:tcPr>
          <w:p>
            <w:pPr>
              <w:ind w:left="100"/>
              <w:spacing w:after="0"/>
              <w:rPr>
                <w:sz w:val="20"/>
                <w:szCs w:val="20"/>
                <w:color w:val="auto"/>
              </w:rPr>
            </w:pPr>
            <w:r>
              <w:rPr>
                <w:rFonts w:ascii="Courier New" w:cs="Courier New" w:eastAsia="Courier New" w:hAnsi="Courier New"/>
                <w:sz w:val="15"/>
                <w:szCs w:val="15"/>
                <w:color w:val="auto"/>
              </w:rPr>
              <w:t>Sanders</w:t>
            </w:r>
          </w:p>
        </w:tc>
        <w:tc>
          <w:tcPr>
            <w:tcW w:w="16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1,463,087,615</w:t>
            </w:r>
          </w:p>
        </w:tc>
        <w:tc>
          <w:tcPr>
            <w:tcW w:w="1240" w:type="dxa"/>
            <w:vAlign w:val="bottom"/>
          </w:tcPr>
          <w:p>
            <w:pPr>
              <w:ind w:left="320"/>
              <w:spacing w:after="0"/>
              <w:rPr>
                <w:sz w:val="20"/>
                <w:szCs w:val="20"/>
                <w:color w:val="auto"/>
              </w:rPr>
            </w:pPr>
            <w:r>
              <w:rPr>
                <w:rFonts w:ascii="Courier New" w:cs="Courier New" w:eastAsia="Courier New" w:hAnsi="Courier New"/>
                <w:sz w:val="15"/>
                <w:szCs w:val="15"/>
                <w:color w:val="auto"/>
                <w:w w:val="99"/>
              </w:rPr>
              <w:t>11,292,834</w:t>
            </w:r>
          </w:p>
        </w:tc>
      </w:tr>
      <w:tr>
        <w:trPr>
          <w:trHeight w:val="176"/>
        </w:trPr>
        <w:tc>
          <w:tcPr>
            <w:tcW w:w="540" w:type="dxa"/>
            <w:vAlign w:val="bottom"/>
          </w:tcPr>
          <w:p>
            <w:pPr>
              <w:spacing w:after="0"/>
              <w:rPr>
                <w:sz w:val="20"/>
                <w:szCs w:val="20"/>
                <w:color w:val="auto"/>
              </w:rPr>
            </w:pPr>
            <w:r>
              <w:rPr>
                <w:rFonts w:ascii="Courier New" w:cs="Courier New" w:eastAsia="Courier New" w:hAnsi="Courier New"/>
                <w:sz w:val="15"/>
                <w:szCs w:val="15"/>
                <w:color w:val="auto"/>
              </w:rPr>
              <w:t>Ruth</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J.</w:t>
            </w:r>
          </w:p>
        </w:tc>
        <w:tc>
          <w:tcPr>
            <w:tcW w:w="1480" w:type="dxa"/>
            <w:vAlign w:val="bottom"/>
          </w:tcPr>
          <w:p>
            <w:pPr>
              <w:spacing w:after="0"/>
              <w:rPr>
                <w:sz w:val="20"/>
                <w:szCs w:val="20"/>
                <w:color w:val="auto"/>
              </w:rPr>
            </w:pPr>
            <w:r>
              <w:rPr>
                <w:rFonts w:ascii="Courier New" w:cs="Courier New" w:eastAsia="Courier New" w:hAnsi="Courier New"/>
                <w:sz w:val="15"/>
                <w:szCs w:val="15"/>
                <w:color w:val="auto"/>
              </w:rPr>
              <w:t>Simmons</w:t>
            </w:r>
          </w:p>
        </w:tc>
        <w:tc>
          <w:tcPr>
            <w:tcW w:w="16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1,454,974,534</w:t>
            </w:r>
          </w:p>
        </w:tc>
        <w:tc>
          <w:tcPr>
            <w:tcW w:w="1240" w:type="dxa"/>
            <w:vAlign w:val="bottom"/>
          </w:tcPr>
          <w:p>
            <w:pPr>
              <w:ind w:left="320"/>
              <w:spacing w:after="0"/>
              <w:rPr>
                <w:sz w:val="20"/>
                <w:szCs w:val="20"/>
                <w:color w:val="auto"/>
              </w:rPr>
            </w:pPr>
            <w:r>
              <w:rPr>
                <w:rFonts w:ascii="Courier New" w:cs="Courier New" w:eastAsia="Courier New" w:hAnsi="Courier New"/>
                <w:sz w:val="15"/>
                <w:szCs w:val="15"/>
                <w:color w:val="auto"/>
                <w:w w:val="99"/>
              </w:rPr>
              <w:t>19,405,915</w:t>
            </w:r>
          </w:p>
        </w:tc>
      </w:tr>
    </w:tbl>
    <w:p>
      <w:pPr>
        <w:spacing w:after="0" w:line="181" w:lineRule="exact"/>
        <w:rPr>
          <w:sz w:val="20"/>
          <w:szCs w:val="20"/>
          <w:color w:val="auto"/>
        </w:rPr>
      </w:pPr>
    </w:p>
    <w:p>
      <w:pPr>
        <w:spacing w:after="0"/>
        <w:tabs>
          <w:tab w:leader="none" w:pos="440" w:val="left"/>
          <w:tab w:leader="none" w:pos="900" w:val="left"/>
          <w:tab w:leader="none" w:pos="1540" w:val="left"/>
          <w:tab w:leader="none" w:pos="2540" w:val="left"/>
          <w:tab w:leader="none" w:pos="3080" w:val="left"/>
          <w:tab w:leader="none" w:pos="4000" w:val="left"/>
          <w:tab w:leader="none" w:pos="4560" w:val="left"/>
          <w:tab w:leader="none" w:pos="5020" w:val="left"/>
          <w:tab w:leader="none" w:pos="6020" w:val="left"/>
        </w:tabs>
        <w:rPr>
          <w:sz w:val="20"/>
          <w:szCs w:val="20"/>
          <w:color w:val="auto"/>
        </w:rPr>
      </w:pPr>
      <w:r>
        <w:rPr>
          <w:rFonts w:ascii="Courier New" w:cs="Courier New" w:eastAsia="Courier New" w:hAnsi="Courier New"/>
          <w:sz w:val="15"/>
          <w:szCs w:val="15"/>
          <w:color w:val="auto"/>
        </w:rPr>
        <w:t>The</w:t>
        <w:tab/>
        <w:t>two</w:t>
        <w:tab/>
        <w:t>Board</w:t>
        <w:tab/>
        <w:t>proposals</w:t>
        <w:tab/>
        <w:t>were</w:t>
        <w:tab/>
        <w:t>approved</w:t>
        <w:tab/>
        <w:t>with</w:t>
        <w:tab/>
        <w:t>the</w:t>
        <w:tab/>
        <w:t>following</w:t>
        <w:tab/>
        <w:t>vote: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Abstentions (Other</w:t>
      </w:r>
    </w:p>
    <w:p>
      <w:pPr>
        <w:spacing w:after="0" w:line="6" w:lineRule="exact"/>
        <w:rPr>
          <w:sz w:val="20"/>
          <w:szCs w:val="20"/>
          <w:color w:val="auto"/>
        </w:rPr>
      </w:pPr>
    </w:p>
    <w:p>
      <w:pPr>
        <w:ind w:left="460"/>
        <w:spacing w:after="0"/>
        <w:tabs>
          <w:tab w:leader="none" w:pos="3000" w:val="left"/>
          <w:tab w:leader="none" w:pos="4560" w:val="left"/>
          <w:tab w:leader="none" w:pos="5740" w:val="left"/>
        </w:tabs>
        <w:rPr>
          <w:sz w:val="20"/>
          <w:szCs w:val="20"/>
          <w:color w:val="auto"/>
        </w:rPr>
      </w:pPr>
      <w:r>
        <w:rPr>
          <w:rFonts w:ascii="Courier New" w:cs="Courier New" w:eastAsia="Courier New" w:hAnsi="Courier New"/>
          <w:sz w:val="15"/>
          <w:szCs w:val="15"/>
          <w:color w:val="auto"/>
        </w:rPr>
        <w:t>Proposal</w:t>
      </w:r>
      <w:r>
        <w:rPr>
          <w:sz w:val="20"/>
          <w:szCs w:val="20"/>
          <w:color w:val="auto"/>
        </w:rPr>
        <w:tab/>
      </w:r>
      <w:r>
        <w:rPr>
          <w:rFonts w:ascii="Courier New" w:cs="Courier New" w:eastAsia="Courier New" w:hAnsi="Courier New"/>
          <w:sz w:val="15"/>
          <w:szCs w:val="15"/>
          <w:color w:val="auto"/>
        </w:rPr>
        <w:t>For</w:t>
      </w:r>
      <w:r>
        <w:rPr>
          <w:sz w:val="20"/>
          <w:szCs w:val="20"/>
          <w:color w:val="auto"/>
        </w:rPr>
        <w:tab/>
      </w:r>
      <w:r>
        <w:rPr>
          <w:rFonts w:ascii="Courier New" w:cs="Courier New" w:eastAsia="Courier New" w:hAnsi="Courier New"/>
          <w:sz w:val="15"/>
          <w:szCs w:val="15"/>
          <w:color w:val="auto"/>
        </w:rPr>
        <w:t>Against</w:t>
      </w:r>
      <w:r>
        <w:rPr>
          <w:sz w:val="20"/>
          <w:szCs w:val="20"/>
          <w:color w:val="auto"/>
        </w:rPr>
        <w:tab/>
      </w:r>
      <w:r>
        <w:rPr>
          <w:rFonts w:ascii="Courier New" w:cs="Courier New" w:eastAsia="Courier New" w:hAnsi="Courier New"/>
          <w:sz w:val="15"/>
          <w:szCs w:val="15"/>
          <w:color w:val="auto"/>
        </w:rPr>
        <w:t>Than Broker Non-Votes)</w:t>
      </w:r>
    </w:p>
    <w:p>
      <w:pPr>
        <w:spacing w:after="0" w:line="6" w:lineRule="exact"/>
        <w:rPr>
          <w:sz w:val="20"/>
          <w:szCs w:val="20"/>
          <w:color w:val="auto"/>
        </w:rPr>
      </w:pPr>
    </w:p>
    <w:p>
      <w:pPr>
        <w:ind w:left="460"/>
        <w:spacing w:after="0"/>
        <w:tabs>
          <w:tab w:leader="none" w:pos="3000" w:val="left"/>
          <w:tab w:leader="none" w:pos="4560" w:val="left"/>
          <w:tab w:leader="none" w:pos="57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2" w:lineRule="exact"/>
        <w:rPr>
          <w:sz w:val="20"/>
          <w:szCs w:val="20"/>
          <w:color w:val="auto"/>
        </w:rPr>
      </w:pPr>
    </w:p>
    <w:p>
      <w:pPr>
        <w:spacing w:after="0"/>
        <w:tabs>
          <w:tab w:leader="none" w:pos="2720" w:val="left"/>
          <w:tab w:leader="none" w:pos="4460" w:val="left"/>
          <w:tab w:leader="none" w:pos="6300" w:val="left"/>
        </w:tabs>
        <w:rPr>
          <w:sz w:val="20"/>
          <w:szCs w:val="20"/>
          <w:color w:val="auto"/>
        </w:rPr>
      </w:pPr>
      <w:r>
        <w:rPr>
          <w:rFonts w:ascii="Courier New" w:cs="Courier New" w:eastAsia="Courier New" w:hAnsi="Courier New"/>
          <w:sz w:val="15"/>
          <w:szCs w:val="15"/>
          <w:color w:val="auto"/>
        </w:rPr>
        <w:t>Board proposal with</w:t>
      </w:r>
      <w:r>
        <w:rPr>
          <w:sz w:val="20"/>
          <w:szCs w:val="20"/>
          <w:color w:val="auto"/>
        </w:rPr>
        <w:tab/>
      </w:r>
      <w:r>
        <w:rPr>
          <w:rFonts w:ascii="Courier New" w:cs="Courier New" w:eastAsia="Courier New" w:hAnsi="Courier New"/>
          <w:sz w:val="15"/>
          <w:szCs w:val="15"/>
          <w:color w:val="auto"/>
        </w:rPr>
        <w:t>1,346,497,486</w:t>
      </w:r>
      <w:r>
        <w:rPr>
          <w:sz w:val="20"/>
          <w:szCs w:val="20"/>
          <w:color w:val="auto"/>
        </w:rPr>
        <w:tab/>
      </w:r>
      <w:r>
        <w:rPr>
          <w:rFonts w:ascii="Courier New" w:cs="Courier New" w:eastAsia="Courier New" w:hAnsi="Courier New"/>
          <w:sz w:val="15"/>
          <w:szCs w:val="15"/>
          <w:color w:val="auto"/>
        </w:rPr>
        <w:t>116,775,743</w:t>
      </w:r>
      <w:r>
        <w:rPr>
          <w:sz w:val="20"/>
          <w:szCs w:val="20"/>
          <w:color w:val="auto"/>
        </w:rPr>
        <w:tab/>
      </w:r>
      <w:r>
        <w:rPr>
          <w:rFonts w:ascii="Courier New" w:cs="Courier New" w:eastAsia="Courier New" w:hAnsi="Courier New"/>
          <w:sz w:val="15"/>
          <w:szCs w:val="15"/>
          <w:color w:val="auto"/>
        </w:rPr>
        <w:t>11,102,109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 to adoption of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 Instruments Executive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 Performance Plan</w:t>
      </w:r>
    </w:p>
    <w:p>
      <w:pPr>
        <w:spacing w:after="0" w:line="182" w:lineRule="exact"/>
        <w:rPr>
          <w:sz w:val="20"/>
          <w:szCs w:val="20"/>
          <w:color w:val="auto"/>
        </w:rPr>
      </w:pPr>
    </w:p>
    <w:p>
      <w:pPr>
        <w:spacing w:after="0"/>
        <w:tabs>
          <w:tab w:leader="none" w:pos="2720" w:val="left"/>
          <w:tab w:leader="none" w:pos="4560" w:val="left"/>
          <w:tab w:leader="none" w:pos="6380" w:val="left"/>
        </w:tabs>
        <w:rPr>
          <w:sz w:val="20"/>
          <w:szCs w:val="20"/>
          <w:color w:val="auto"/>
        </w:rPr>
      </w:pPr>
      <w:r>
        <w:rPr>
          <w:rFonts w:ascii="Courier New" w:cs="Courier New" w:eastAsia="Courier New" w:hAnsi="Courier New"/>
          <w:sz w:val="15"/>
          <w:szCs w:val="15"/>
          <w:color w:val="auto"/>
        </w:rPr>
        <w:t>Board proposal with respect</w:t>
      </w:r>
      <w:r>
        <w:rPr>
          <w:sz w:val="20"/>
          <w:szCs w:val="20"/>
          <w:color w:val="auto"/>
        </w:rPr>
        <w:tab/>
      </w:r>
      <w:r>
        <w:rPr>
          <w:rFonts w:ascii="Courier New" w:cs="Courier New" w:eastAsia="Courier New" w:hAnsi="Courier New"/>
          <w:sz w:val="15"/>
          <w:szCs w:val="15"/>
          <w:color w:val="auto"/>
        </w:rPr>
        <w:t>1,443,408,033</w:t>
      </w:r>
      <w:r>
        <w:rPr>
          <w:sz w:val="20"/>
          <w:szCs w:val="20"/>
          <w:color w:val="auto"/>
        </w:rPr>
        <w:tab/>
      </w:r>
      <w:r>
        <w:rPr>
          <w:rFonts w:ascii="Courier New" w:cs="Courier New" w:eastAsia="Courier New" w:hAnsi="Courier New"/>
          <w:sz w:val="15"/>
          <w:szCs w:val="15"/>
          <w:color w:val="auto"/>
        </w:rPr>
        <w:t>21,676,808</w:t>
      </w:r>
      <w:r>
        <w:rPr>
          <w:sz w:val="20"/>
          <w:szCs w:val="20"/>
          <w:color w:val="auto"/>
        </w:rPr>
        <w:tab/>
      </w:r>
      <w:r>
        <w:rPr>
          <w:rFonts w:ascii="Courier New" w:cs="Courier New" w:eastAsia="Courier New" w:hAnsi="Courier New"/>
          <w:sz w:val="15"/>
          <w:szCs w:val="15"/>
          <w:color w:val="auto"/>
        </w:rPr>
        <w:t>9,289,048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adoption of the TI</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 2002 Stock Purchase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w:t>
      </w:r>
    </w:p>
    <w:p>
      <w:pPr>
        <w:spacing w:after="0" w:line="200" w:lineRule="exact"/>
        <w:rPr>
          <w:sz w:val="20"/>
          <w:szCs w:val="20"/>
          <w:color w:val="auto"/>
        </w:rPr>
      </w:pPr>
    </w:p>
    <w:p>
      <w:pPr>
        <w:spacing w:after="0" w:line="33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Broker Non-Votes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5,111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6,560</w:t>
      </w:r>
    </w:p>
    <w:p>
      <w:pPr>
        <w:sectPr>
          <w:pgSz w:w="11900" w:h="16838" w:orient="portrait"/>
          <w:cols w:equalWidth="0" w:num="2">
            <w:col w:w="7780" w:space="360"/>
            <w:col w:w="2079"/>
          </w:cols>
          <w:pgMar w:left="240" w:top="647"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ITEM 6. Exhibits and Reports on Form 8-K.</w:t>
      </w:r>
    </w:p>
    <w:p>
      <w:pPr>
        <w:spacing w:after="0" w:line="182" w:lineRule="exact"/>
        <w:rPr>
          <w:sz w:val="20"/>
          <w:szCs w:val="20"/>
          <w:color w:val="auto"/>
        </w:rPr>
      </w:pPr>
    </w:p>
    <w:p>
      <w:pPr>
        <w:ind w:left="820"/>
        <w:spacing w:after="0"/>
        <w:tabs>
          <w:tab w:leader="none" w:pos="1260" w:val="left"/>
        </w:tabs>
        <w:rPr>
          <w:sz w:val="20"/>
          <w:szCs w:val="20"/>
          <w:color w:val="auto"/>
        </w:rPr>
      </w:pPr>
      <w:r>
        <w:rPr>
          <w:rFonts w:ascii="Courier New" w:cs="Courier New" w:eastAsia="Courier New" w:hAnsi="Courier New"/>
          <w:sz w:val="15"/>
          <w:szCs w:val="15"/>
          <w:color w:val="auto"/>
        </w:rPr>
        <w:t>(a)</w:t>
        <w:tab/>
        <w:t>Exhibits</w:t>
      </w:r>
    </w:p>
    <w:p>
      <w:pPr>
        <w:spacing w:after="0" w:line="182"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Designation of</w:t>
      </w:r>
    </w:p>
    <w:p>
      <w:pPr>
        <w:spacing w:after="0" w:line="6"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Exhibits in</w:t>
      </w:r>
    </w:p>
    <w:p>
      <w:pPr>
        <w:spacing w:after="0" w:line="6" w:lineRule="exact"/>
        <w:rPr>
          <w:sz w:val="20"/>
          <w:szCs w:val="20"/>
          <w:color w:val="auto"/>
        </w:rPr>
      </w:pPr>
    </w:p>
    <w:p>
      <w:pPr>
        <w:ind w:left="1460"/>
        <w:spacing w:after="0"/>
        <w:tabs>
          <w:tab w:leader="none" w:pos="3460" w:val="left"/>
        </w:tabs>
        <w:rPr>
          <w:sz w:val="20"/>
          <w:szCs w:val="20"/>
          <w:color w:val="auto"/>
        </w:rPr>
      </w:pPr>
      <w:r>
        <w:rPr>
          <w:rFonts w:ascii="Courier New" w:cs="Courier New" w:eastAsia="Courier New" w:hAnsi="Courier New"/>
          <w:sz w:val="15"/>
          <w:szCs w:val="15"/>
          <w:color w:val="auto"/>
        </w:rPr>
        <w:t>This Report</w:t>
      </w:r>
      <w:r>
        <w:rPr>
          <w:sz w:val="20"/>
          <w:szCs w:val="20"/>
          <w:color w:val="auto"/>
        </w:rPr>
        <w:tab/>
      </w:r>
      <w:r>
        <w:rPr>
          <w:rFonts w:ascii="Courier New" w:cs="Courier New" w:eastAsia="Courier New" w:hAnsi="Courier New"/>
          <w:sz w:val="15"/>
          <w:szCs w:val="15"/>
          <w:color w:val="auto"/>
        </w:rPr>
        <w:t>Description of Exhibit</w:t>
      </w:r>
    </w:p>
    <w:p>
      <w:pPr>
        <w:spacing w:after="0" w:line="6" w:lineRule="exact"/>
        <w:rPr>
          <w:sz w:val="20"/>
          <w:szCs w:val="20"/>
          <w:color w:val="auto"/>
        </w:rPr>
      </w:pPr>
    </w:p>
    <w:p>
      <w:pPr>
        <w:ind w:left="1360"/>
        <w:spacing w:after="0"/>
        <w:tabs>
          <w:tab w:leader="none" w:pos="31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2" w:lineRule="exact"/>
        <w:rPr>
          <w:sz w:val="20"/>
          <w:szCs w:val="20"/>
          <w:color w:val="auto"/>
        </w:rPr>
      </w:pPr>
    </w:p>
    <w:p>
      <w:pPr>
        <w:ind w:left="1360"/>
        <w:spacing w:after="0"/>
        <w:tabs>
          <w:tab w:leader="none" w:pos="3180" w:val="left"/>
        </w:tabs>
        <w:rPr>
          <w:sz w:val="20"/>
          <w:szCs w:val="20"/>
          <w:color w:val="auto"/>
        </w:rPr>
      </w:pPr>
      <w:r>
        <w:rPr>
          <w:rFonts w:ascii="Courier New" w:cs="Courier New" w:eastAsia="Courier New" w:hAnsi="Courier New"/>
          <w:sz w:val="15"/>
          <w:szCs w:val="15"/>
          <w:color w:val="auto"/>
        </w:rPr>
        <w:t>10(a)</w:t>
      </w:r>
      <w:r>
        <w:rPr>
          <w:sz w:val="20"/>
          <w:szCs w:val="20"/>
          <w:color w:val="auto"/>
        </w:rPr>
        <w:tab/>
      </w:r>
      <w:r>
        <w:rPr>
          <w:rFonts w:ascii="Courier New" w:cs="Courier New" w:eastAsia="Courier New" w:hAnsi="Courier New"/>
          <w:sz w:val="15"/>
          <w:szCs w:val="15"/>
          <w:color w:val="auto"/>
        </w:rPr>
        <w:t>Texas Instruments Executive Officer</w:t>
      </w:r>
    </w:p>
    <w:p>
      <w:pPr>
        <w:spacing w:after="0" w:line="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Performance Plan.</w:t>
      </w:r>
    </w:p>
    <w:p>
      <w:pPr>
        <w:spacing w:after="0" w:line="182" w:lineRule="exact"/>
        <w:rPr>
          <w:sz w:val="20"/>
          <w:szCs w:val="20"/>
          <w:color w:val="auto"/>
        </w:rPr>
      </w:pPr>
    </w:p>
    <w:p>
      <w:pPr>
        <w:jc w:val="both"/>
        <w:ind w:left="1360"/>
        <w:spacing w:after="0"/>
        <w:tabs>
          <w:tab w:leader="none" w:pos="318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Computation of Basic and Diluted Earnings</w:t>
      </w:r>
    </w:p>
    <w:p>
      <w:pPr>
        <w:spacing w:after="0" w:line="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(Loss) Per Common and Dilutive Potential</w:t>
      </w:r>
    </w:p>
    <w:p>
      <w:pPr>
        <w:spacing w:after="0" w:line="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Common Share.</w:t>
      </w:r>
    </w:p>
    <w:p>
      <w:pPr>
        <w:sectPr>
          <w:pgSz w:w="11900" w:h="16838" w:orient="portrait"/>
          <w:cols w:equalWidth="0" w:num="1">
            <w:col w:w="10219"/>
          </w:cols>
          <w:pgMar w:left="240" w:top="647" w:right="1440" w:bottom="1440" w:gutter="0" w:footer="0" w:header="0"/>
        </w:sectPr>
      </w:pPr>
    </w:p>
    <w:p>
      <w:pPr>
        <w:spacing w:after="0" w:line="182"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12</w:t>
      </w:r>
    </w:p>
    <w:p>
      <w:pPr>
        <w:spacing w:after="0" w:line="359"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(b) Reports on Form 8-K.</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5"/>
          <w:szCs w:val="15"/>
          <w:color w:val="auto"/>
        </w:rPr>
        <w:t>Computation of Ratio of Earnings to Fixed Charges.</w:t>
      </w:r>
    </w:p>
    <w:p>
      <w:pPr>
        <w:spacing w:after="0" w:line="526" w:lineRule="exact"/>
        <w:rPr>
          <w:sz w:val="20"/>
          <w:szCs w:val="20"/>
          <w:color w:val="auto"/>
        </w:rPr>
      </w:pPr>
    </w:p>
    <w:p>
      <w:pPr>
        <w:sectPr>
          <w:pgSz w:w="11900" w:h="16838" w:orient="portrait"/>
          <w:cols w:equalWidth="0" w:num="2">
            <w:col w:w="3020" w:space="180"/>
            <w:col w:w="7019"/>
          </w:cols>
          <w:pgMar w:left="240" w:top="647" w:right="1440" w:bottom="1440" w:gutter="0" w:footer="0" w:header="0"/>
          <w:type w:val="continuous"/>
        </w:sectPr>
      </w:pPr>
    </w:p>
    <w:p>
      <w:pPr>
        <w:ind w:right="2979"/>
        <w:spacing w:after="0" w:line="249" w:lineRule="auto"/>
        <w:rPr>
          <w:sz w:val="20"/>
          <w:szCs w:val="20"/>
          <w:color w:val="auto"/>
        </w:rPr>
      </w:pPr>
      <w:r>
        <w:rPr>
          <w:rFonts w:ascii="Courier New" w:cs="Courier New" w:eastAsia="Courier New" w:hAnsi="Courier New"/>
          <w:sz w:val="15"/>
          <w:szCs w:val="15"/>
          <w:color w:val="auto"/>
        </w:rPr>
        <w:t>During the quarter ended June 30, 2002, the Registrant filed a report on Form 8-K dated May 14, 2002, reconfirming its outlook for the second quarter of 2002 as set forth in the Outlook Section included in Item 2 of its Form 10-Q for the quarter ending March 31, 2002.</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"Safe Harbor" Statement under the Private Securities Litigation Reform Act of 1995: This Form 10-Q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such statements herein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5"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We urge you to carefully consider the following important factors that could cause actual results to differ materially from the expectations of the company or its management:</w:t>
      </w:r>
    </w:p>
    <w:p>
      <w:pPr>
        <w:spacing w:after="0" w:line="176" w:lineRule="exact"/>
        <w:rPr>
          <w:sz w:val="20"/>
          <w:szCs w:val="20"/>
          <w:color w:val="auto"/>
        </w:rPr>
      </w:pPr>
    </w:p>
    <w:p>
      <w:pPr>
        <w:ind w:right="2899" w:firstLine="177"/>
        <w:spacing w:after="0" w:line="250" w:lineRule="auto"/>
        <w:tabs>
          <w:tab w:leader="none" w:pos="36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demand for semiconductors, particularly for digital signal processors and analog chips in key markets, such as telecommunications and computers;</w:t>
      </w:r>
    </w:p>
    <w:p>
      <w:pPr>
        <w:spacing w:after="0" w:line="174" w:lineRule="exact"/>
        <w:rPr>
          <w:rFonts w:ascii="Courier New" w:cs="Courier New" w:eastAsia="Courier New" w:hAnsi="Courier New"/>
          <w:sz w:val="15"/>
          <w:szCs w:val="15"/>
          <w:color w:val="auto"/>
        </w:rPr>
      </w:pPr>
    </w:p>
    <w:p>
      <w:pPr>
        <w:ind w:right="3079" w:firstLine="177"/>
        <w:spacing w:after="0" w:line="249" w:lineRule="auto"/>
        <w:tabs>
          <w:tab w:leader="none" w:pos="36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TI's ability to develop, manufacture and market innovative products in a rapidly changing technological environment, including timely implementation of new manufacturing technologies;</w:t>
      </w:r>
    </w:p>
    <w:p>
      <w:pPr>
        <w:spacing w:after="0" w:line="175" w:lineRule="exact"/>
        <w:rPr>
          <w:rFonts w:ascii="Courier New" w:cs="Courier New" w:eastAsia="Courier New" w:hAnsi="Courier New"/>
          <w:sz w:val="15"/>
          <w:szCs w:val="15"/>
          <w:color w:val="auto"/>
        </w:rPr>
      </w:pPr>
    </w:p>
    <w:p>
      <w:pPr>
        <w:ind w:right="3079" w:firstLine="177"/>
        <w:spacing w:after="0" w:line="250" w:lineRule="auto"/>
        <w:tabs>
          <w:tab w:leader="none" w:pos="36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TI's ability to compete in products and prices in an intensely competitive industry;</w:t>
      </w:r>
    </w:p>
    <w:p>
      <w:pPr>
        <w:spacing w:after="0" w:line="174" w:lineRule="exact"/>
        <w:rPr>
          <w:rFonts w:ascii="Courier New" w:cs="Courier New" w:eastAsia="Courier New" w:hAnsi="Courier New"/>
          <w:sz w:val="15"/>
          <w:szCs w:val="15"/>
          <w:color w:val="auto"/>
        </w:rPr>
      </w:pPr>
    </w:p>
    <w:p>
      <w:pPr>
        <w:ind w:right="3719" w:firstLine="177"/>
        <w:spacing w:after="0" w:line="250" w:lineRule="auto"/>
        <w:tabs>
          <w:tab w:leader="none" w:pos="36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TI's ability to maintain and enforce a strong intellectual property portfolio and obtain needed licenses from third parties;</w:t>
      </w:r>
    </w:p>
    <w:p>
      <w:pPr>
        <w:spacing w:after="0" w:line="174" w:lineRule="exact"/>
        <w:rPr>
          <w:rFonts w:ascii="Courier New" w:cs="Courier New" w:eastAsia="Courier New" w:hAnsi="Courier New"/>
          <w:sz w:val="15"/>
          <w:szCs w:val="15"/>
          <w:color w:val="auto"/>
        </w:rPr>
      </w:pPr>
    </w:p>
    <w:p>
      <w:pPr>
        <w:ind w:right="3539" w:firstLine="177"/>
        <w:spacing w:after="0" w:line="250" w:lineRule="auto"/>
        <w:tabs>
          <w:tab w:leader="none" w:pos="36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Consolidation of TI's patent licensees and market conditions reducing royalty payments to TI;</w:t>
      </w:r>
    </w:p>
    <w:p>
      <w:pPr>
        <w:spacing w:after="0" w:line="174" w:lineRule="exact"/>
        <w:rPr>
          <w:rFonts w:ascii="Courier New" w:cs="Courier New" w:eastAsia="Courier New" w:hAnsi="Courier New"/>
          <w:sz w:val="15"/>
          <w:szCs w:val="15"/>
          <w:color w:val="auto"/>
        </w:rPr>
      </w:pPr>
    </w:p>
    <w:p>
      <w:pPr>
        <w:ind w:left="360" w:hanging="183"/>
        <w:spacing w:after="0"/>
        <w:tabs>
          <w:tab w:leader="none" w:pos="3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Timely completion and successful integration of announced acquisitions;</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47" w:right="1440" w:bottom="1440" w:gutter="0" w:footer="0" w:header="0"/>
          <w:type w:val="continuous"/>
        </w:sectPr>
      </w:pPr>
    </w:p>
    <w:bookmarkStart w:id="18" w:name="page19"/>
    <w:bookmarkEnd w:id="18"/>
    <w:p>
      <w:pPr>
        <w:ind w:right="2979" w:firstLine="177"/>
        <w:spacing w:after="0" w:line="249" w:lineRule="auto"/>
        <w:tabs>
          <w:tab w:leader="none" w:pos="36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Economic, social and political conditions in the countries in which TI, its customers or its suppliers operate, including security risks, possible disruptions in transportation networks and fluctuations in foreign currency exchange rates;</w:t>
      </w:r>
    </w:p>
    <w:p>
      <w:pPr>
        <w:spacing w:after="0" w:line="175" w:lineRule="exact"/>
        <w:rPr>
          <w:rFonts w:ascii="Courier New" w:cs="Courier New" w:eastAsia="Courier New" w:hAnsi="Courier New"/>
          <w:sz w:val="15"/>
          <w:szCs w:val="15"/>
          <w:color w:val="auto"/>
        </w:rPr>
      </w:pPr>
    </w:p>
    <w:p>
      <w:pPr>
        <w:ind w:right="3359" w:firstLine="177"/>
        <w:spacing w:after="0" w:line="250" w:lineRule="auto"/>
        <w:tabs>
          <w:tab w:leader="none" w:pos="36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Losses or curtailments of purchases from key customers or the timing of customer inventory adjustments;</w:t>
      </w:r>
    </w:p>
    <w:p>
      <w:pPr>
        <w:spacing w:after="0" w:line="174" w:lineRule="exact"/>
        <w:rPr>
          <w:rFonts w:ascii="Courier New" w:cs="Courier New" w:eastAsia="Courier New" w:hAnsi="Courier New"/>
          <w:sz w:val="15"/>
          <w:szCs w:val="15"/>
          <w:color w:val="auto"/>
        </w:rPr>
      </w:pPr>
    </w:p>
    <w:p>
      <w:pPr>
        <w:ind w:left="360" w:hanging="183"/>
        <w:spacing w:after="0"/>
        <w:tabs>
          <w:tab w:leader="none" w:pos="3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TI's ability to recruit and retain skilled personnel; and</w:t>
      </w:r>
    </w:p>
    <w:p>
      <w:pPr>
        <w:spacing w:after="0" w:line="182" w:lineRule="exact"/>
        <w:rPr>
          <w:rFonts w:ascii="Courier New" w:cs="Courier New" w:eastAsia="Courier New" w:hAnsi="Courier New"/>
          <w:sz w:val="15"/>
          <w:szCs w:val="15"/>
          <w:color w:val="auto"/>
        </w:rPr>
      </w:pPr>
    </w:p>
    <w:p>
      <w:pPr>
        <w:ind w:left="360" w:hanging="183"/>
        <w:spacing w:after="0"/>
        <w:tabs>
          <w:tab w:leader="none" w:pos="3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Availability of raw materials and critical manufacturing equipment.</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For a more detailed discussion of these factors, see the text under the heading "Cautionary Statements Regarding Future Results of Operations" in Item 1 of the company's most recent Form 10-K. The forward-looking statements included in this Form 10-Q are made only as of the date of this Form 10-Q, and the company undertakes no obligation to update the forward-looking statements to reflect subsequent events or circumstances.</w:t>
      </w:r>
    </w:p>
    <w:p>
      <w:pPr>
        <w:spacing w:after="0" w:line="35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SIGNATURE</w:t>
      </w:r>
    </w:p>
    <w:p>
      <w:pPr>
        <w:spacing w:after="0" w:line="182" w:lineRule="exact"/>
        <w:rPr>
          <w:sz w:val="20"/>
          <w:szCs w:val="20"/>
          <w:color w:val="auto"/>
        </w:rPr>
      </w:pPr>
    </w:p>
    <w:p>
      <w:pPr>
        <w:jc w:val="both"/>
        <w:ind w:right="3619"/>
        <w:spacing w:after="0" w:line="249"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5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560"/>
        <w:spacing w:after="0"/>
        <w:tabs>
          <w:tab w:leader="none" w:pos="1980" w:val="left"/>
        </w:tabs>
        <w:rPr>
          <w:sz w:val="20"/>
          <w:szCs w:val="20"/>
          <w:color w:val="auto"/>
        </w:rPr>
      </w:pPr>
      <w:r>
        <w:rPr>
          <w:rFonts w:ascii="Courier New" w:cs="Courier New" w:eastAsia="Courier New" w:hAnsi="Courier New"/>
          <w:sz w:val="15"/>
          <w:szCs w:val="15"/>
          <w:color w:val="auto"/>
        </w:rPr>
        <w:t>BY:</w:t>
        <w:tab/>
        <w:t>/s/ WILLIAM A. AYLESWORTH</w:t>
      </w:r>
    </w:p>
    <w:p>
      <w:pPr>
        <w:spacing w:after="0" w:line="6"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_________________________</w:t>
      </w:r>
    </w:p>
    <w:p>
      <w:pPr>
        <w:spacing w:after="0" w:line="6"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William A. Aylesworth</w:t>
      </w:r>
    </w:p>
    <w:p>
      <w:pPr>
        <w:spacing w:after="0" w:line="6"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Senior Vice President and</w:t>
      </w:r>
    </w:p>
    <w:p>
      <w:pPr>
        <w:spacing w:after="0" w:line="6"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Chief Financial Officer</w:t>
      </w:r>
    </w:p>
    <w:p>
      <w:pPr>
        <w:spacing w:after="0" w:line="359"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5"/>
          <w:szCs w:val="15"/>
          <w:color w:val="auto"/>
        </w:rPr>
        <w:t>Date:</w:t>
        <w:tab/>
        <w:t>July 29, 2002</w:t>
      </w:r>
    </w:p>
    <w:p>
      <w:pPr>
        <w:spacing w:after="0" w:line="200" w:lineRule="exact"/>
        <w:rPr>
          <w:sz w:val="20"/>
          <w:szCs w:val="20"/>
          <w:color w:val="auto"/>
        </w:rPr>
      </w:pPr>
    </w:p>
    <w:p>
      <w:pPr>
        <w:spacing w:after="0" w:line="33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47" w:right="1440" w:bottom="1440" w:gutter="0" w:footer="0" w:header="0"/>
        </w:sectPr>
      </w:pPr>
    </w:p>
    <w:bookmarkStart w:id="19" w:name="page20"/>
    <w:bookmarkEnd w:id="19"/>
    <w:p>
      <w:pPr>
        <w:jc w:val="right"/>
        <w:ind w:right="2899"/>
        <w:spacing w:after="0"/>
        <w:rPr>
          <w:sz w:val="20"/>
          <w:szCs w:val="20"/>
          <w:color w:val="auto"/>
        </w:rPr>
      </w:pPr>
      <w:r>
        <w:rPr>
          <w:rFonts w:ascii="Courier New" w:cs="Courier New" w:eastAsia="Courier New" w:hAnsi="Courier New"/>
          <w:sz w:val="15"/>
          <w:szCs w:val="15"/>
          <w:color w:val="auto"/>
        </w:rPr>
        <w:t>Exhibit 10(a)</w:t>
      </w:r>
    </w:p>
    <w:p>
      <w:pPr>
        <w:spacing w:after="0" w:line="6" w:lineRule="exact"/>
        <w:rPr>
          <w:sz w:val="20"/>
          <w:szCs w:val="20"/>
          <w:color w:val="auto"/>
        </w:rPr>
      </w:pPr>
    </w:p>
    <w:p>
      <w:pPr>
        <w:ind w:left="614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TEXAS INSTRUMENTS EXECUTIVE OFFICER PERFORMANCE PLAN</w:t>
      </w:r>
    </w:p>
    <w:p>
      <w:pPr>
        <w:spacing w:after="0" w:line="18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Dated April 18, 2002</w:t>
      </w:r>
    </w:p>
    <w:p>
      <w:pPr>
        <w:spacing w:after="0" w:line="359" w:lineRule="exact"/>
        <w:rPr>
          <w:sz w:val="20"/>
          <w:szCs w:val="20"/>
          <w:color w:val="auto"/>
        </w:rPr>
      </w:pPr>
    </w:p>
    <w:p>
      <w:pPr>
        <w:ind w:right="3179"/>
        <w:spacing w:after="0" w:line="250" w:lineRule="auto"/>
        <w:rPr>
          <w:sz w:val="20"/>
          <w:szCs w:val="20"/>
          <w:color w:val="auto"/>
        </w:rPr>
      </w:pPr>
      <w:r>
        <w:rPr>
          <w:rFonts w:ascii="Courier New" w:cs="Courier New" w:eastAsia="Courier New" w:hAnsi="Courier New"/>
          <w:sz w:val="15"/>
          <w:szCs w:val="15"/>
          <w:color w:val="auto"/>
        </w:rPr>
        <w:t>The purpose of the Plan is to promote the success of the Company by providing performance-based compensation for executive officers.</w:t>
      </w:r>
    </w:p>
    <w:p>
      <w:pPr>
        <w:spacing w:after="0" w:line="175" w:lineRule="exact"/>
        <w:rPr>
          <w:sz w:val="20"/>
          <w:szCs w:val="20"/>
          <w:color w:val="auto"/>
        </w:rPr>
      </w:pPr>
    </w:p>
    <w:p>
      <w:pPr>
        <w:jc w:val="both"/>
        <w:ind w:right="3079"/>
        <w:spacing w:after="0" w:line="249" w:lineRule="auto"/>
        <w:rPr>
          <w:sz w:val="20"/>
          <w:szCs w:val="20"/>
          <w:color w:val="auto"/>
        </w:rPr>
      </w:pPr>
      <w:r>
        <w:rPr>
          <w:rFonts w:ascii="Courier New" w:cs="Courier New" w:eastAsia="Courier New" w:hAnsi="Courier New"/>
          <w:sz w:val="15"/>
          <w:szCs w:val="15"/>
          <w:color w:val="auto"/>
        </w:rPr>
        <w:t>For purposes of the Plan, unless otherwise indicated, the term "TI" shall mean Texas Instruments Incorporated, "Company" shall mean TI and its subsidiaries, and "Board" shall mean the Board of Directors of TI.</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Plan is intended to provide qualified performance-based compensation in accordance with Section 162(m) of the Internal Revenue Code of 1986, as amended, and regulations thereunder ("Code") and will be so interpreted.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Covered Employees</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executive officers of TI (within the meaning of Rule 3b-7 under the Securities Exchange Act of 1934 as amended from time to time) as of March 30 of each calendar year ("performance year") shall receive awards under the Plan for such performance year. An individual who becomes an executive officer after March 30 and on or before October 1 of a performance year shall receive an award as provided below.</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Administration of Plan</w:t>
      </w:r>
    </w:p>
    <w:p>
      <w:pPr>
        <w:spacing w:after="0" w:line="18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The Plan shall be administered by a Committee of the Board which shall be known as the Compensation Committee (the "Committee"). The Committee shall be appointed by a majority of the whole Board and shall consist of not less than three directors. The Board may designate one or more directors as alternate members of the Committee, who may replace any absent or disqualified member at any meeting of the Committee. A director may serve as a member or alternate member of the Committee only during periods in which the director is an "outside director" as described in Section 162(m) of the Code. The Committee shall have full power and authority to construe, interpret and administer the Plan. It may issue rules and regulations for administration of the Plan. It shall meet at such times and places as it may determine. A majority of the members of the Committee shall constitute a quorum and all decisions of the Committee shall be final, conclusive and binding upon all parties, including the Company, the stockholders and the employees.</w:t>
      </w:r>
    </w:p>
    <w:p>
      <w:pPr>
        <w:spacing w:after="0" w:line="18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Committee shall have the full and exclusive right to make reductions in awards under the Plan. In determining whether to reduce any award and the amount of any reduction, the Committee shall take into consideration such factors as the Committee shall determine.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 of Administration</w:t>
      </w:r>
    </w:p>
    <w:p>
      <w:pPr>
        <w:spacing w:after="0" w:line="182"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The expenses of the administration of this Plan, including the interest provided in the Plan, shall be borne by the Company.</w:t>
      </w:r>
    </w:p>
    <w:p>
      <w:pPr>
        <w:sectPr>
          <w:pgSz w:w="11900" w:h="16838" w:orient="portrait"/>
          <w:cols w:equalWidth="0" w:num="1">
            <w:col w:w="10219"/>
          </w:cols>
          <w:pgMar w:left="240" w:top="647"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Amendments</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Board may, at any time and from time to time, alter, amend, suspend or terminate the Plan or any part thereof as it may deem proper and in the best interests of the Company, provided, however, that no such action shall (i) affect or impair the rights under any award theretofore granted under the Plan, except that in the case of a covered employee employed outside the United States the Committee may vary the provisions of the Plan as it may deem appropriate to conform with local laws, practices and procedures or (ii) increase the maximum amount of any award above the amount described below.</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Awards</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Subject to the Committee's discretion to reduce such awards, each covered employee shall be entitled to an award for each performance year equal to 0.5% of the Company's consolidated income from continuing operations before (i) provision for income taxes, (ii) awards under the Plan, (iii) any pretax gain or loss exceeding $25 million recognized for the year related to divestiture of a business and (iv) any write-off of in process research and development expenses exceeding $25 million associated with an acquisition, as determined and reported to the Committee by TI's independent auditors ("Consolidated Income").</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An individual who becomes an executive officer after March 30 and on or before October 1 of a performance year shall be entitled to a prorated award for that performance year which shall be 0.5% of the Company's Consolidated Income, as defined above, for such performance year multiplied by a fraction, the numerator of which is the number of complete calendar quarters of such year following the date on which the individual becomes an executive officer and the denominator of which is 4. Such prorated award shall be subject to the Committee's discretion to reduce awards.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Scope of the Plan</w:t>
      </w:r>
    </w:p>
    <w:p>
      <w:pPr>
        <w:spacing w:after="0" w:line="182"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Nothing in this Plan shall be construed as precluding or prohibiting the Company from establishing or maintaining other bonus or compensation arrangements, which may be generally applicable or applicable only to selected employees or officers.</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Awards; Committee Discretion to Reduce</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As soon as practicable after the end of each performance year, TI's independent auditors shall determine and report to the Committee and the Committee shall certify the amount of each award for that year under the provisions of this Plan.</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Committee, in its sole discretion, based on any factors the Committee deems appropriate, may reduce the award to any covered employee in any year (including reduction to zero if the Committee so determines). The Committee shall make a determination of whether and to what extent to reduce awards under the Plan for each year at such time or times following the close of the performance year as the Committee shall deem appropriate. The reduction in the amount of an award to any covered employee for a performance year shall have no effect on the amount of the award to any other covered employee for such year.</w:t>
      </w:r>
    </w:p>
    <w:p>
      <w:pPr>
        <w:sectPr>
          <w:pgSz w:w="11900" w:h="16838" w:orient="portrait"/>
          <w:cols w:equalWidth="0" w:num="1">
            <w:col w:w="10219"/>
          </w:cols>
          <w:pgMar w:left="240" w:top="647"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Payment of Awards</w:t>
      </w:r>
    </w:p>
    <w:p>
      <w:pPr>
        <w:spacing w:after="0" w:line="182"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Awards and any installments thereof shall be paid in cash as of a date or dates determined by the Committee or, if the Committee makes no determination, then as soon as practicable after the amount of the awards has been determined.</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Committee may direct the awards to the covered employees or any of them for any year to be paid in a single amount or in installments of equal or varying amounts or may defer payment of any awards and may prescribe such terms and conditions concerning payment of awards as it deems appropriate, including completion of specific periods of employment with the Company, provided that such terms and conditions are not more favorable to a covered employee than those expressly set forth in the Plan. The Committee may determine that interest will be payable with respect to any payment of any award. The Committee may at any time amend any such direction and may amend or delete any such terms and conditions if the Committee deems it appropriate. The Committee's actions under this paragraph shall be subject to and in accordance with the rules governing qualified performance based compensation in Section 162(m) of the Code.</w:t>
      </w:r>
    </w:p>
    <w:p>
      <w:pPr>
        <w:spacing w:after="0" w:line="175"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Payments of awards to covered employees who are employees of subsidiaries of the Company shall be paid directly by such subsidiaries.</w:t>
      </w:r>
    </w:p>
    <w:p>
      <w:pPr>
        <w:sectPr>
          <w:pgSz w:w="11900" w:h="16838" w:orient="portrait"/>
          <w:cols w:equalWidth="0" w:num="1">
            <w:col w:w="10219"/>
          </w:cols>
          <w:pgMar w:left="240" w:top="647" w:right="1440" w:bottom="1440" w:gutter="0" w:footer="0" w:header="0"/>
        </w:sectPr>
      </w:pPr>
    </w:p>
    <w:bookmarkStart w:id="22" w:name="page23"/>
    <w:bookmarkEnd w:id="22"/>
    <w:p>
      <w:pPr>
        <w:jc w:val="right"/>
        <w:ind w:right="4120"/>
        <w:spacing w:after="0"/>
        <w:rPr>
          <w:sz w:val="20"/>
          <w:szCs w:val="20"/>
          <w:color w:val="auto"/>
        </w:rPr>
      </w:pPr>
      <w:r>
        <w:rPr>
          <w:rFonts w:ascii="Courier New" w:cs="Courier New" w:eastAsia="Courier New" w:hAnsi="Courier New"/>
          <w:sz w:val="15"/>
          <w:szCs w:val="15"/>
          <w:color w:val="auto"/>
        </w:rPr>
        <w:t>Exhibit 11</w:t>
      </w:r>
    </w:p>
    <w:p>
      <w:pPr>
        <w:spacing w:after="0" w:line="6" w:lineRule="exact"/>
        <w:rPr>
          <w:sz w:val="20"/>
          <w:szCs w:val="20"/>
          <w:color w:val="auto"/>
        </w:rPr>
      </w:pPr>
    </w:p>
    <w:p>
      <w:pPr>
        <w:ind w:left="640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1566"/>
        <w:spacing w:after="0"/>
        <w:rPr>
          <w:sz w:val="20"/>
          <w:szCs w:val="20"/>
          <w:color w:val="auto"/>
        </w:rPr>
      </w:pPr>
      <w:r>
        <w:rPr>
          <w:rFonts w:ascii="Courier New" w:cs="Courier New" w:eastAsia="Courier New" w:hAnsi="Courier New"/>
          <w:sz w:val="15"/>
          <w:szCs w:val="15"/>
          <w:color w:val="auto"/>
        </w:rPr>
        <w:t>TEXAS INSTRUMENTS INCORPORATED AND SUBSIDIARIES</w:t>
      </w:r>
    </w:p>
    <w:p>
      <w:pPr>
        <w:spacing w:after="0" w:line="6"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EARNINGS (LOSS) PER COMMON AND DILUTIVE POTENTIAL COMMON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3560" w:type="dxa"/>
            <w:vAlign w:val="bottom"/>
            <w:gridSpan w:val="4"/>
          </w:tcPr>
          <w:p>
            <w:pPr>
              <w:jc w:val="right"/>
              <w:ind w:right="424"/>
              <w:spacing w:after="0"/>
              <w:rPr>
                <w:sz w:val="20"/>
                <w:szCs w:val="20"/>
                <w:color w:val="auto"/>
              </w:rPr>
            </w:pPr>
            <w:r>
              <w:rPr>
                <w:rFonts w:ascii="Courier New" w:cs="Courier New" w:eastAsia="Courier New" w:hAnsi="Courier New"/>
                <w:sz w:val="15"/>
                <w:szCs w:val="15"/>
                <w:color w:val="auto"/>
              </w:rPr>
              <w:t>For Three Months Ended</w:t>
            </w:r>
          </w:p>
        </w:tc>
        <w:tc>
          <w:tcPr>
            <w:tcW w:w="420" w:type="dxa"/>
            <w:vAlign w:val="bottom"/>
          </w:tcPr>
          <w:p>
            <w:pPr>
              <w:spacing w:after="0"/>
              <w:rPr>
                <w:sz w:val="14"/>
                <w:szCs w:val="14"/>
                <w:color w:val="auto"/>
              </w:rPr>
            </w:pPr>
          </w:p>
        </w:tc>
        <w:tc>
          <w:tcPr>
            <w:tcW w:w="1840" w:type="dxa"/>
            <w:vAlign w:val="bottom"/>
            <w:gridSpan w:val="3"/>
          </w:tcPr>
          <w:p>
            <w:pPr>
              <w:spacing w:after="0"/>
              <w:rPr>
                <w:sz w:val="20"/>
                <w:szCs w:val="20"/>
                <w:color w:val="auto"/>
              </w:rPr>
            </w:pPr>
            <w:r>
              <w:rPr>
                <w:rFonts w:ascii="Courier New" w:cs="Courier New" w:eastAsia="Courier New" w:hAnsi="Courier New"/>
                <w:sz w:val="15"/>
                <w:szCs w:val="15"/>
                <w:color w:val="auto"/>
              </w:rPr>
              <w:t>For Six Months Ended</w:t>
            </w:r>
          </w:p>
        </w:tc>
      </w:tr>
      <w:tr>
        <w:trPr>
          <w:trHeight w:val="176"/>
        </w:trPr>
        <w:tc>
          <w:tcPr>
            <w:tcW w:w="5540" w:type="dxa"/>
            <w:vAlign w:val="bottom"/>
          </w:tcPr>
          <w:p>
            <w:pPr>
              <w:spacing w:after="0"/>
              <w:rPr>
                <w:sz w:val="15"/>
                <w:szCs w:val="15"/>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5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June 30</w:t>
            </w:r>
          </w:p>
        </w:tc>
        <w:tc>
          <w:tcPr>
            <w:tcW w:w="28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8"/>
              </w:rPr>
              <w:t>June 30</w:t>
            </w:r>
          </w:p>
        </w:tc>
        <w:tc>
          <w:tcPr>
            <w:tcW w:w="420" w:type="dxa"/>
            <w:vAlign w:val="bottom"/>
          </w:tcPr>
          <w:p>
            <w:pPr>
              <w:spacing w:after="0"/>
              <w:rPr>
                <w:sz w:val="15"/>
                <w:szCs w:val="15"/>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June 30</w:t>
            </w:r>
          </w:p>
        </w:tc>
        <w:tc>
          <w:tcPr>
            <w:tcW w:w="9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June 30</w:t>
            </w:r>
          </w:p>
        </w:tc>
      </w:tr>
      <w:tr>
        <w:trPr>
          <w:trHeight w:val="176"/>
        </w:trPr>
        <w:tc>
          <w:tcPr>
            <w:tcW w:w="55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2002</w:t>
            </w:r>
          </w:p>
        </w:tc>
        <w:tc>
          <w:tcPr>
            <w:tcW w:w="280" w:type="dxa"/>
            <w:vAlign w:val="bottom"/>
          </w:tcPr>
          <w:p>
            <w:pPr>
              <w:spacing w:after="0"/>
              <w:rPr>
                <w:sz w:val="15"/>
                <w:szCs w:val="15"/>
                <w:color w:val="auto"/>
              </w:rPr>
            </w:pPr>
          </w:p>
        </w:tc>
        <w:tc>
          <w:tcPr>
            <w:tcW w:w="11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2001</w:t>
            </w:r>
          </w:p>
        </w:tc>
        <w:tc>
          <w:tcPr>
            <w:tcW w:w="42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2002</w:t>
            </w:r>
          </w:p>
        </w:tc>
        <w:tc>
          <w:tcPr>
            <w:tcW w:w="360" w:type="dxa"/>
            <w:vAlign w:val="bottom"/>
          </w:tcPr>
          <w:p>
            <w:pPr>
              <w:spacing w:after="0"/>
              <w:rPr>
                <w:sz w:val="15"/>
                <w:szCs w:val="15"/>
                <w:color w:val="auto"/>
              </w:rPr>
            </w:pP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2001</w:t>
            </w:r>
          </w:p>
        </w:tc>
      </w:tr>
      <w:tr>
        <w:trPr>
          <w:trHeight w:val="176"/>
        </w:trPr>
        <w:tc>
          <w:tcPr>
            <w:tcW w:w="5540" w:type="dxa"/>
            <w:vAlign w:val="bottom"/>
          </w:tcPr>
          <w:p>
            <w:pPr>
              <w:spacing w:after="0"/>
              <w:rPr>
                <w:sz w:val="15"/>
                <w:szCs w:val="15"/>
                <w:color w:val="auto"/>
              </w:rPr>
            </w:pPr>
          </w:p>
        </w:tc>
        <w:tc>
          <w:tcPr>
            <w:tcW w:w="2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540" w:type="dxa"/>
            <w:vAlign w:val="bottom"/>
          </w:tcPr>
          <w:p>
            <w:pPr>
              <w:spacing w:after="0"/>
              <w:rPr>
                <w:sz w:val="20"/>
                <w:szCs w:val="20"/>
                <w:color w:val="auto"/>
              </w:rPr>
            </w:pPr>
            <w:r>
              <w:rPr>
                <w:rFonts w:ascii="Courier New" w:cs="Courier New" w:eastAsia="Courier New" w:hAnsi="Courier New"/>
                <w:sz w:val="15"/>
                <w:szCs w:val="15"/>
                <w:color w:val="auto"/>
              </w:rPr>
              <w:t>Net income (loss) in millions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(197)</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57</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Add:  Interest, net of tax effect, on convertible</w:t>
            </w:r>
          </w:p>
        </w:tc>
        <w:tc>
          <w:tcPr>
            <w:tcW w:w="1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5540" w:type="dxa"/>
            <w:vAlign w:val="bottom"/>
          </w:tcPr>
          <w:p>
            <w:pPr>
              <w:ind w:left="720"/>
              <w:spacing w:after="0"/>
              <w:rPr>
                <w:sz w:val="20"/>
                <w:szCs w:val="20"/>
                <w:color w:val="auto"/>
              </w:rPr>
            </w:pPr>
            <w:r>
              <w:rPr>
                <w:rFonts w:ascii="Courier New" w:cs="Courier New" w:eastAsia="Courier New" w:hAnsi="Courier New"/>
                <w:sz w:val="15"/>
                <w:szCs w:val="15"/>
                <w:color w:val="auto"/>
              </w:rPr>
              <w:t>debentures assumed converted</w:t>
            </w:r>
          </w:p>
        </w:tc>
        <w:tc>
          <w:tcPr>
            <w:tcW w:w="124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540" w:type="dxa"/>
            <w:vAlign w:val="bottom"/>
          </w:tcPr>
          <w:p>
            <w:pPr>
              <w:spacing w:after="0"/>
              <w:rPr>
                <w:sz w:val="15"/>
                <w:szCs w:val="15"/>
                <w:color w:val="auto"/>
              </w:rPr>
            </w:pPr>
          </w:p>
        </w:tc>
        <w:tc>
          <w:tcPr>
            <w:tcW w:w="2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Adjusted net income (loss) in millions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(197)</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57</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6"/>
        </w:trPr>
        <w:tc>
          <w:tcPr>
            <w:tcW w:w="5540" w:type="dxa"/>
            <w:vAlign w:val="bottom"/>
          </w:tcPr>
          <w:p>
            <w:pPr>
              <w:spacing w:after="0"/>
              <w:rPr>
                <w:sz w:val="15"/>
                <w:szCs w:val="15"/>
                <w:color w:val="auto"/>
              </w:rPr>
            </w:pPr>
          </w:p>
        </w:tc>
        <w:tc>
          <w:tcPr>
            <w:tcW w:w="2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Diluted Earnings (Loss) per Common and Dilutive Potential Common Share:</w:t>
      </w:r>
    </w:p>
    <w:p>
      <w:pPr>
        <w:spacing w:after="0" w:line="6" w:lineRule="exact"/>
        <w:rPr>
          <w:sz w:val="20"/>
          <w:szCs w:val="20"/>
          <w:color w:val="auto"/>
        </w:rPr>
      </w:pPr>
    </w:p>
    <w:p>
      <w:pPr>
        <w:ind w:left="186" w:hanging="186"/>
        <w:spacing w:after="0"/>
        <w:tabs>
          <w:tab w:leader="none" w:pos="18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Weighted average common shares outstanding</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820" w:type="dxa"/>
            <w:vAlign w:val="bottom"/>
          </w:tcPr>
          <w:p>
            <w:pPr>
              <w:ind w:left="180"/>
              <w:spacing w:after="0"/>
              <w:rPr>
                <w:sz w:val="20"/>
                <w:szCs w:val="20"/>
                <w:color w:val="auto"/>
              </w:rPr>
            </w:pPr>
            <w:r>
              <w:rPr>
                <w:rFonts w:ascii="Courier New" w:cs="Courier New" w:eastAsia="Courier New" w:hAnsi="Courier New"/>
                <w:sz w:val="15"/>
                <w:szCs w:val="15"/>
                <w:color w:val="auto"/>
              </w:rPr>
              <w:t>(in thousands)</w:t>
            </w:r>
          </w:p>
        </w:tc>
        <w:tc>
          <w:tcPr>
            <w:tcW w:w="18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1,734,658</w:t>
            </w:r>
          </w:p>
        </w:tc>
        <w:tc>
          <w:tcPr>
            <w:tcW w:w="14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1,735,623</w:t>
            </w:r>
          </w:p>
        </w:tc>
        <w:tc>
          <w:tcPr>
            <w:tcW w:w="13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1,734,537</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1,735,086</w:t>
            </w:r>
          </w:p>
        </w:tc>
      </w:tr>
      <w:tr>
        <w:trPr>
          <w:trHeight w:val="176"/>
        </w:trPr>
        <w:tc>
          <w:tcPr>
            <w:tcW w:w="5820" w:type="dxa"/>
            <w:vAlign w:val="bottom"/>
          </w:tcPr>
          <w:p>
            <w:pPr>
              <w:ind w:left="360"/>
              <w:spacing w:after="0"/>
              <w:rPr>
                <w:sz w:val="20"/>
                <w:szCs w:val="20"/>
                <w:color w:val="auto"/>
              </w:rPr>
            </w:pPr>
            <w:r>
              <w:rPr>
                <w:rFonts w:ascii="Courier New" w:cs="Courier New" w:eastAsia="Courier New" w:hAnsi="Courier New"/>
                <w:sz w:val="15"/>
                <w:szCs w:val="15"/>
                <w:color w:val="auto"/>
              </w:rPr>
              <w:t>Weighted average dilutive potential common shares:</w:t>
            </w: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5820" w:type="dxa"/>
            <w:vAlign w:val="bottom"/>
          </w:tcPr>
          <w:p>
            <w:pPr>
              <w:ind w:left="540"/>
              <w:spacing w:after="0"/>
              <w:rPr>
                <w:sz w:val="20"/>
                <w:szCs w:val="20"/>
                <w:color w:val="auto"/>
              </w:rPr>
            </w:pPr>
            <w:r>
              <w:rPr>
                <w:rFonts w:ascii="Courier New" w:cs="Courier New" w:eastAsia="Courier New" w:hAnsi="Courier New"/>
                <w:sz w:val="15"/>
                <w:szCs w:val="15"/>
                <w:color w:val="auto"/>
              </w:rPr>
              <w:t>Stock option and compensation plans</w:t>
            </w:r>
          </w:p>
        </w:tc>
        <w:tc>
          <w:tcPr>
            <w:tcW w:w="10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39,762</w:t>
            </w:r>
          </w:p>
        </w:tc>
        <w:tc>
          <w:tcPr>
            <w:tcW w:w="14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40,893</w:t>
            </w: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50,390</w:t>
            </w:r>
          </w:p>
        </w:tc>
      </w:tr>
      <w:tr>
        <w:trPr>
          <w:trHeight w:val="176"/>
        </w:trPr>
        <w:tc>
          <w:tcPr>
            <w:tcW w:w="5820" w:type="dxa"/>
            <w:vAlign w:val="bottom"/>
          </w:tcPr>
          <w:p>
            <w:pPr>
              <w:ind w:left="540"/>
              <w:spacing w:after="0"/>
              <w:rPr>
                <w:sz w:val="20"/>
                <w:szCs w:val="20"/>
                <w:color w:val="auto"/>
              </w:rPr>
            </w:pPr>
            <w:r>
              <w:rPr>
                <w:rFonts w:ascii="Courier New" w:cs="Courier New" w:eastAsia="Courier New" w:hAnsi="Courier New"/>
                <w:sz w:val="15"/>
                <w:szCs w:val="15"/>
                <w:color w:val="auto"/>
              </w:rPr>
              <w:t>Convertible debentures</w:t>
            </w:r>
          </w:p>
        </w:tc>
        <w:tc>
          <w:tcPr>
            <w:tcW w:w="10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820" w:type="dxa"/>
            <w:vAlign w:val="bottom"/>
          </w:tcPr>
          <w:p>
            <w:pPr>
              <w:spacing w:after="0"/>
              <w:rPr>
                <w:sz w:val="15"/>
                <w:szCs w:val="15"/>
                <w:color w:val="auto"/>
              </w:rPr>
            </w:pPr>
          </w:p>
        </w:tc>
        <w:tc>
          <w:tcPr>
            <w:tcW w:w="18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820" w:type="dxa"/>
            <w:vAlign w:val="bottom"/>
          </w:tcPr>
          <w:p>
            <w:pPr>
              <w:spacing w:after="0"/>
              <w:rPr>
                <w:sz w:val="20"/>
                <w:szCs w:val="20"/>
                <w:color w:val="auto"/>
              </w:rPr>
            </w:pPr>
            <w:r>
              <w:rPr>
                <w:rFonts w:ascii="Courier New" w:cs="Courier New" w:eastAsia="Courier New" w:hAnsi="Courier New"/>
                <w:sz w:val="15"/>
                <w:szCs w:val="15"/>
                <w:color w:val="auto"/>
              </w:rPr>
              <w:t>Weighted average common and dilutive potential</w:t>
            </w: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5820" w:type="dxa"/>
            <w:vAlign w:val="bottom"/>
          </w:tcPr>
          <w:p>
            <w:pPr>
              <w:ind w:left="180"/>
              <w:spacing w:after="0"/>
              <w:rPr>
                <w:sz w:val="20"/>
                <w:szCs w:val="20"/>
                <w:color w:val="auto"/>
              </w:rPr>
            </w:pPr>
            <w:r>
              <w:rPr>
                <w:rFonts w:ascii="Courier New" w:cs="Courier New" w:eastAsia="Courier New" w:hAnsi="Courier New"/>
                <w:sz w:val="15"/>
                <w:szCs w:val="15"/>
                <w:color w:val="auto"/>
              </w:rPr>
              <w:t>common shares</w:t>
            </w:r>
          </w:p>
        </w:tc>
        <w:tc>
          <w:tcPr>
            <w:tcW w:w="18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1,774,420</w:t>
            </w:r>
          </w:p>
        </w:tc>
        <w:tc>
          <w:tcPr>
            <w:tcW w:w="14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1,735,623</w:t>
            </w:r>
          </w:p>
        </w:tc>
        <w:tc>
          <w:tcPr>
            <w:tcW w:w="13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1,775,430</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1,785,476</w:t>
            </w:r>
          </w:p>
        </w:tc>
      </w:tr>
      <w:tr>
        <w:trPr>
          <w:trHeight w:val="176"/>
        </w:trPr>
        <w:tc>
          <w:tcPr>
            <w:tcW w:w="5820" w:type="dxa"/>
            <w:vAlign w:val="bottom"/>
          </w:tcPr>
          <w:p>
            <w:pPr>
              <w:spacing w:after="0"/>
              <w:rPr>
                <w:sz w:val="15"/>
                <w:szCs w:val="15"/>
                <w:color w:val="auto"/>
              </w:rPr>
            </w:pPr>
          </w:p>
        </w:tc>
        <w:tc>
          <w:tcPr>
            <w:tcW w:w="18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820" w:type="dxa"/>
            <w:vAlign w:val="bottom"/>
          </w:tcPr>
          <w:p>
            <w:pPr>
              <w:spacing w:after="0"/>
              <w:rPr>
                <w:sz w:val="20"/>
                <w:szCs w:val="20"/>
                <w:color w:val="auto"/>
              </w:rPr>
            </w:pPr>
            <w:r>
              <w:rPr>
                <w:rFonts w:ascii="Courier New" w:cs="Courier New" w:eastAsia="Courier New" w:hAnsi="Courier New"/>
                <w:sz w:val="15"/>
                <w:szCs w:val="15"/>
                <w:color w:val="auto"/>
              </w:rPr>
              <w:t>Diluted earnings (loss) per common share</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0.05</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(0.11)</w:t>
            </w:r>
          </w:p>
        </w:tc>
        <w:tc>
          <w:tcPr>
            <w:tcW w:w="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0.03</w:t>
            </w: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0.02</w:t>
            </w:r>
          </w:p>
        </w:tc>
      </w:tr>
      <w:tr>
        <w:trPr>
          <w:trHeight w:val="176"/>
        </w:trPr>
        <w:tc>
          <w:tcPr>
            <w:tcW w:w="5820" w:type="dxa"/>
            <w:vAlign w:val="bottom"/>
          </w:tcPr>
          <w:p>
            <w:pPr>
              <w:spacing w:after="0"/>
              <w:rPr>
                <w:sz w:val="15"/>
                <w:szCs w:val="15"/>
                <w:color w:val="auto"/>
              </w:rPr>
            </w:pPr>
          </w:p>
        </w:tc>
        <w:tc>
          <w:tcPr>
            <w:tcW w:w="18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Basic Earnings (Loss) per Common Share:</w:t>
      </w:r>
    </w:p>
    <w:p>
      <w:pPr>
        <w:spacing w:after="0" w:line="6" w:lineRule="exact"/>
        <w:rPr>
          <w:sz w:val="20"/>
          <w:szCs w:val="20"/>
          <w:color w:val="auto"/>
        </w:rPr>
      </w:pPr>
    </w:p>
    <w:p>
      <w:pPr>
        <w:ind w:left="186" w:hanging="186"/>
        <w:spacing w:after="0"/>
        <w:tabs>
          <w:tab w:leader="none" w:pos="18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Weighted average common shares outstanding</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080" w:type="dxa"/>
            <w:vAlign w:val="bottom"/>
          </w:tcPr>
          <w:p>
            <w:pPr>
              <w:ind w:left="180"/>
              <w:spacing w:after="0"/>
              <w:rPr>
                <w:sz w:val="20"/>
                <w:szCs w:val="20"/>
                <w:color w:val="auto"/>
              </w:rPr>
            </w:pPr>
            <w:r>
              <w:rPr>
                <w:rFonts w:ascii="Courier New" w:cs="Courier New" w:eastAsia="Courier New" w:hAnsi="Courier New"/>
                <w:sz w:val="15"/>
                <w:szCs w:val="15"/>
                <w:color w:val="auto"/>
              </w:rPr>
              <w:t>(in thousands)</w:t>
            </w:r>
          </w:p>
        </w:tc>
        <w:tc>
          <w:tcPr>
            <w:tcW w:w="26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1,734,658</w:t>
            </w:r>
          </w:p>
        </w:tc>
        <w:tc>
          <w:tcPr>
            <w:tcW w:w="1420" w:type="dxa"/>
            <w:vAlign w:val="bottom"/>
          </w:tcPr>
          <w:p>
            <w:pPr>
              <w:ind w:left="200"/>
              <w:spacing w:after="0"/>
              <w:rPr>
                <w:sz w:val="20"/>
                <w:szCs w:val="20"/>
                <w:color w:val="auto"/>
              </w:rPr>
            </w:pPr>
            <w:r>
              <w:rPr>
                <w:rFonts w:ascii="Courier New" w:cs="Courier New" w:eastAsia="Courier New" w:hAnsi="Courier New"/>
                <w:sz w:val="15"/>
                <w:szCs w:val="15"/>
                <w:color w:val="auto"/>
              </w:rPr>
              <w:t>1,735,623</w:t>
            </w:r>
          </w:p>
        </w:tc>
        <w:tc>
          <w:tcPr>
            <w:tcW w:w="12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1,734,537</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1,735,086</w:t>
            </w:r>
          </w:p>
        </w:tc>
      </w:tr>
      <w:tr>
        <w:trPr>
          <w:trHeight w:val="176"/>
        </w:trPr>
        <w:tc>
          <w:tcPr>
            <w:tcW w:w="5080" w:type="dxa"/>
            <w:vAlign w:val="bottom"/>
          </w:tcPr>
          <w:p>
            <w:pPr>
              <w:spacing w:after="0"/>
              <w:rPr>
                <w:sz w:val="15"/>
                <w:szCs w:val="15"/>
                <w:color w:val="auto"/>
              </w:rPr>
            </w:pPr>
          </w:p>
        </w:tc>
        <w:tc>
          <w:tcPr>
            <w:tcW w:w="26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080" w:type="dxa"/>
            <w:vAlign w:val="bottom"/>
          </w:tcPr>
          <w:p>
            <w:pPr>
              <w:spacing w:after="0"/>
              <w:rPr>
                <w:sz w:val="20"/>
                <w:szCs w:val="20"/>
                <w:color w:val="auto"/>
              </w:rPr>
            </w:pPr>
            <w:r>
              <w:rPr>
                <w:rFonts w:ascii="Courier New" w:cs="Courier New" w:eastAsia="Courier New" w:hAnsi="Courier New"/>
                <w:sz w:val="15"/>
                <w:szCs w:val="15"/>
                <w:color w:val="auto"/>
              </w:rPr>
              <w:t>Basic earnings (loss) per common share</w:t>
            </w:r>
          </w:p>
        </w:tc>
        <w:tc>
          <w:tcPr>
            <w:tcW w:w="1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0.05</w:t>
            </w:r>
          </w:p>
        </w:tc>
        <w:tc>
          <w:tcPr>
            <w:tcW w:w="1420" w:type="dxa"/>
            <w:vAlign w:val="bottom"/>
          </w:tcPr>
          <w:p>
            <w:pPr>
              <w:ind w:left="200"/>
              <w:spacing w:after="0"/>
              <w:rPr>
                <w:sz w:val="20"/>
                <w:szCs w:val="20"/>
                <w:color w:val="auto"/>
              </w:rPr>
            </w:pPr>
            <w:r>
              <w:rPr>
                <w:rFonts w:ascii="Courier New" w:cs="Courier New" w:eastAsia="Courier New" w:hAnsi="Courier New"/>
                <w:sz w:val="15"/>
                <w:szCs w:val="15"/>
                <w:color w:val="auto"/>
              </w:rPr>
              <w:t>$   (0.11)</w:t>
            </w: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0.03</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0.02</w:t>
            </w:r>
          </w:p>
        </w:tc>
      </w:tr>
      <w:tr>
        <w:trPr>
          <w:trHeight w:val="176"/>
        </w:trPr>
        <w:tc>
          <w:tcPr>
            <w:tcW w:w="5080" w:type="dxa"/>
            <w:vAlign w:val="bottom"/>
          </w:tcPr>
          <w:p>
            <w:pPr>
              <w:spacing w:after="0"/>
              <w:rPr>
                <w:sz w:val="15"/>
                <w:szCs w:val="15"/>
                <w:color w:val="auto"/>
              </w:rPr>
            </w:pPr>
          </w:p>
        </w:tc>
        <w:tc>
          <w:tcPr>
            <w:tcW w:w="26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446"/>
          </w:cols>
          <w:pgMar w:left="234" w:top="647" w:right="219" w:bottom="1440" w:gutter="0" w:footer="0" w:header="0"/>
        </w:sectPr>
      </w:pPr>
    </w:p>
    <w:bookmarkStart w:id="23" w:name="page24"/>
    <w:bookmarkEnd w:id="23"/>
    <w:p>
      <w:pPr>
        <w:ind w:left="6406"/>
        <w:spacing w:after="0"/>
        <w:rPr>
          <w:sz w:val="20"/>
          <w:szCs w:val="20"/>
          <w:color w:val="auto"/>
        </w:rPr>
      </w:pPr>
      <w:r>
        <w:rPr>
          <w:rFonts w:ascii="Courier New" w:cs="Courier New" w:eastAsia="Courier New" w:hAnsi="Courier New"/>
          <w:sz w:val="15"/>
          <w:szCs w:val="15"/>
          <w:color w:val="auto"/>
        </w:rPr>
        <w:t>Exhibit 12</w:t>
      </w:r>
    </w:p>
    <w:p>
      <w:pPr>
        <w:spacing w:after="0" w:line="6" w:lineRule="exact"/>
        <w:rPr>
          <w:sz w:val="20"/>
          <w:szCs w:val="20"/>
          <w:color w:val="auto"/>
        </w:rPr>
      </w:pPr>
    </w:p>
    <w:p>
      <w:pPr>
        <w:ind w:left="640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jc w:val="center"/>
        <w:ind w:right="2914"/>
        <w:spacing w:after="0"/>
        <w:rPr>
          <w:sz w:val="20"/>
          <w:szCs w:val="20"/>
          <w:color w:val="auto"/>
        </w:rPr>
      </w:pPr>
      <w:r>
        <w:rPr>
          <w:rFonts w:ascii="Courier New" w:cs="Courier New" w:eastAsia="Courier New" w:hAnsi="Courier New"/>
          <w:sz w:val="15"/>
          <w:szCs w:val="15"/>
          <w:color w:val="auto"/>
        </w:rPr>
        <w:t>TEXAS INSTRUMENTS INCORPORATED AND SUBSIDIARIES</w:t>
      </w:r>
    </w:p>
    <w:p>
      <w:pPr>
        <w:spacing w:after="0" w:line="6" w:lineRule="exact"/>
        <w:rPr>
          <w:sz w:val="20"/>
          <w:szCs w:val="20"/>
          <w:color w:val="auto"/>
        </w:rPr>
      </w:pPr>
    </w:p>
    <w:p>
      <w:pPr>
        <w:jc w:val="center"/>
        <w:ind w:right="2914"/>
        <w:spacing w:after="0"/>
        <w:rPr>
          <w:sz w:val="20"/>
          <w:szCs w:val="20"/>
          <w:color w:val="auto"/>
        </w:rPr>
      </w:pPr>
      <w:r>
        <w:rPr>
          <w:rFonts w:ascii="Courier New" w:cs="Courier New" w:eastAsia="Courier New" w:hAnsi="Courier New"/>
          <w:sz w:val="15"/>
          <w:szCs w:val="15"/>
          <w:color w:val="auto"/>
        </w:rPr>
        <w:t>COMPUTATION OF RATIO OF EARNINGS TO FIXED CHARGES</w:t>
      </w:r>
    </w:p>
    <w:p>
      <w:pPr>
        <w:spacing w:after="0" w:line="6" w:lineRule="exact"/>
        <w:rPr>
          <w:sz w:val="20"/>
          <w:szCs w:val="20"/>
          <w:color w:val="auto"/>
        </w:rPr>
      </w:pPr>
    </w:p>
    <w:p>
      <w:pPr>
        <w:jc w:val="center"/>
        <w:ind w:right="3014"/>
        <w:spacing w:after="0"/>
        <w:rPr>
          <w:sz w:val="20"/>
          <w:szCs w:val="20"/>
          <w:color w:val="auto"/>
        </w:rPr>
      </w:pPr>
      <w:r>
        <w:rPr>
          <w:rFonts w:ascii="Courier New" w:cs="Courier New" w:eastAsia="Courier New" w:hAnsi="Courier New"/>
          <w:sz w:val="15"/>
          <w:szCs w:val="15"/>
          <w:color w:val="auto"/>
        </w:rPr>
        <w:t>(In millions of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ind w:right="180"/>
        <w:spacing w:after="0"/>
        <w:rPr>
          <w:sz w:val="20"/>
          <w:szCs w:val="20"/>
          <w:color w:val="auto"/>
        </w:rPr>
      </w:pPr>
      <w:r>
        <w:rPr>
          <w:rFonts w:ascii="Courier New" w:cs="Courier New" w:eastAsia="Courier New" w:hAnsi="Courier New"/>
          <w:sz w:val="15"/>
          <w:szCs w:val="15"/>
          <w:color w:val="auto"/>
        </w:rPr>
        <w:t>For Six Months</w:t>
      </w:r>
    </w:p>
    <w:p>
      <w:pPr>
        <w:spacing w:after="0" w:line="6" w:lineRule="exact"/>
        <w:rPr>
          <w:sz w:val="20"/>
          <w:szCs w:val="20"/>
          <w:color w:val="auto"/>
        </w:rPr>
      </w:pPr>
    </w:p>
    <w:p>
      <w:pPr>
        <w:jc w:val="right"/>
        <w:ind w:right="180"/>
        <w:spacing w:after="0"/>
        <w:rPr>
          <w:sz w:val="20"/>
          <w:szCs w:val="20"/>
          <w:color w:val="auto"/>
        </w:rPr>
      </w:pPr>
      <w:r>
        <w:rPr>
          <w:rFonts w:ascii="Courier New" w:cs="Courier New" w:eastAsia="Courier New" w:hAnsi="Courier New"/>
          <w:sz w:val="15"/>
          <w:szCs w:val="15"/>
          <w:color w:val="auto"/>
        </w:rPr>
        <w:t>Ended June 30</w:t>
      </w:r>
    </w:p>
    <w:p>
      <w:pPr>
        <w:spacing w:after="0" w:line="6" w:lineRule="exact"/>
        <w:rPr>
          <w:sz w:val="20"/>
          <w:szCs w:val="20"/>
          <w:color w:val="auto"/>
        </w:rPr>
      </w:pPr>
    </w:p>
    <w:p>
      <w:pPr>
        <w:ind w:left="888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4"/>
              </w:rPr>
              <w:t>1997</w:t>
            </w:r>
          </w:p>
        </w:tc>
        <w:tc>
          <w:tcPr>
            <w:tcW w:w="240" w:type="dxa"/>
            <w:vAlign w:val="bottom"/>
          </w:tcPr>
          <w:p>
            <w:pPr>
              <w:spacing w:after="0"/>
              <w:rPr>
                <w:sz w:val="14"/>
                <w:szCs w:val="14"/>
                <w:color w:val="auto"/>
              </w:rPr>
            </w:pP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4"/>
              </w:rPr>
              <w:t>1998</w:t>
            </w:r>
          </w:p>
        </w:tc>
        <w:tc>
          <w:tcPr>
            <w:tcW w:w="200" w:type="dxa"/>
            <w:vAlign w:val="bottom"/>
          </w:tcPr>
          <w:p>
            <w:pPr>
              <w:spacing w:after="0"/>
              <w:rPr>
                <w:sz w:val="14"/>
                <w:szCs w:val="14"/>
                <w:color w:val="auto"/>
              </w:rPr>
            </w:pPr>
          </w:p>
        </w:tc>
        <w:tc>
          <w:tcPr>
            <w:tcW w:w="5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4"/>
              </w:rPr>
              <w:t>1999</w:t>
            </w:r>
          </w:p>
        </w:tc>
        <w:tc>
          <w:tcPr>
            <w:tcW w:w="240" w:type="dxa"/>
            <w:vAlign w:val="bottom"/>
          </w:tcPr>
          <w:p>
            <w:pPr>
              <w:spacing w:after="0"/>
              <w:rPr>
                <w:sz w:val="14"/>
                <w:szCs w:val="14"/>
                <w:color w:val="auto"/>
              </w:rPr>
            </w:pPr>
          </w:p>
        </w:tc>
        <w:tc>
          <w:tcPr>
            <w:tcW w:w="60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4"/>
              </w:rPr>
              <w:t>2000</w:t>
            </w:r>
          </w:p>
        </w:tc>
        <w:tc>
          <w:tcPr>
            <w:tcW w:w="220" w:type="dxa"/>
            <w:vAlign w:val="bottom"/>
          </w:tcPr>
          <w:p>
            <w:pPr>
              <w:spacing w:after="0"/>
              <w:rPr>
                <w:sz w:val="14"/>
                <w:szCs w:val="14"/>
                <w:color w:val="auto"/>
              </w:rPr>
            </w:pPr>
          </w:p>
        </w:tc>
        <w:tc>
          <w:tcPr>
            <w:tcW w:w="6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4"/>
              </w:rPr>
              <w:t>2001</w:t>
            </w:r>
          </w:p>
        </w:tc>
        <w:tc>
          <w:tcPr>
            <w:tcW w:w="240" w:type="dxa"/>
            <w:vAlign w:val="bottom"/>
          </w:tcPr>
          <w:p>
            <w:pPr>
              <w:spacing w:after="0"/>
              <w:rPr>
                <w:sz w:val="14"/>
                <w:szCs w:val="14"/>
                <w:color w:val="auto"/>
              </w:rPr>
            </w:pP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4"/>
              </w:rPr>
              <w:t>2001</w:t>
            </w:r>
          </w:p>
        </w:tc>
        <w:tc>
          <w:tcPr>
            <w:tcW w:w="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2002</w:t>
            </w:r>
          </w:p>
        </w:tc>
      </w:tr>
      <w:tr>
        <w:trPr>
          <w:trHeight w:val="176"/>
        </w:trPr>
        <w:tc>
          <w:tcPr>
            <w:tcW w:w="4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4"/>
              </w:rPr>
              <w:t>----</w:t>
            </w:r>
          </w:p>
        </w:tc>
        <w:tc>
          <w:tcPr>
            <w:tcW w:w="240" w:type="dxa"/>
            <w:vAlign w:val="bottom"/>
          </w:tcPr>
          <w:p>
            <w:pPr>
              <w:spacing w:after="0"/>
              <w:rPr>
                <w:sz w:val="15"/>
                <w:szCs w:val="15"/>
                <w:color w:val="auto"/>
              </w:rPr>
            </w:pP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4"/>
              </w:rPr>
              <w:t>----</w:t>
            </w:r>
          </w:p>
        </w:tc>
        <w:tc>
          <w:tcPr>
            <w:tcW w:w="200" w:type="dxa"/>
            <w:vAlign w:val="bottom"/>
          </w:tcPr>
          <w:p>
            <w:pPr>
              <w:spacing w:after="0"/>
              <w:rPr>
                <w:sz w:val="15"/>
                <w:szCs w:val="15"/>
                <w:color w:val="auto"/>
              </w:rPr>
            </w:pPr>
          </w:p>
        </w:tc>
        <w:tc>
          <w:tcPr>
            <w:tcW w:w="5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4"/>
              </w:rPr>
              <w:t>----</w:t>
            </w:r>
          </w:p>
        </w:tc>
        <w:tc>
          <w:tcPr>
            <w:tcW w:w="240" w:type="dxa"/>
            <w:vAlign w:val="bottom"/>
          </w:tcPr>
          <w:p>
            <w:pPr>
              <w:spacing w:after="0"/>
              <w:rPr>
                <w:sz w:val="15"/>
                <w:szCs w:val="15"/>
                <w:color w:val="auto"/>
              </w:rPr>
            </w:pPr>
          </w:p>
        </w:tc>
        <w:tc>
          <w:tcPr>
            <w:tcW w:w="60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4"/>
              </w:rPr>
              <w:t>----</w:t>
            </w:r>
          </w:p>
        </w:tc>
        <w:tc>
          <w:tcPr>
            <w:tcW w:w="220" w:type="dxa"/>
            <w:vAlign w:val="bottom"/>
          </w:tcPr>
          <w:p>
            <w:pPr>
              <w:spacing w:after="0"/>
              <w:rPr>
                <w:sz w:val="15"/>
                <w:szCs w:val="15"/>
                <w:color w:val="auto"/>
              </w:rPr>
            </w:pPr>
          </w:p>
        </w:tc>
        <w:tc>
          <w:tcPr>
            <w:tcW w:w="6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4"/>
              </w:rPr>
              <w:t>----</w:t>
            </w:r>
          </w:p>
        </w:tc>
        <w:tc>
          <w:tcPr>
            <w:tcW w:w="240" w:type="dxa"/>
            <w:vAlign w:val="bottom"/>
          </w:tcPr>
          <w:p>
            <w:pPr>
              <w:spacing w:after="0"/>
              <w:rPr>
                <w:sz w:val="15"/>
                <w:szCs w:val="15"/>
                <w:color w:val="auto"/>
              </w:rPr>
            </w:pP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4"/>
              </w:rPr>
              <w:t>----</w:t>
            </w:r>
          </w:p>
        </w:tc>
        <w:tc>
          <w:tcPr>
            <w:tcW w:w="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r>
      <w:tr>
        <w:trPr>
          <w:trHeight w:val="176"/>
        </w:trPr>
        <w:tc>
          <w:tcPr>
            <w:tcW w:w="4400" w:type="dxa"/>
            <w:vAlign w:val="bottom"/>
          </w:tcPr>
          <w:p>
            <w:pPr>
              <w:spacing w:after="0"/>
              <w:rPr>
                <w:sz w:val="20"/>
                <w:szCs w:val="20"/>
                <w:color w:val="auto"/>
              </w:rPr>
            </w:pPr>
            <w:r>
              <w:rPr>
                <w:rFonts w:ascii="Courier New" w:cs="Courier New" w:eastAsia="Courier New" w:hAnsi="Courier New"/>
                <w:sz w:val="15"/>
                <w:szCs w:val="15"/>
                <w:color w:val="auto"/>
              </w:rPr>
              <w:t>Earnings:</w:t>
            </w: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6"/>
        </w:trPr>
        <w:tc>
          <w:tcPr>
            <w:tcW w:w="4400" w:type="dxa"/>
            <w:vAlign w:val="bottom"/>
          </w:tcPr>
          <w:p>
            <w:pPr>
              <w:ind w:left="180"/>
              <w:spacing w:after="0"/>
              <w:rPr>
                <w:sz w:val="20"/>
                <w:szCs w:val="20"/>
                <w:color w:val="auto"/>
              </w:rPr>
            </w:pPr>
            <w:r>
              <w:rPr>
                <w:rFonts w:ascii="Courier New" w:cs="Courier New" w:eastAsia="Courier New" w:hAnsi="Courier New"/>
                <w:sz w:val="15"/>
                <w:szCs w:val="15"/>
                <w:color w:val="auto"/>
              </w:rPr>
              <w:t>Income (loss)from continuing operations</w:t>
            </w: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6"/>
        </w:trPr>
        <w:tc>
          <w:tcPr>
            <w:tcW w:w="4400" w:type="dxa"/>
            <w:vAlign w:val="bottom"/>
          </w:tcPr>
          <w:p>
            <w:pPr>
              <w:ind w:left="360"/>
              <w:spacing w:after="0"/>
              <w:rPr>
                <w:sz w:val="20"/>
                <w:szCs w:val="20"/>
                <w:color w:val="auto"/>
              </w:rPr>
            </w:pPr>
            <w:r>
              <w:rPr>
                <w:rFonts w:ascii="Courier New" w:cs="Courier New" w:eastAsia="Courier New" w:hAnsi="Courier New"/>
                <w:sz w:val="15"/>
                <w:szCs w:val="15"/>
                <w:color w:val="auto"/>
              </w:rPr>
              <w:t>before income taxes plus fixed</w:t>
            </w: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6"/>
        </w:trPr>
        <w:tc>
          <w:tcPr>
            <w:tcW w:w="4400" w:type="dxa"/>
            <w:vAlign w:val="bottom"/>
          </w:tcPr>
          <w:p>
            <w:pPr>
              <w:ind w:left="360"/>
              <w:spacing w:after="0"/>
              <w:rPr>
                <w:sz w:val="20"/>
                <w:szCs w:val="20"/>
                <w:color w:val="auto"/>
              </w:rPr>
            </w:pPr>
            <w:r>
              <w:rPr>
                <w:rFonts w:ascii="Courier New" w:cs="Courier New" w:eastAsia="Courier New" w:hAnsi="Courier New"/>
                <w:sz w:val="15"/>
                <w:szCs w:val="15"/>
                <w:color w:val="auto"/>
              </w:rPr>
              <w:t>charges and amortization of</w:t>
            </w: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6"/>
        </w:trPr>
        <w:tc>
          <w:tcPr>
            <w:tcW w:w="4400" w:type="dxa"/>
            <w:vAlign w:val="bottom"/>
          </w:tcPr>
          <w:p>
            <w:pPr>
              <w:ind w:left="360"/>
              <w:spacing w:after="0"/>
              <w:rPr>
                <w:sz w:val="20"/>
                <w:szCs w:val="20"/>
                <w:color w:val="auto"/>
              </w:rPr>
            </w:pPr>
            <w:r>
              <w:rPr>
                <w:rFonts w:ascii="Courier New" w:cs="Courier New" w:eastAsia="Courier New" w:hAnsi="Courier New"/>
                <w:sz w:val="15"/>
                <w:szCs w:val="15"/>
                <w:color w:val="auto"/>
              </w:rPr>
              <w:t>capitalized interest less</w:t>
            </w: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6"/>
        </w:trPr>
        <w:tc>
          <w:tcPr>
            <w:tcW w:w="4400" w:type="dxa"/>
            <w:vAlign w:val="bottom"/>
          </w:tcPr>
          <w:p>
            <w:pPr>
              <w:ind w:left="360"/>
              <w:spacing w:after="0"/>
              <w:rPr>
                <w:sz w:val="20"/>
                <w:szCs w:val="20"/>
                <w:color w:val="auto"/>
              </w:rPr>
            </w:pPr>
            <w:r>
              <w:rPr>
                <w:rFonts w:ascii="Courier New" w:cs="Courier New" w:eastAsia="Courier New" w:hAnsi="Courier New"/>
                <w:sz w:val="15"/>
                <w:szCs w:val="15"/>
                <w:color w:val="auto"/>
              </w:rPr>
              <w:t>interest capitalized . . . . . . . . .</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973</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815</w:t>
            </w:r>
          </w:p>
        </w:tc>
        <w:tc>
          <w:tcPr>
            <w:tcW w:w="7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$2,205</w:t>
            </w:r>
          </w:p>
        </w:tc>
        <w:tc>
          <w:tcPr>
            <w:tcW w:w="8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$4,702</w:t>
            </w:r>
          </w:p>
        </w:tc>
        <w:tc>
          <w:tcPr>
            <w:tcW w:w="9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(316)</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120</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119</w:t>
            </w:r>
          </w:p>
        </w:tc>
      </w:tr>
      <w:tr>
        <w:trPr>
          <w:trHeight w:val="176"/>
        </w:trPr>
        <w:tc>
          <w:tcPr>
            <w:tcW w:w="4400" w:type="dxa"/>
            <w:vAlign w:val="bottom"/>
          </w:tcPr>
          <w:p>
            <w:pPr>
              <w:spacing w:after="0"/>
              <w:rPr>
                <w:sz w:val="15"/>
                <w:szCs w:val="15"/>
                <w:color w:val="auto"/>
              </w:rPr>
            </w:pP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400" w:type="dxa"/>
            <w:vAlign w:val="bottom"/>
          </w:tcPr>
          <w:p>
            <w:pPr>
              <w:spacing w:after="0"/>
              <w:rPr>
                <w:sz w:val="20"/>
                <w:szCs w:val="20"/>
                <w:color w:val="auto"/>
              </w:rPr>
            </w:pPr>
            <w:r>
              <w:rPr>
                <w:rFonts w:ascii="Courier New" w:cs="Courier New" w:eastAsia="Courier New" w:hAnsi="Courier New"/>
                <w:sz w:val="15"/>
                <w:szCs w:val="15"/>
                <w:color w:val="auto"/>
              </w:rPr>
              <w:t>Fixed charges:</w:t>
            </w: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76"/>
        </w:trPr>
        <w:tc>
          <w:tcPr>
            <w:tcW w:w="4400" w:type="dxa"/>
            <w:vAlign w:val="bottom"/>
          </w:tcPr>
          <w:p>
            <w:pPr>
              <w:ind w:left="260"/>
              <w:spacing w:after="0"/>
              <w:rPr>
                <w:sz w:val="20"/>
                <w:szCs w:val="20"/>
                <w:color w:val="auto"/>
              </w:rPr>
            </w:pPr>
            <w:r>
              <w:rPr>
                <w:rFonts w:ascii="Courier New" w:cs="Courier New" w:eastAsia="Courier New" w:hAnsi="Courier New"/>
                <w:sz w:val="15"/>
                <w:szCs w:val="15"/>
                <w:color w:val="auto"/>
              </w:rPr>
              <w:t>Total interest on loans</w:t>
            </w: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6"/>
        </w:trPr>
        <w:tc>
          <w:tcPr>
            <w:tcW w:w="44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(expensed and capitalized). . . . . .</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115</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86</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84</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74</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6"/>
        </w:trPr>
        <w:tc>
          <w:tcPr>
            <w:tcW w:w="4400" w:type="dxa"/>
            <w:vAlign w:val="bottom"/>
          </w:tcPr>
          <w:p>
            <w:pPr>
              <w:ind w:left="260"/>
              <w:spacing w:after="0"/>
              <w:rPr>
                <w:sz w:val="20"/>
                <w:szCs w:val="20"/>
                <w:color w:val="auto"/>
              </w:rPr>
            </w:pPr>
            <w:r>
              <w:rPr>
                <w:rFonts w:ascii="Courier New" w:cs="Courier New" w:eastAsia="Courier New" w:hAnsi="Courier New"/>
                <w:sz w:val="15"/>
                <w:szCs w:val="15"/>
                <w:color w:val="auto"/>
              </w:rPr>
              <w:t>Interest attributable to rental</w:t>
            </w: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6"/>
        </w:trPr>
        <w:tc>
          <w:tcPr>
            <w:tcW w:w="44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and lease expense. . . . . . . . . .</w:t>
            </w:r>
          </w:p>
        </w:tc>
        <w:tc>
          <w:tcPr>
            <w:tcW w:w="640" w:type="dxa"/>
            <w:vAlign w:val="bottom"/>
          </w:tcPr>
          <w:p>
            <w:pPr>
              <w:spacing w:after="0"/>
              <w:rPr>
                <w:sz w:val="15"/>
                <w:szCs w:val="15"/>
                <w:color w:val="auto"/>
              </w:rPr>
            </w:pPr>
          </w:p>
        </w:tc>
        <w:tc>
          <w:tcPr>
            <w:tcW w:w="5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44</w:t>
            </w:r>
          </w:p>
        </w:tc>
        <w:tc>
          <w:tcPr>
            <w:tcW w:w="240" w:type="dxa"/>
            <w:vAlign w:val="bottom"/>
          </w:tcPr>
          <w:p>
            <w:pPr>
              <w:spacing w:after="0"/>
              <w:rPr>
                <w:sz w:val="15"/>
                <w:szCs w:val="15"/>
                <w:color w:val="auto"/>
              </w:rPr>
            </w:pP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w:t>
            </w:r>
          </w:p>
        </w:tc>
        <w:tc>
          <w:tcPr>
            <w:tcW w:w="200" w:type="dxa"/>
            <w:vAlign w:val="bottom"/>
          </w:tcPr>
          <w:p>
            <w:pPr>
              <w:spacing w:after="0"/>
              <w:rPr>
                <w:sz w:val="15"/>
                <w:szCs w:val="15"/>
                <w:color w:val="auto"/>
              </w:rPr>
            </w:pPr>
          </w:p>
        </w:tc>
        <w:tc>
          <w:tcPr>
            <w:tcW w:w="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w:t>
            </w:r>
          </w:p>
        </w:tc>
        <w:tc>
          <w:tcPr>
            <w:tcW w:w="24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w:t>
            </w:r>
          </w:p>
        </w:tc>
        <w:tc>
          <w:tcPr>
            <w:tcW w:w="22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33</w:t>
            </w:r>
          </w:p>
        </w:tc>
        <w:tc>
          <w:tcPr>
            <w:tcW w:w="240" w:type="dxa"/>
            <w:vAlign w:val="bottom"/>
          </w:tcPr>
          <w:p>
            <w:pPr>
              <w:spacing w:after="0"/>
              <w:rPr>
                <w:sz w:val="15"/>
                <w:szCs w:val="15"/>
                <w:color w:val="auto"/>
              </w:rPr>
            </w:pP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w:t>
            </w:r>
          </w:p>
        </w:tc>
        <w:tc>
          <w:tcPr>
            <w:tcW w:w="2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6"/>
        </w:trPr>
        <w:tc>
          <w:tcPr>
            <w:tcW w:w="4400" w:type="dxa"/>
            <w:vAlign w:val="bottom"/>
          </w:tcPr>
          <w:p>
            <w:pPr>
              <w:spacing w:after="0"/>
              <w:rPr>
                <w:sz w:val="15"/>
                <w:szCs w:val="15"/>
                <w:color w:val="auto"/>
              </w:rPr>
            </w:pP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4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Fixed charges. . . . . . . . . . . . . . .</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159</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127</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114</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107</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57</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76"/>
        </w:trPr>
        <w:tc>
          <w:tcPr>
            <w:tcW w:w="4400" w:type="dxa"/>
            <w:vAlign w:val="bottom"/>
          </w:tcPr>
          <w:p>
            <w:pPr>
              <w:spacing w:after="0"/>
              <w:rPr>
                <w:sz w:val="15"/>
                <w:szCs w:val="15"/>
                <w:color w:val="auto"/>
              </w:rPr>
            </w:pP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4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Ratio of earnings to fixed charges . . . .</w:t>
            </w:r>
          </w:p>
        </w:tc>
        <w:tc>
          <w:tcPr>
            <w:tcW w:w="640" w:type="dxa"/>
            <w:vAlign w:val="bottom"/>
          </w:tcPr>
          <w:p>
            <w:pPr>
              <w:spacing w:after="0"/>
              <w:rPr>
                <w:sz w:val="24"/>
                <w:szCs w:val="24"/>
                <w:color w:val="auto"/>
              </w:rPr>
            </w:pPr>
          </w:p>
        </w:tc>
        <w:tc>
          <w:tcPr>
            <w:tcW w:w="5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6.1</w:t>
            </w:r>
          </w:p>
        </w:tc>
        <w:tc>
          <w:tcPr>
            <w:tcW w:w="240" w:type="dxa"/>
            <w:vAlign w:val="bottom"/>
          </w:tcPr>
          <w:p>
            <w:pPr>
              <w:spacing w:after="0"/>
              <w:rPr>
                <w:sz w:val="24"/>
                <w:szCs w:val="24"/>
                <w:color w:val="auto"/>
              </w:rPr>
            </w:pP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6.4</w:t>
            </w:r>
          </w:p>
        </w:tc>
        <w:tc>
          <w:tcPr>
            <w:tcW w:w="200" w:type="dxa"/>
            <w:vAlign w:val="bottom"/>
          </w:tcPr>
          <w:p>
            <w:pPr>
              <w:spacing w:after="0"/>
              <w:rPr>
                <w:sz w:val="24"/>
                <w:szCs w:val="24"/>
                <w:color w:val="auto"/>
              </w:rPr>
            </w:pPr>
          </w:p>
        </w:tc>
        <w:tc>
          <w:tcPr>
            <w:tcW w:w="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19.3</w:t>
            </w:r>
          </w:p>
        </w:tc>
        <w:tc>
          <w:tcPr>
            <w:tcW w:w="240" w:type="dxa"/>
            <w:vAlign w:val="bottom"/>
          </w:tcPr>
          <w:p>
            <w:pPr>
              <w:spacing w:after="0"/>
              <w:rPr>
                <w:sz w:val="24"/>
                <w:szCs w:val="24"/>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36.2</w:t>
            </w:r>
          </w:p>
        </w:tc>
        <w:tc>
          <w:tcPr>
            <w:tcW w:w="220" w:type="dxa"/>
            <w:vAlign w:val="bottom"/>
          </w:tcPr>
          <w:p>
            <w:pPr>
              <w:spacing w:after="0"/>
              <w:rPr>
                <w:sz w:val="24"/>
                <w:szCs w:val="24"/>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24"/>
                <w:szCs w:val="24"/>
                <w:color w:val="auto"/>
              </w:rPr>
            </w:pP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w:t>
            </w:r>
          </w:p>
        </w:tc>
        <w:tc>
          <w:tcPr>
            <w:tcW w:w="2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6"/>
        </w:trPr>
        <w:tc>
          <w:tcPr>
            <w:tcW w:w="4400" w:type="dxa"/>
            <w:vAlign w:val="bottom"/>
          </w:tcPr>
          <w:p>
            <w:pPr>
              <w:spacing w:after="0"/>
              <w:rPr>
                <w:sz w:val="15"/>
                <w:szCs w:val="15"/>
                <w:color w:val="auto"/>
              </w:rPr>
            </w:pP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 w:right="3020" w:hanging="6"/>
        <w:spacing w:after="0" w:line="250" w:lineRule="auto"/>
        <w:tabs>
          <w:tab w:leader="none" w:pos="281"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ratio is not meaningful. The coverage deficiency was $423 million in year 2001.</w:t>
      </w:r>
    </w:p>
    <w:p>
      <w:pPr>
        <w:sectPr>
          <w:pgSz w:w="11900" w:h="16838" w:orient="portrait"/>
          <w:cols w:equalWidth="0" w:num="1">
            <w:col w:w="10346"/>
          </w:cols>
          <w:pgMar w:left="234" w:top="823" w:right="1319" w:bottom="1440" w:gutter="0" w:footer="0" w:header="0"/>
        </w:sectPr>
      </w:pPr>
    </w:p>
    <w:bookmarkStart w:id="24" w:name="page25"/>
    <w:bookmarkEnd w:id="2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1."/>
      <w:numFmt w:val="decimal"/>
      <w:start w:val="9"/>
    </w:lvl>
  </w:abstractNum>
  <w:abstractNum w:abstractNumId="2">
    <w:nsid w:val="12200854"/>
    <w:multiLevelType w:val="hybridMultilevel"/>
    <w:lvl w:ilvl="0">
      <w:lvlJc w:val="left"/>
      <w:lvlText w:val="%1."/>
      <w:numFmt w:val="decimal"/>
      <w:start w:val="13"/>
    </w:lvl>
  </w:abstractNum>
  <w:abstractNum w:abstractNumId="3">
    <w:nsid w:val="4DB127F8"/>
    <w:multiLevelType w:val="hybridMultilevel"/>
    <w:lvl w:ilvl="0">
      <w:lvlJc w:val="left"/>
      <w:lvlText w:val="%1."/>
      <w:numFmt w:val="decimal"/>
      <w:start w:val="14"/>
    </w:lvl>
  </w:abstractNum>
  <w:abstractNum w:abstractNumId="4">
    <w:nsid w:val="216231B"/>
    <w:multiLevelType w:val="hybridMultilevel"/>
    <w:lvl w:ilvl="0">
      <w:lvlJc w:val="left"/>
      <w:lvlText w:val="%1."/>
      <w:numFmt w:val="decimal"/>
      <w:start w:val="15"/>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2019-12-11T19:39:42Z</dcterms:created>
  <dcterms:modified xsi:type="dcterms:W3CDTF">2019-12-11T19:39:42Z</dcterms:modified>
</cp:coreProperties>
</file>