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460" w:type="dxa"/>
        <w:tblCellMar>
          <w:top w:w="0" w:type="dxa"/>
          <w:left w:w="0" w:type="dxa"/>
          <w:bottom w:w="0" w:type="dxa"/>
          <w:right w:w="0" w:type="dxa"/>
        </w:tblCellMar>
      </w:tblPr>
      <w:tr>
        <w:trPr>
          <w:trHeight w:val="214"/>
        </w:trPr>
        <w:tc>
          <w:tcPr>
            <w:tcW w:w="4340" w:type="dxa"/>
            <w:vAlign w:val="bottom"/>
          </w:tcPr>
          <w:p>
            <w:pPr>
              <w:jc w:val="center"/>
              <w:ind w:right="16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001-03761</w:t>
            </w:r>
          </w:p>
        </w:tc>
      </w:tr>
      <w:tr>
        <w:trPr>
          <w:trHeight w:val="190"/>
        </w:trPr>
        <w:tc>
          <w:tcPr>
            <w:tcW w:w="4340" w:type="dxa"/>
            <w:vAlign w:val="bottom"/>
          </w:tcPr>
          <w:p>
            <w:pPr>
              <w:jc w:val="center"/>
              <w:ind w:right="1619"/>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c>
          <w:tcPr>
            <w:tcW w:w="3380" w:type="dxa"/>
            <w:vAlign w:val="bottom"/>
          </w:tcPr>
          <w:p>
            <w:pPr>
              <w:jc w:val="center"/>
              <w:ind w:left="161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r>
      <w:tr>
        <w:trPr>
          <w:trHeight w:val="390"/>
        </w:trPr>
        <w:tc>
          <w:tcPr>
            <w:tcW w:w="4340" w:type="dxa"/>
            <w:vAlign w:val="bottom"/>
          </w:tcPr>
          <w:p>
            <w:pPr>
              <w:jc w:val="center"/>
              <w:ind w:right="1639"/>
              <w:spacing w:after="0"/>
              <w:rPr>
                <w:sz w:val="20"/>
                <w:szCs w:val="20"/>
                <w:color w:val="auto"/>
              </w:rPr>
            </w:pPr>
            <w:r>
              <w:rPr>
                <w:rFonts w:ascii="Times New Roman" w:cs="Times New Roman" w:eastAsia="Times New Roman" w:hAnsi="Times New Roman"/>
                <w:sz w:val="18"/>
                <w:szCs w:val="18"/>
                <w:b w:val="1"/>
                <w:bCs w:val="1"/>
                <w:color w:val="auto"/>
                <w:w w:val="99"/>
              </w:rPr>
              <w:t>12500 TI Boulevard, Dallas, Texas</w:t>
            </w:r>
          </w:p>
        </w:tc>
        <w:tc>
          <w:tcPr>
            <w:tcW w:w="338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75243</w:t>
            </w:r>
          </w:p>
        </w:tc>
      </w:tr>
      <w:tr>
        <w:trPr>
          <w:trHeight w:val="190"/>
        </w:trPr>
        <w:tc>
          <w:tcPr>
            <w:tcW w:w="4340" w:type="dxa"/>
            <w:vAlign w:val="bottom"/>
          </w:tcPr>
          <w:p>
            <w:pPr>
              <w:jc w:val="center"/>
              <w:ind w:right="16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380" w:type="dxa"/>
            <w:vAlign w:val="bottom"/>
          </w:tcPr>
          <w:p>
            <w:pPr>
              <w:jc w:val="center"/>
              <w:ind w:left="161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Tifany Wilson, 214-479-3773</w:t>
      </w:r>
    </w:p>
    <w:p>
      <w:pPr>
        <w:spacing w:after="0" w:line="3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(Name and telephone,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2023.</w:t>
      </w:r>
    </w:p>
    <w:p>
      <w:pPr>
        <w:spacing w:after="0" w:line="131"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ending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40"/>
          </w:cols>
          <w:pgMar w:left="440" w:top="376" w:right="7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This Form SD should be read in conjunction with the definitions contained in the U.S. Securities and Exchange Commission (“SEC”) instructions to Form SD and related rules. “Conflict minerals” refers to four specific metals regardless of their country of origin or whether they are financing or benefiting armed conflict: tantalum, tin, tungsten and gold.</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respect to conflict minerals necessary to the functionality or production of products manufactured by Texas Instruments Incorporated (“TI”), or contracted by TI to be manufactured, and required to be reported on Form SD for 2023 (collectively, “CMs”), we exercised due diligence concerning the source and chain of custody of the CMs. For a description of our due diligence (which included a reasonable country of origin inquiry), please see our Conflict Minerals Report (Exhibit 1.01).</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Form SD is available on our web site at ti.com/conflict-minerals. We are not incorporating by reference the contents of our web site into this Form SD.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registrant’s Conflict Minerals Report for 2023 is attached hereto as Exhibit 1.01.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1.01 – </w:t>
      </w:r>
      <w:r>
        <w:rPr>
          <w:rFonts w:ascii="Times New Roman" w:cs="Times New Roman" w:eastAsia="Times New Roman" w:hAnsi="Times New Roman"/>
          <w:sz w:val="18"/>
          <w:szCs w:val="18"/>
          <w:u w:val="single" w:color="auto"/>
          <w:color w:val="0000EE"/>
        </w:rPr>
        <w:t>Conflict Minerals Report as required by Items 1.01 and 1.02 of this Form.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31, 2024</w:t>
      </w:r>
    </w:p>
    <w:p>
      <w:pPr>
        <w:spacing w:after="0" w:line="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5715</wp:posOffset>
            </wp:positionV>
            <wp:extent cx="3145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6060"/>
        <w:spacing w:after="0"/>
        <w:rPr>
          <w:sz w:val="20"/>
          <w:szCs w:val="20"/>
          <w:color w:val="auto"/>
        </w:rPr>
      </w:pPr>
      <w:r>
        <w:rPr>
          <w:rFonts w:ascii="Times New Roman" w:cs="Times New Roman" w:eastAsia="Times New Roman" w:hAnsi="Times New Roman"/>
          <w:sz w:val="18"/>
          <w:szCs w:val="18"/>
          <w:color w:val="auto"/>
        </w:rPr>
        <w:t>Rafael R. Lizardi</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13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40"/>
          </w:cols>
          <w:pgMar w:left="440" w:top="270" w:right="8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Conflict Minerals Report of Texas Instruments Incorporated</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 the Year Ended December 31, 2023</w:t>
      </w:r>
    </w:p>
    <w:p>
      <w:pPr>
        <w:spacing w:after="0" w:line="207"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This Conflict Minerals Report should be read in conjunction with the definitions contained in the U.S. Securities and Exchange Commission (“SEC”) instructions to Form SD and related rules. This Conflict Minerals Report and our conflict minerals policy are available on our web site at ti.com/conflict-minerals. We are not incorporating by reference the contents of our web site into this Conflict Minerals Report. “Conflict minerals” refers to four specific metals regardless of their country of origin or whether they are financing or benefiting armed conflict: tantalum, tin, tungsten and gold.</w:t>
      </w:r>
    </w:p>
    <w:p>
      <w:pPr>
        <w:spacing w:after="0" w:line="210"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Due Diligence</w:t>
      </w:r>
    </w:p>
    <w:p>
      <w:pPr>
        <w:spacing w:after="0" w:line="225"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We have management systems and due diligence procedures (our “CM Process”) as a basis for supply-chain management and disclosure compliance relating to the conflict minerals necessary to the functionality or production of products manufactured by TI, or contracted by TI to be manufactured, and required to be reported for 2023 (collectively, “CMs”). We designed the CM Process with the intent to conform in all material respects with the five-step framework of the Organization for Economic Co-Operation and Development (“OECD”) Due Diligence Guidance for Responsible Supply Chains of Minerals from Conflict-Affected and High-Risk Areas (Third Edition):</w:t>
      </w:r>
    </w:p>
    <w:p>
      <w:pPr>
        <w:spacing w:after="0" w:line="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1: Establish strong company management systems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2: Identify and assess risks in the supply chain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3: Design and implement a strategy to respond to identified risks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4: Carry out independent third-party audit of smelter/refiner’s due diligence practices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5: Report annually on supply chain due diligence</w:t>
      </w:r>
    </w:p>
    <w:p>
      <w:pPr>
        <w:spacing w:after="0" w:line="252"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Data</w:t>
      </w:r>
    </w:p>
    <w:p>
      <w:pPr>
        <w:spacing w:after="0" w:line="225" w:lineRule="exact"/>
        <w:rPr>
          <w:sz w:val="20"/>
          <w:szCs w:val="20"/>
          <w:color w:val="auto"/>
        </w:rPr>
      </w:pPr>
    </w:p>
    <w:p>
      <w:pPr>
        <w:ind w:left="4" w:right="220"/>
        <w:spacing w:after="0" w:line="258" w:lineRule="auto"/>
        <w:rPr>
          <w:sz w:val="20"/>
          <w:szCs w:val="20"/>
          <w:color w:val="auto"/>
        </w:rPr>
      </w:pPr>
      <w:r>
        <w:rPr>
          <w:rFonts w:ascii="Times New Roman" w:cs="Times New Roman" w:eastAsia="Times New Roman" w:hAnsi="Times New Roman"/>
          <w:sz w:val="18"/>
          <w:szCs w:val="18"/>
          <w:color w:val="auto"/>
        </w:rPr>
        <w:t>Our ability to determine the origin and chain of custody of CMs, and whether they directly or indirectly finance or benefit armed groups in the Democratic Republic of the Congo or any adjoining country (each a “Covered Country”) in any manner (the “Conflict Status”), is limited. Our supply chain for CMs is complex. In many cases, we are multiple steps removed from the smelter or refiner (“Smelter”), and we depend on information from our direct suppliers of materials that contain CMs and third-party manufacturers of our products that contain CMs (collectively, “Suppliers”) that themselves have incomplete information about the origin of the CMs incorporated in the products they supply to us.</w:t>
      </w:r>
    </w:p>
    <w:p>
      <w:pPr>
        <w:spacing w:after="0" w:line="183" w:lineRule="exact"/>
        <w:rPr>
          <w:sz w:val="20"/>
          <w:szCs w:val="20"/>
          <w:color w:val="auto"/>
        </w:rPr>
      </w:pPr>
    </w:p>
    <w:p>
      <w:pPr>
        <w:ind w:left="4" w:right="60"/>
        <w:spacing w:after="0" w:line="236" w:lineRule="auto"/>
        <w:rPr>
          <w:sz w:val="20"/>
          <w:szCs w:val="20"/>
          <w:color w:val="auto"/>
        </w:rPr>
      </w:pPr>
      <w:r>
        <w:rPr>
          <w:rFonts w:ascii="Times New Roman" w:cs="Times New Roman" w:eastAsia="Times New Roman" w:hAnsi="Times New Roman"/>
          <w:sz w:val="18"/>
          <w:szCs w:val="18"/>
          <w:color w:val="auto"/>
        </w:rPr>
        <w:t>To gain insight into the country of origin, chain of custody and Conflict Status of the CMs in our supply chain, we relied primarily on the findings of the Responsible Minerals Assurance Process (“RMAP”). The RMAP is a voluntary program in which an independent third party evaluates Smelters’ management systems and procurement practices and determines whether the Smelter is Conformant to RMAP standards. To be Conformant,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 Smelter must have demonstrated, among other requirements, that CMs it processed originated from sources that are not financing or benefiting armed conflict in a Covered Country. The RMAP is overseen by the Responsible Minerals Initiative (“RMI”), which was established by members of the Responsible Business Alliance (“RBA”) and the Global e-Sustainability Initiative. TI is a member of the RBA and RMI.</w:t>
      </w:r>
    </w:p>
    <w:p>
      <w:pPr>
        <w:spacing w:after="0" w:line="227" w:lineRule="exact"/>
        <w:rPr>
          <w:sz w:val="20"/>
          <w:szCs w:val="20"/>
          <w:color w:val="auto"/>
        </w:rPr>
      </w:pPr>
    </w:p>
    <w:p>
      <w:pPr>
        <w:ind w:left="544" w:hanging="544"/>
        <w:spacing w:after="0"/>
        <w:tabs>
          <w:tab w:leader="none" w:pos="5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Diligence Measures Taken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measures we took to exercise due diligence on the source and chain of custody of our CMs are as follows: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1: Establish strong company management systems</w:t>
      </w:r>
    </w:p>
    <w:p>
      <w:pPr>
        <w:spacing w:after="0" w:line="131" w:lineRule="exact"/>
        <w:rPr>
          <w:sz w:val="20"/>
          <w:szCs w:val="20"/>
          <w:color w:val="auto"/>
        </w:rPr>
      </w:pPr>
    </w:p>
    <w:p>
      <w:pPr>
        <w:ind w:left="964" w:hanging="424"/>
        <w:spacing w:after="0"/>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implement a conflict minerals policy;</w:t>
      </w:r>
    </w:p>
    <w:p>
      <w:pPr>
        <w:spacing w:after="0" w:line="130" w:lineRule="exact"/>
        <w:rPr>
          <w:rFonts w:ascii="Times New Roman" w:cs="Times New Roman" w:eastAsia="Times New Roman" w:hAnsi="Times New Roman"/>
          <w:sz w:val="18"/>
          <w:szCs w:val="18"/>
          <w:color w:val="auto"/>
        </w:rPr>
      </w:pPr>
    </w:p>
    <w:p>
      <w:pPr>
        <w:ind w:left="964" w:right="40" w:hanging="424"/>
        <w:spacing w:after="0" w:line="266"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 organizational structure and processes intended to ensure that Suppliers are made aware of TI’s policy on CMs and that information received by TI that is relevant to supply-chain due diligence reaches TI employees who have knowledge of the SEC disclosure requirements;</w:t>
      </w:r>
    </w:p>
    <w:p>
      <w:pPr>
        <w:spacing w:after="0" w:line="148" w:lineRule="exact"/>
        <w:rPr>
          <w:rFonts w:ascii="Times New Roman" w:cs="Times New Roman" w:eastAsia="Times New Roman" w:hAnsi="Times New Roman"/>
          <w:sz w:val="18"/>
          <w:szCs w:val="18"/>
          <w:color w:val="auto"/>
        </w:rPr>
      </w:pPr>
    </w:p>
    <w:p>
      <w:pPr>
        <w:ind w:left="424" w:right="780" w:hanging="4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“Conformant” means a Smelter has successfully completed an assessment against the applicable RMAP standard or an equivalent cross-recognized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4" w:name="page5"/>
    <w:bookmarkEnd w:id="4"/>
    <w:p>
      <w:pPr>
        <w:ind w:left="964" w:hanging="424"/>
        <w:spacing w:after="0" w:line="266"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Implement a process, which uses a reporting tool developed by the RMI and data gathered through the RMAP (as further described below), to achieve control and transparency over our CM supply chain and identify the risk that our products may contain CMs directly or indirectly financing or benefiting armed groups in any Covered Country;</w:t>
      </w:r>
    </w:p>
    <w:p>
      <w:pPr>
        <w:spacing w:after="0" w:line="81"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 mechanism for Suppliers and others to communicate to TI their concerns with respect to our CM Process;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 on the RMAP to validate supply chain due diligence.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2: Identify and assess risks in the supply chain</w:t>
      </w:r>
    </w:p>
    <w:p>
      <w:pPr>
        <w:spacing w:after="0" w:line="131" w:lineRule="exact"/>
        <w:rPr>
          <w:sz w:val="20"/>
          <w:szCs w:val="20"/>
          <w:color w:val="auto"/>
        </w:rPr>
      </w:pPr>
    </w:p>
    <w:p>
      <w:pPr>
        <w:ind w:left="964" w:hanging="424"/>
        <w:spacing w:after="0"/>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our CM policy to Suppliers;</w:t>
      </w:r>
    </w:p>
    <w:p>
      <w:pPr>
        <w:spacing w:after="0" w:line="130" w:lineRule="exact"/>
        <w:rPr>
          <w:rFonts w:ascii="Times New Roman" w:cs="Times New Roman" w:eastAsia="Times New Roman" w:hAnsi="Times New Roman"/>
          <w:sz w:val="18"/>
          <w:szCs w:val="18"/>
          <w:color w:val="auto"/>
        </w:rPr>
      </w:pPr>
    </w:p>
    <w:p>
      <w:pPr>
        <w:ind w:left="964" w:right="20" w:hanging="424"/>
        <w:spacing w:after="0" w:line="266"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Suppliers to provide information concerning Smelters in their supply chains by completing and sending to us the Conflict Minerals Reporting Template (a tool developed by the RMI that provides a common means for suppliers to provide their customers with information on the source of conflict minerals);</w:t>
      </w:r>
    </w:p>
    <w:p>
      <w:pPr>
        <w:spacing w:after="0" w:line="81" w:lineRule="exact"/>
        <w:rPr>
          <w:rFonts w:ascii="Times New Roman" w:cs="Times New Roman" w:eastAsia="Times New Roman" w:hAnsi="Times New Roman"/>
          <w:sz w:val="18"/>
          <w:szCs w:val="18"/>
          <w:color w:val="auto"/>
        </w:rPr>
      </w:pPr>
    </w:p>
    <w:p>
      <w:pPr>
        <w:ind w:left="964" w:right="620" w:hanging="424"/>
        <w:spacing w:after="0" w:line="282"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 Suppliers’ Conflict Minerals Reporting Template responses for completeness and internal consistency, and follow up with Suppliers in an effort to obtain more information and ensure accuracy of information;</w:t>
      </w:r>
    </w:p>
    <w:p>
      <w:pPr>
        <w:spacing w:after="0" w:line="67" w:lineRule="exact"/>
        <w:rPr>
          <w:rFonts w:ascii="Times New Roman" w:cs="Times New Roman" w:eastAsia="Times New Roman" w:hAnsi="Times New Roman"/>
          <w:sz w:val="18"/>
          <w:szCs w:val="18"/>
          <w:color w:val="auto"/>
        </w:rPr>
      </w:pPr>
    </w:p>
    <w:p>
      <w:pPr>
        <w:ind w:left="964" w:right="620" w:hanging="424"/>
        <w:spacing w:after="0" w:line="282"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 the information received from Suppliers with the data made available by the RMAP concerning the country of origin and Conflict Status of CMs processed or refined by Smelters; and</w:t>
      </w:r>
    </w:p>
    <w:p>
      <w:pPr>
        <w:spacing w:after="0" w:line="67" w:lineRule="exact"/>
        <w:rPr>
          <w:rFonts w:ascii="Times New Roman" w:cs="Times New Roman" w:eastAsia="Times New Roman" w:hAnsi="Times New Roman"/>
          <w:sz w:val="18"/>
          <w:szCs w:val="18"/>
          <w:color w:val="auto"/>
        </w:rPr>
      </w:pPr>
    </w:p>
    <w:p>
      <w:pPr>
        <w:ind w:left="964" w:right="100" w:hanging="424"/>
        <w:spacing w:after="0" w:line="266"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other source materials for Smelters that are not compliant with the RMI if we were unable to determine, on the basis of the information provided by Suppliers and RMAP data, (i) the facility and country of origin of the CMs supplied to us, (ii) the Conflict Status of the CMs and (iii) whether the CMs were from recycled or scrap sources.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3: Design and implement a strategy to respond to identified risks</w:t>
      </w:r>
    </w:p>
    <w:p>
      <w:pPr>
        <w:spacing w:after="0" w:line="131" w:lineRule="exact"/>
        <w:rPr>
          <w:sz w:val="20"/>
          <w:szCs w:val="20"/>
          <w:color w:val="auto"/>
        </w:rPr>
      </w:pPr>
    </w:p>
    <w:p>
      <w:pPr>
        <w:ind w:left="964" w:right="380" w:hanging="424"/>
        <w:spacing w:after="0" w:line="282" w:lineRule="auto"/>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risk management plan in response to identified risks while continuing to do business with Supplier or suspending/terminating dealings with Supplier; and</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the risk management plan to senior management.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4: Carry out independent third-party audit of smelter/refiner’s due diligence practices</w:t>
      </w:r>
    </w:p>
    <w:p>
      <w:pPr>
        <w:spacing w:after="0" w:line="131" w:lineRule="exact"/>
        <w:rPr>
          <w:sz w:val="20"/>
          <w:szCs w:val="20"/>
          <w:color w:val="auto"/>
        </w:rPr>
      </w:pPr>
    </w:p>
    <w:p>
      <w:pPr>
        <w:ind w:left="964" w:right="220" w:hanging="424"/>
        <w:spacing w:after="0" w:line="282" w:lineRule="auto"/>
        <w:tabs>
          <w:tab w:leader="none" w:pos="9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information provided by independent third party audit programs, including the RMI, to confirm the existence and verify the OECD-conformance status of Smelters identified during due diligence.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5: Report annually on the supply chain due diligence</w:t>
      </w:r>
    </w:p>
    <w:p>
      <w:pPr>
        <w:spacing w:after="0" w:line="131" w:lineRule="exact"/>
        <w:rPr>
          <w:sz w:val="20"/>
          <w:szCs w:val="20"/>
          <w:color w:val="auto"/>
        </w:rPr>
      </w:pPr>
    </w:p>
    <w:p>
      <w:pPr>
        <w:ind w:left="964" w:right="460" w:hanging="424"/>
        <w:spacing w:after="0" w:line="282" w:lineRule="auto"/>
        <w:tabs>
          <w:tab w:leader="none" w:pos="9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submit a Conflict Minerals Disclosure and Report to the SEC, which reports the results of TI’s due diligence. This Conflict Minerals Report has been filed with the SEC and is available on our website at ti.com/conflict-minerals.</w:t>
      </w:r>
    </w:p>
    <w:p>
      <w:pPr>
        <w:spacing w:after="0" w:line="189"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IV.</w:t>
        <w:tab/>
        <w:t>Product Scope</w:t>
      </w:r>
    </w:p>
    <w:p>
      <w:pPr>
        <w:spacing w:after="0" w:line="225" w:lineRule="exact"/>
        <w:rPr>
          <w:sz w:val="20"/>
          <w:szCs w:val="20"/>
          <w:color w:val="auto"/>
        </w:rPr>
      </w:pPr>
    </w:p>
    <w:p>
      <w:pPr>
        <w:ind w:left="4" w:right="20"/>
        <w:spacing w:after="0" w:line="236" w:lineRule="auto"/>
        <w:rPr>
          <w:sz w:val="20"/>
          <w:szCs w:val="20"/>
          <w:color w:val="auto"/>
        </w:rPr>
      </w:pPr>
      <w:r>
        <w:rPr>
          <w:rFonts w:ascii="Times New Roman" w:cs="Times New Roman" w:eastAsia="Times New Roman" w:hAnsi="Times New Roman"/>
          <w:sz w:val="18"/>
          <w:szCs w:val="18"/>
          <w:color w:val="auto"/>
        </w:rPr>
        <w:t>In 2023, our products were divided into two reportable segments as described in our annual report on Form 10-K for the year ended December 31, 2023: Analog (consisting of Power and Signal Chain product lines) and Embedded Processing (including microcontrollers, digital signal processors, and applications processors). 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products, calculators, and certain custom semiconductors known as application-specific integrated circuits). For further information about our products, please see the description of our products in Item 1 of the Form 10-K, which description is incorporated herein by reference.</w:t>
      </w:r>
    </w:p>
    <w:p>
      <w:pPr>
        <w:spacing w:after="0" w:line="227"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Findings</w:t>
      </w:r>
    </w:p>
    <w:p>
      <w:pPr>
        <w:spacing w:after="0" w:line="225" w:lineRule="exact"/>
        <w:rPr>
          <w:sz w:val="20"/>
          <w:szCs w:val="20"/>
          <w:color w:val="auto"/>
        </w:rPr>
      </w:pPr>
    </w:p>
    <w:p>
      <w:pPr>
        <w:ind w:left="4" w:right="320"/>
        <w:spacing w:after="0" w:line="213" w:lineRule="auto"/>
        <w:rPr>
          <w:sz w:val="20"/>
          <w:szCs w:val="20"/>
          <w:color w:val="auto"/>
        </w:rPr>
      </w:pPr>
      <w:r>
        <w:rPr>
          <w:rFonts w:ascii="Times New Roman" w:cs="Times New Roman" w:eastAsia="Times New Roman" w:hAnsi="Times New Roman"/>
          <w:sz w:val="18"/>
          <w:szCs w:val="18"/>
          <w:color w:val="auto"/>
        </w:rPr>
        <w:t>For our integrated circuits (“ICs”),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we have determined that 100% of the 211 Smelters identified by our Suppliers as being potentially in the supply chain in 2023 were Conformant. ICs accounted for approximately 93% of TI revenue in 2023.</w:t>
      </w:r>
    </w:p>
    <w:p>
      <w:pPr>
        <w:spacing w:after="0" w:line="199" w:lineRule="exact"/>
        <w:rPr>
          <w:sz w:val="20"/>
          <w:szCs w:val="20"/>
          <w:color w:val="auto"/>
        </w:rPr>
      </w:pPr>
    </w:p>
    <w:p>
      <w:pPr>
        <w:ind w:left="4" w:right="20"/>
        <w:spacing w:after="0" w:line="230" w:lineRule="auto"/>
        <w:rPr>
          <w:sz w:val="20"/>
          <w:szCs w:val="20"/>
          <w:color w:val="auto"/>
        </w:rPr>
      </w:pPr>
      <w:r>
        <w:rPr>
          <w:rFonts w:ascii="Times New Roman" w:cs="Times New Roman" w:eastAsia="Times New Roman" w:hAnsi="Times New Roman"/>
          <w:sz w:val="18"/>
          <w:szCs w:val="18"/>
          <w:color w:val="auto"/>
        </w:rPr>
        <w:t>For our overall supply chain, which consists of ICs as well as other products manufactured by or for TI, we have determined that 97% of the 219 Smelters identified by our Suppliers as being potentially in the supply chain in 2023 were Conformant. Of the remaining 3% of the Smelters identified for 2023 (6 in total), 2 were designated as Active</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and 4 were designated as Non-Conformant.</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In no instance did we find CMs in our supply chain to be from a source that, to our knowledge, was directly or indirectly financing or benefiting armed conflict in a Covered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5" w:lineRule="exact"/>
        <w:rPr>
          <w:sz w:val="20"/>
          <w:szCs w:val="20"/>
          <w:color w:val="auto"/>
        </w:rPr>
      </w:pPr>
    </w:p>
    <w:p>
      <w:pPr>
        <w:ind w:left="424" w:hanging="424"/>
        <w:spacing w:after="0"/>
        <w:tabs>
          <w:tab w:leader="none" w:pos="424"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“Integrated circuits” refers to finished semiconductor products that contain chips manufactured by or for TI and packaging subcomponents such as</w:t>
      </w:r>
    </w:p>
    <w:p>
      <w:pPr>
        <w:spacing w:after="0" w:line="1" w:lineRule="exact"/>
        <w:rPr>
          <w:sz w:val="20"/>
          <w:szCs w:val="20"/>
          <w:color w:val="auto"/>
        </w:rPr>
      </w:pPr>
    </w:p>
    <w:p>
      <w:pPr>
        <w:ind w:left="424" w:right="120"/>
        <w:spacing w:after="0" w:line="204" w:lineRule="auto"/>
        <w:rPr>
          <w:sz w:val="20"/>
          <w:szCs w:val="20"/>
          <w:color w:val="auto"/>
        </w:rPr>
      </w:pPr>
      <w:r>
        <w:rPr>
          <w:rFonts w:ascii="Times New Roman" w:cs="Times New Roman" w:eastAsia="Times New Roman" w:hAnsi="Times New Roman"/>
          <w:sz w:val="18"/>
          <w:szCs w:val="18"/>
          <w:color w:val="auto"/>
        </w:rPr>
        <w:t>mold compounds, bond wires and lead frames. It excludes DLP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products, semiconductor modules and all other products manufactured by or for TI.</w:t>
      </w:r>
    </w:p>
    <w:p>
      <w:pPr>
        <w:spacing w:after="0" w:line="1" w:lineRule="exact"/>
        <w:rPr>
          <w:sz w:val="20"/>
          <w:szCs w:val="20"/>
          <w:color w:val="auto"/>
        </w:rPr>
      </w:pPr>
    </w:p>
    <w:p>
      <w:pPr>
        <w:ind w:left="424" w:right="700" w:hanging="424"/>
        <w:spacing w:after="0" w:line="200" w:lineRule="auto"/>
        <w:tabs>
          <w:tab w:leader="none" w:pos="424"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“Active” means a Smelter has committed to undergo an RMAP assessment, completed the relevant documents, and scheduled the on-site assessment.</w:t>
      </w:r>
    </w:p>
    <w:p>
      <w:pPr>
        <w:spacing w:after="0" w:line="1" w:lineRule="exact"/>
        <w:rPr>
          <w:sz w:val="20"/>
          <w:szCs w:val="20"/>
          <w:color w:val="auto"/>
        </w:rPr>
      </w:pPr>
    </w:p>
    <w:p>
      <w:pPr>
        <w:ind w:left="424" w:right="120" w:hanging="424"/>
        <w:spacing w:after="0" w:line="200" w:lineRule="auto"/>
        <w:tabs>
          <w:tab w:leader="none" w:pos="424"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“Non-Conformant” means a Smelter has been independently assessed and found non-conformant with the relevant RMAP standard or equivalent cross-recognized assessment.</w:t>
      </w:r>
    </w:p>
    <w:p>
      <w:pPr>
        <w:sectPr>
          <w:pgSz w:w="11900" w:h="16838" w:orient="portrait"/>
          <w:cols w:equalWidth="0" w:num="1">
            <w:col w:w="11004"/>
          </w:cols>
          <w:pgMar w:left="436" w:top="270" w:right="459" w:bottom="1440" w:gutter="0" w:footer="0" w:header="0"/>
        </w:sectPr>
      </w:pP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004"/>
          </w:cols>
          <w:pgMar w:left="436" w:top="270" w:right="459" w:bottom="1440" w:gutter="0" w:footer="0" w:header="0"/>
          <w:type w:val="continuous"/>
        </w:sectPr>
      </w:pPr>
    </w:p>
    <w:bookmarkStart w:id="5" w:name="page6"/>
    <w:bookmarkEnd w:id="5"/>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2023, we continued our due diligence efforts with regard to Smelters that are not compliant with the RMI. While we primarily relied on information from our first-tier suppliers, in some cases we contacted Smelters for more complete information. That information, combined with information available through the RMI, provided us with greater insight into the Conflict Status of CMs identified as potentially in our supply chain.</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do not have complete information about the CMs in our entire supply chain. For 2023, some of our Suppliers identified Smelters in their supply chains on a company-wide, division or product-line basis, without specifying which Smelters were relevant to products they supplied to TI. Accordingly, we refer in this Conflict Minerals Report to Smelters as being “potentially” in our supply chain and as CMs “potentially” supplied to TI. Industry efforts to collect and verify CM origin information remain an inherent limitation. For Smelters that are designated as Active, their status is currently undeterminable because the RMAP assessments are not complete or have not yet been dispositioned by the RMI. The results of our due diligence reflect these limitations. The Smelters identified by our Suppliers as potentially in our supply chain are listed in Appendix A hereto. Our efforts to determine the mine or location of origin of the CMs consisted of the due diligence measures described above.</w:t>
      </w:r>
    </w:p>
    <w:p>
      <w:pPr>
        <w:spacing w:after="0" w:line="21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VI.</w:t>
      </w:r>
      <w:r>
        <w:rPr>
          <w:sz w:val="20"/>
          <w:szCs w:val="20"/>
          <w:color w:val="auto"/>
        </w:rPr>
        <w:tab/>
      </w:r>
      <w:r>
        <w:rPr>
          <w:rFonts w:ascii="Times New Roman" w:cs="Times New Roman" w:eastAsia="Times New Roman" w:hAnsi="Times New Roman"/>
          <w:sz w:val="18"/>
          <w:szCs w:val="18"/>
          <w:color w:val="auto"/>
        </w:rPr>
        <w:t>Risk-Mitigation Efforts</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Since the period covered by this Conflict Minerals Report, we have taken, or will take, the following steps to mitigate the risk that our CMs directly or indirectly finance or benefit armed groups in the Covered Countries:</w:t>
      </w:r>
    </w:p>
    <w:p>
      <w:pPr>
        <w:spacing w:after="0" w:line="67" w:lineRule="exact"/>
        <w:rPr>
          <w:sz w:val="20"/>
          <w:szCs w:val="20"/>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redistribute copies of our CM policy to Suppliers;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emphasize to Suppliers our expectation that they respond fully and promptly to our information requests;</w:t>
      </w:r>
    </w:p>
    <w:p>
      <w:pPr>
        <w:spacing w:after="0" w:line="130" w:lineRule="exact"/>
        <w:rPr>
          <w:rFonts w:ascii="Times New Roman" w:cs="Times New Roman" w:eastAsia="Times New Roman" w:hAnsi="Times New Roman"/>
          <w:sz w:val="18"/>
          <w:szCs w:val="18"/>
          <w:color w:val="auto"/>
        </w:rPr>
      </w:pPr>
    </w:p>
    <w:p>
      <w:pPr>
        <w:ind w:left="960" w:right="680" w:hanging="424"/>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Suppliers to advise us if they determine that any person or entity in their supply chain is directly or indirectly financing or benefiting armed groups in the Covered Countries;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Suppliers to direct all Smelters in their supply chains to participate in the RMAP or a similar third-party audit program; and</w:t>
      </w:r>
    </w:p>
    <w:p>
      <w:pPr>
        <w:spacing w:after="0" w:line="130" w:lineRule="exact"/>
        <w:rPr>
          <w:rFonts w:ascii="Times New Roman" w:cs="Times New Roman" w:eastAsia="Times New Roman" w:hAnsi="Times New Roman"/>
          <w:sz w:val="18"/>
          <w:szCs w:val="18"/>
          <w:color w:val="auto"/>
        </w:rPr>
      </w:pPr>
    </w:p>
    <w:p>
      <w:pPr>
        <w:ind w:left="960" w:right="520" w:hanging="424"/>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various Smelters directly for information if their operating status changed, their RMI status changed, or they have refused to participate in an RMI audit.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  Independent Private Sector Audit</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obtained an independent private sector audit of this Conflict Minerals Report. The report by Crowe LLP is set forth as Appendix B to this Conflict Minerals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[Intentionally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6" w:name="page7"/>
    <w:bookmarkEnd w:id="6"/>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Included in this Appendix A are Smelters that were identified to us by our Suppliers as potentially in our supply chain for 2023. As explained in this Conflict Minerals Report, the presence of a Smelter on the lists in this Appendix A does not mean that TI products necessarily contained CMs processed by that Smelter.</w:t>
      </w:r>
    </w:p>
    <w:p>
      <w:pPr>
        <w:spacing w:after="0" w:line="203" w:lineRule="exact"/>
        <w:rPr>
          <w:sz w:val="20"/>
          <w:szCs w:val="20"/>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Table 1 – Conformant Smelters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Listed below are the 213 Smelters identified to us by our Suppliers as potentially in our supply chain for 2023 that the RMAP has reported as compliant with its RMI standards. On that basis, we have determined that the CMs supplied by these Smelters were Conformant. The location information is as reported by the RMAP as of February 1, 2024.</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Smelters that potentially supply the CMs for our ICs.</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w:t>
            </w:r>
          </w:p>
        </w:tc>
        <w:tc>
          <w:tcPr>
            <w:tcW w:w="6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Smelter</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Metal</w:t>
            </w:r>
          </w:p>
        </w:tc>
        <w:tc>
          <w:tcPr>
            <w:tcW w:w="120" w:type="dxa"/>
            <w:vAlign w:val="bottom"/>
          </w:tcPr>
          <w:p>
            <w:pPr>
              <w:spacing w:after="0"/>
              <w:rPr>
                <w:sz w:val="16"/>
                <w:szCs w:val="16"/>
                <w:color w:val="auto"/>
              </w:rPr>
            </w:pPr>
          </w:p>
        </w:tc>
        <w:tc>
          <w:tcPr>
            <w:tcW w:w="220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Country Location</w:t>
            </w:r>
          </w:p>
        </w:tc>
        <w:tc>
          <w:tcPr>
            <w:tcW w:w="0" w:type="dxa"/>
            <w:vAlign w:val="bottom"/>
          </w:tcPr>
          <w:p>
            <w:pPr>
              <w:spacing w:after="0"/>
              <w:rPr>
                <w:sz w:val="1"/>
                <w:szCs w:val="1"/>
                <w:color w:val="auto"/>
              </w:rPr>
            </w:pPr>
          </w:p>
        </w:tc>
      </w:tr>
      <w:tr>
        <w:trPr>
          <w:trHeight w:val="191"/>
        </w:trPr>
        <w:tc>
          <w:tcPr>
            <w:tcW w:w="340" w:type="dxa"/>
            <w:vAlign w:val="bottom"/>
            <w:vMerge w:val="continue"/>
          </w:tcPr>
          <w:p>
            <w:pPr>
              <w:spacing w:after="0"/>
              <w:rPr>
                <w:sz w:val="16"/>
                <w:szCs w:val="16"/>
                <w:color w:val="auto"/>
              </w:rPr>
            </w:pPr>
          </w:p>
        </w:tc>
        <w:tc>
          <w:tcPr>
            <w:tcW w:w="67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A.L.M.T. Corp.*</w:t>
            </w:r>
          </w:p>
        </w:tc>
        <w:tc>
          <w:tcPr>
            <w:tcW w:w="100" w:type="dxa"/>
            <w:vAlign w:val="bottom"/>
          </w:tcPr>
          <w:p>
            <w:pPr>
              <w:spacing w:after="0"/>
              <w:rPr>
                <w:sz w:val="16"/>
                <w:szCs w:val="16"/>
                <w:color w:val="auto"/>
              </w:rPr>
            </w:pPr>
          </w:p>
        </w:tc>
        <w:tc>
          <w:tcPr>
            <w:tcW w:w="1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120" w:type="dxa"/>
            <w:vAlign w:val="bottom"/>
          </w:tcPr>
          <w:p>
            <w:pPr>
              <w:spacing w:after="0"/>
              <w:rPr>
                <w:sz w:val="16"/>
                <w:szCs w:val="16"/>
                <w:color w:val="auto"/>
              </w:rPr>
            </w:pPr>
          </w:p>
        </w:tc>
        <w:tc>
          <w:tcPr>
            <w:tcW w:w="2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VIETNAM</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Cronimet Brasil Ltda*</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Fujian Xinlu Tungsten Co., Ltd. *</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Global Tungsten &amp; Powders Corp.*</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H.C. Starck Tungsten GmbH*</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Hubei Green Tungsten Co., Ltd. *</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Hunan Shizhuyuan Nonferrous Metals Co., Ltd. Chenzhou Tungsten Products Branch*</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Japan New Metals Co., Ltd.*</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Kennametal Fallon*</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Kennametal Huntsville*</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Lianyou Metals Co., Ltd.*</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TAIWAN</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Masan High-Tech Materials*</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VIETNAM</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Niagara Refining LLC*</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PHILIPPINES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Wolfram Bergbau und Hütten AG*</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AUSTRIA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Xiamen Tungsten (H.C.) Co., Ltd.*</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Xiamen Tungsten Co., Ltd.*</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Alpha*</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6720" w:type="dxa"/>
            <w:vAlign w:val="bottom"/>
          </w:tcPr>
          <w:p>
            <w:pPr>
              <w:ind w:left="5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33.</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Aurubis Beerse*</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34.</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Aurubis Berango*</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35.</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36.</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37.</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 Tin Group Co., Ltd.*</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38.</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CRM Fundicao De Metais E Comercio De Equipamentos Eletronicos Do Brasil Ltda*</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39.</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CRM Synergies*</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40.</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CV Ayi Jaya*</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41.</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CV Venus Inti Perkasa*</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42.</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Dowa*</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43.</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DS Myanmar*</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MYANMAR</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44.</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 Vinto*</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BOLIVIA</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45.</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Estanho de Rondonia S.A.*</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46.</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Fabrica Auricchio Industria e Comercio Ltda. *</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47.</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Fenix Metals*</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48.</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49.</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50.</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51.</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Jiangxi New Nasan Technology Ltd.*</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52.</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Luna Smelter, Ltd.*</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53.</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54.</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55.</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Metallic Resources, Inc.*</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5"/>
              </w:rPr>
              <w:t>UNITED STATES</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56.</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Mineração Taboca S.A.*</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57.</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Minsur*</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58.</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59.</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60.</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61.</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Operaciones Metalurgical S.A.*</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BOLIVIA</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62.</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63.</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PT Artha Cipta Langgeng*</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64.</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65.</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PT Babel Inti Perkasa*</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66.</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67.</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PT Bangka Prima Tin</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68.</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PT Bangka Serumpun*</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69.</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PT Bukit Timah*</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70.</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PT Cipta Persada Mulia*</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71.</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PT Menara Cipta Mulia*</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72.</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PT Mitra Stania Prima*</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73.</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74.</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PT Prima Timah Utama*</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75.</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PT Putera Sarana Shakti (PT PSS) *</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INDONESIA</w:t>
            </w:r>
          </w:p>
        </w:tc>
      </w:tr>
      <w:tr>
        <w:trPr>
          <w:trHeight w:val="234"/>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76.</w:t>
            </w:r>
          </w:p>
        </w:tc>
        <w:tc>
          <w:tcPr>
            <w:tcW w:w="6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PT Rajawali Rimba Perkasa*</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Tin</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INDONESIA</w:t>
            </w:r>
          </w:p>
        </w:tc>
      </w:tr>
      <w:tr>
        <w:trPr>
          <w:trHeight w:val="364"/>
        </w:trPr>
        <w:tc>
          <w:tcPr>
            <w:tcW w:w="280" w:type="dxa"/>
            <w:vAlign w:val="bottom"/>
          </w:tcPr>
          <w:p>
            <w:pPr>
              <w:spacing w:after="0"/>
              <w:rPr>
                <w:sz w:val="24"/>
                <w:szCs w:val="24"/>
                <w:color w:val="auto"/>
              </w:rPr>
            </w:pPr>
          </w:p>
        </w:tc>
        <w:tc>
          <w:tcPr>
            <w:tcW w:w="6580" w:type="dxa"/>
            <w:vAlign w:val="bottom"/>
          </w:tcPr>
          <w:p>
            <w:pPr>
              <w:ind w:left="5180"/>
              <w:spacing w:after="0"/>
              <w:rPr>
                <w:sz w:val="20"/>
                <w:szCs w:val="20"/>
                <w:color w:val="auto"/>
              </w:rPr>
            </w:pPr>
            <w:r>
              <w:rPr>
                <w:rFonts w:ascii="Times New Roman" w:cs="Times New Roman" w:eastAsia="Times New Roman" w:hAnsi="Times New Roman"/>
                <w:sz w:val="18"/>
                <w:szCs w:val="18"/>
                <w:color w:val="auto"/>
              </w:rPr>
              <w:t>5</w:t>
            </w:r>
          </w:p>
        </w:tc>
        <w:tc>
          <w:tcPr>
            <w:tcW w:w="124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0160"/>
          </w:cols>
          <w:pgMar w:left="440" w:top="270" w:right="129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77.</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Rajehan Ariq*</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Tin</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78.</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Refined Bangka Tin*</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Tin</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79.</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Sariwiguna Binasentosa*</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Tin</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80.</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Stanindo Inti Perkasa*</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Tin</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Sukses Inti Makmur*</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Tin</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82.</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Timah Nusantara*</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Tin</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83.</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Timah Tbk Kundur*</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Tin</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84.</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Timah Tbk Mentok*</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Tin</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85.</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Tinindo Inter Nusa*</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Tin</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86.</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Tommy Utama*</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Tin</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87.</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Resind Indústria e Comércio Ltda.*</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Tin</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88.</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Rui Da Hung*</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Tin</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89.</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Super Ligas*</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Tin</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90.</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Thaisarco*</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Tin</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Tin Smelting Branch of Yunnan Tin Co., Ltd. *</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Tin</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92.</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Tin</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5"/>
              </w:rPr>
              <w:t>UNITED STATES</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93.</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White Solder Metalurgia e Mineração Ltda.*</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Tin</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94.</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Tin</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95.</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AMG Brasil*</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Tantalum</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96.</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 Block Metals, LLC*</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Tantalum</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5"/>
              </w:rPr>
              <w:t>UNITED STATES</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Tantalum</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98.</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 Metals &amp; Resource Ltd. *</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Tantalum</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99.</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Tantalum</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Tantalum</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5"/>
              </w:rPr>
              <w:t>UNITED STATES</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Tantalum</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Tantalum</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Tantalum</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Tantalum</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Jiujiang Tanbre Co., Ltd.*</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Tantalum</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Tantalum</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KEMET de Mexico*</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Tantalum</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Materion Newton Inc. *</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Tantalum</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5"/>
              </w:rPr>
              <w:t>UNITED STATES</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Metallurgical Products India Pvt., Ltd. *</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Tantalum</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110.</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Mineração Taboca S.A.*</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Tantalum</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Tantalum</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Tantalum</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113.</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NPM Silmet AS*</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Tantalum</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ESTONIA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114.</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QuantumClean*</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Tantalum</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5"/>
              </w:rPr>
              <w:t>UNITED STATES</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115.</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Resind Indústria e Comércio Ltda.*</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Tantalum</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116.</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RFH Yancheng Jinye New Material Technology Co., Ltd. *</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Tantalum</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117.</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Taki Chemical Co., Ltd.*</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Tantalum</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118.</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TANIOBIS Co., Ltd.*</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Tantalum</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119.</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TANIOBIS GmbH*</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Tantalum</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120.</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TANIOBIS Japan Co., Ltd.*</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Tantalum</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JAPAN</w:t>
            </w:r>
          </w:p>
        </w:tc>
      </w:t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4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2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Tantalum</w:t>
            </w:r>
          </w:p>
        </w:tc>
        <w:tc>
          <w:tcPr>
            <w:tcW w:w="1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GERMANY</w:t>
            </w:r>
          </w:p>
        </w:tc>
      </w:tr>
      <w:tr>
        <w:trPr>
          <w:trHeight w:val="365"/>
        </w:trPr>
        <w:tc>
          <w:tcPr>
            <w:tcW w:w="3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w:t>
            </w:r>
          </w:p>
        </w:tc>
        <w:tc>
          <w:tcPr>
            <w:tcW w:w="1840" w:type="dxa"/>
            <w:vAlign w:val="bottom"/>
          </w:tcPr>
          <w:p>
            <w:pPr>
              <w:spacing w:after="0"/>
              <w:rPr>
                <w:sz w:val="24"/>
                <w:szCs w:val="24"/>
                <w:color w:val="auto"/>
              </w:rPr>
            </w:pPr>
          </w:p>
        </w:tc>
      </w:tr>
    </w:tbl>
    <w:p>
      <w:pPr>
        <w:sectPr>
          <w:pgSz w:w="11900" w:h="16838" w:orient="portrait"/>
          <w:cols w:equalWidth="0" w:num="1">
            <w:col w:w="10160"/>
          </w:cols>
          <w:pgMar w:left="440" w:top="270" w:right="129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122.</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Telex Metals*</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Tantalum</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123.</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Tantalum</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124.</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Tantalum</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125.</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Yanling Jincheng Tantalum * Niobium Co., Ltd. *</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Tantalum</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126.</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127.</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Agosi AG*</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128.</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129.</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130.</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AngloGold Ashanti Córrego do Sítio Mineração*</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131.</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Argor-Heraeus S.A.*</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132.</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Asahi Pretec Corp.*</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133.</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134.</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Asahi Refining USA Inc.*</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135.</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Asaka Riken Co., Ltd.*</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136.</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Aurubis AG*</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137.</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138.</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Boliden Ronnskar*</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139.</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 Hafner GmbH + Co. KG*</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140.</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CCR Refinery—Glencore Canada Corporation*</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141.</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Chimet S.p.A.*</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142.</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Chugai Mining*</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143.</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Dowa*</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144.</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DSC (Do Sung Corporation)*</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8"/>
              </w:rPr>
              <w:t>KOREA (REPUBLIC OF)</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145.</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146.</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147.</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148.</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Gold by Gold Colombia</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COLOMBIA</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149.</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150.</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Heimerle + Meule GmbH*</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151.</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152.</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153.</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154.</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155.</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Istanbul Gold Refinery*</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156.</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Italpreziosi*</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157.</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Japan Mint*</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158.</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Jiangxi Copper Co., Ltd.*</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159.</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160.</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Kazzinc*</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161.</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162.</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163.</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Kojima Chemicals Co., Ltd.*</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164.</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Korea Zinc Co., Ltd.*</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8"/>
              </w:rPr>
              <w:t>KOREA (REPUBLIC OF)</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165.</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L’Orfebre S.A.*</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ANDORRA</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166.</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LS MnM Inc.*</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8"/>
              </w:rPr>
              <w:t>KOREA (REPUBLIC OF)</w:t>
            </w:r>
          </w:p>
        </w:tc>
      </w:tr>
      <w:tr>
        <w:trPr>
          <w:trHeight w:val="234"/>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167.</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LT Metal Ltd.*</w:t>
            </w:r>
          </w:p>
        </w:tc>
        <w:tc>
          <w:tcPr>
            <w:tcW w:w="29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Gold</w:t>
            </w:r>
          </w:p>
        </w:tc>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8"/>
              </w:rPr>
              <w:t>KOREA (REPUBLIC OF)</w:t>
            </w:r>
          </w:p>
        </w:tc>
      </w:tr>
      <w:tr>
        <w:trPr>
          <w:trHeight w:val="364"/>
        </w:trPr>
        <w:tc>
          <w:tcPr>
            <w:tcW w:w="3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w:t>
            </w:r>
          </w:p>
        </w:tc>
        <w:tc>
          <w:tcPr>
            <w:tcW w:w="2420" w:type="dxa"/>
            <w:vAlign w:val="bottom"/>
          </w:tcPr>
          <w:p>
            <w:pPr>
              <w:spacing w:after="0"/>
              <w:rPr>
                <w:sz w:val="24"/>
                <w:szCs w:val="24"/>
                <w:color w:val="auto"/>
              </w:rPr>
            </w:pPr>
          </w:p>
        </w:tc>
      </w:tr>
    </w:tbl>
    <w:p>
      <w:pPr>
        <w:sectPr>
          <w:pgSz w:w="11900" w:h="16838" w:orient="portrait"/>
          <w:cols w:equalWidth="0" w:num="1">
            <w:col w:w="10740"/>
          </w:cols>
          <w:pgMar w:left="440" w:top="270" w:right="71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168.</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Materion*</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169.</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Matsuda Sangyo Co., Ltd.*</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170.</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171.</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172.</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173.</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174.</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Metalor Technologies S.A.*</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175.</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176.</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Metalúrgica Met-Mex Peñoles S.A. De C.V.*</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177.</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178.</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179.</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MKS PAMP SA*</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180.</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MMTC-PAMP India Pvt., Ltd.*</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181.</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Nadir Metal Rafineri San. Ve Tic. A.*</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182.</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183.</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NH Recytech Company*</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KOREA (REPUBLIC OF)</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184.</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Nihon Material Co., Ltd.*</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185.</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Ögussa Österreichische Gold- und Silber-Scheideanstalt GmbH*</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186.</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187.</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CHILE</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188.</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189.</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PX Précinox S.A.*</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190.</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Rand Refinery (Pty) Ltd.*</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191.</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REMONDIS PMR B.V.*</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192.</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Royal Canadian Mint*</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193.</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SAFINA A.S.*</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CZECHIA</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194.</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SEMPSA Joyería Platería S.A.*</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195.</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196.</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197.</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198.</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199.</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200.</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SungEel HiMetal Co., Ltd.*</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201.</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T.C.A S.p.A*</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202.</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203.</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Tokuriki Honten Co., Ltd.*</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204.</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TOO Tau-Ken-Altyn*</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205.</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Torecom*</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KOREA (REPUBLIC OF)</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206.</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207.</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208.</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Valcambi S.A.*</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209.</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Western Australian Mint trading as The Perth Mint*</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210.</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WIELAND Edelmetalle GmbH*</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211.</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Yamakin Co., Ltd.*</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212.</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Yokohama Metal Co., Ltd.*</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JAPAN</w:t>
            </w:r>
          </w:p>
        </w:tc>
      </w:tr>
      <w:tr>
        <w:trPr>
          <w:trHeight w:val="234"/>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213.</w:t>
            </w: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286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Gold</w:t>
            </w:r>
          </w:p>
        </w:tc>
        <w:tc>
          <w:tcPr>
            <w:tcW w:w="2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CHINA</w:t>
            </w:r>
          </w:p>
        </w:tc>
      </w:tr>
      <w:tr>
        <w:trPr>
          <w:trHeight w:val="365"/>
        </w:trPr>
        <w:tc>
          <w:tcPr>
            <w:tcW w:w="3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w:t>
            </w:r>
          </w:p>
        </w:tc>
        <w:tc>
          <w:tcPr>
            <w:tcW w:w="2580" w:type="dxa"/>
            <w:vAlign w:val="bottom"/>
          </w:tcPr>
          <w:p>
            <w:pPr>
              <w:spacing w:after="0"/>
              <w:rPr>
                <w:sz w:val="24"/>
                <w:szCs w:val="24"/>
                <w:color w:val="auto"/>
              </w:rPr>
            </w:pPr>
          </w:p>
        </w:tc>
      </w:tr>
    </w:tbl>
    <w:p>
      <w:pPr>
        <w:sectPr>
          <w:pgSz w:w="11900" w:h="16838" w:orient="portrait"/>
          <w:cols w:equalWidth="0" w:num="1">
            <w:col w:w="10740"/>
          </w:cols>
          <w:pgMar w:left="440" w:top="270" w:right="719" w:bottom="1440" w:gutter="0" w:footer="0" w:header="0"/>
        </w:sectPr>
      </w:pPr>
    </w:p>
    <w:bookmarkStart w:id="11" w:name="page12"/>
    <w:bookmarkEnd w:id="11"/>
    <w:p>
      <w:pPr>
        <w:ind w:left="424" w:hanging="424"/>
        <w:spacing w:after="0"/>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2 – Other Smelters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80"/>
        <w:spacing w:after="0" w:line="266" w:lineRule="auto"/>
        <w:rPr>
          <w:sz w:val="20"/>
          <w:szCs w:val="20"/>
          <w:color w:val="auto"/>
        </w:rPr>
      </w:pPr>
      <w:r>
        <w:rPr>
          <w:rFonts w:ascii="Times New Roman" w:cs="Times New Roman" w:eastAsia="Times New Roman" w:hAnsi="Times New Roman"/>
          <w:sz w:val="18"/>
          <w:szCs w:val="18"/>
          <w:color w:val="auto"/>
        </w:rPr>
        <w:t>Listed below are the 6 Smelters identified to us by our Suppliers as potentially in our supply chain for 2023 that have been designated as Active or Non-Conformant. None of these Smelters are in our supply chain for ICs. The location information and status are as reported by the RMAP as of February 1, 2024.</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1.</w:t>
            </w:r>
          </w:p>
        </w:tc>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Smelter</w:t>
            </w:r>
          </w:p>
        </w:tc>
        <w:tc>
          <w:tcPr>
            <w:tcW w:w="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Metal</w:t>
            </w:r>
          </w:p>
        </w:tc>
        <w:tc>
          <w:tcPr>
            <w:tcW w:w="420" w:type="dxa"/>
            <w:vAlign w:val="bottom"/>
          </w:tcPr>
          <w:p>
            <w:pPr>
              <w:spacing w:after="0"/>
              <w:rPr>
                <w:sz w:val="16"/>
                <w:szCs w:val="16"/>
                <w:color w:val="auto"/>
              </w:rPr>
            </w:pPr>
          </w:p>
        </w:tc>
        <w:tc>
          <w:tcPr>
            <w:tcW w:w="30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0" w:type="dxa"/>
            <w:vAlign w:val="bottom"/>
          </w:tcPr>
          <w:p>
            <w:pPr>
              <w:spacing w:after="0"/>
              <w:rPr>
                <w:sz w:val="1"/>
                <w:szCs w:val="1"/>
                <w:color w:val="auto"/>
              </w:rPr>
            </w:pPr>
          </w:p>
        </w:tc>
      </w:tr>
      <w:tr>
        <w:trPr>
          <w:trHeight w:val="191"/>
        </w:trPr>
        <w:tc>
          <w:tcPr>
            <w:tcW w:w="240" w:type="dxa"/>
            <w:vAlign w:val="bottom"/>
            <w:vMerge w:val="continue"/>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Advanced Chemical Company</w:t>
            </w:r>
          </w:p>
        </w:tc>
        <w:tc>
          <w:tcPr>
            <w:tcW w:w="120" w:type="dxa"/>
            <w:vAlign w:val="bottom"/>
          </w:tcPr>
          <w:p>
            <w:pPr>
              <w:spacing w:after="0"/>
              <w:rPr>
                <w:sz w:val="16"/>
                <w:szCs w:val="16"/>
                <w:color w:val="auto"/>
              </w:rPr>
            </w:pPr>
          </w:p>
        </w:tc>
        <w:tc>
          <w:tcPr>
            <w:tcW w:w="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spacing w:after="0"/>
              <w:rPr>
                <w:sz w:val="16"/>
                <w:szCs w:val="16"/>
                <w:color w:val="auto"/>
              </w:rPr>
            </w:pPr>
          </w:p>
        </w:tc>
        <w:tc>
          <w:tcPr>
            <w:tcW w:w="2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216"/>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2.</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Bangalore Refinery</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0" w:type="dxa"/>
            <w:vAlign w:val="bottom"/>
          </w:tcPr>
          <w:p>
            <w:pPr>
              <w:spacing w:after="0"/>
              <w:rPr>
                <w:sz w:val="18"/>
                <w:szCs w:val="18"/>
                <w:color w:val="auto"/>
              </w:rPr>
            </w:pPr>
          </w:p>
        </w:tc>
        <w:tc>
          <w:tcPr>
            <w:tcW w:w="3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216"/>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3.</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20" w:type="dxa"/>
            <w:vAlign w:val="bottom"/>
          </w:tcPr>
          <w:p>
            <w:pPr>
              <w:spacing w:after="0"/>
              <w:rPr>
                <w:sz w:val="18"/>
                <w:szCs w:val="18"/>
                <w:color w:val="auto"/>
              </w:rPr>
            </w:pPr>
          </w:p>
        </w:tc>
        <w:tc>
          <w:tcPr>
            <w:tcW w:w="3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Non-Conformant</w:t>
            </w:r>
          </w:p>
        </w:tc>
        <w:tc>
          <w:tcPr>
            <w:tcW w:w="0" w:type="dxa"/>
            <w:vAlign w:val="bottom"/>
          </w:tcPr>
          <w:p>
            <w:pPr>
              <w:spacing w:after="0"/>
              <w:rPr>
                <w:sz w:val="1"/>
                <w:szCs w:val="1"/>
                <w:color w:val="auto"/>
              </w:rPr>
            </w:pPr>
          </w:p>
        </w:tc>
      </w:tr>
      <w:tr>
        <w:trPr>
          <w:trHeight w:val="216"/>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4.</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0" w:type="dxa"/>
            <w:vAlign w:val="bottom"/>
          </w:tcPr>
          <w:p>
            <w:pPr>
              <w:spacing w:after="0"/>
              <w:rPr>
                <w:sz w:val="18"/>
                <w:szCs w:val="18"/>
                <w:color w:val="auto"/>
              </w:rPr>
            </w:pPr>
          </w:p>
        </w:tc>
        <w:tc>
          <w:tcPr>
            <w:tcW w:w="3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Non-Conformant</w:t>
            </w:r>
          </w:p>
        </w:tc>
        <w:tc>
          <w:tcPr>
            <w:tcW w:w="0" w:type="dxa"/>
            <w:vAlign w:val="bottom"/>
          </w:tcPr>
          <w:p>
            <w:pPr>
              <w:spacing w:after="0"/>
              <w:rPr>
                <w:sz w:val="1"/>
                <w:szCs w:val="1"/>
                <w:color w:val="auto"/>
              </w:rPr>
            </w:pPr>
          </w:p>
        </w:tc>
      </w:tr>
      <w:tr>
        <w:trPr>
          <w:trHeight w:val="216"/>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5.</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20" w:type="dxa"/>
            <w:vAlign w:val="bottom"/>
          </w:tcPr>
          <w:p>
            <w:pPr>
              <w:spacing w:after="0"/>
              <w:rPr>
                <w:sz w:val="18"/>
                <w:szCs w:val="18"/>
                <w:color w:val="auto"/>
              </w:rPr>
            </w:pPr>
          </w:p>
        </w:tc>
        <w:tc>
          <w:tcPr>
            <w:tcW w:w="3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Non-Conformant</w:t>
            </w:r>
          </w:p>
        </w:tc>
        <w:tc>
          <w:tcPr>
            <w:tcW w:w="0" w:type="dxa"/>
            <w:vAlign w:val="bottom"/>
          </w:tcPr>
          <w:p>
            <w:pPr>
              <w:spacing w:after="0"/>
              <w:rPr>
                <w:sz w:val="1"/>
                <w:szCs w:val="1"/>
                <w:color w:val="auto"/>
              </w:rPr>
            </w:pPr>
          </w:p>
        </w:tc>
      </w:tr>
      <w:tr>
        <w:trPr>
          <w:trHeight w:val="234"/>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6.</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0" w:type="dxa"/>
            <w:vAlign w:val="bottom"/>
          </w:tcPr>
          <w:p>
            <w:pPr>
              <w:spacing w:after="0"/>
              <w:rPr>
                <w:sz w:val="20"/>
                <w:szCs w:val="20"/>
                <w:color w:val="auto"/>
              </w:rPr>
            </w:pPr>
          </w:p>
        </w:tc>
        <w:tc>
          <w:tcPr>
            <w:tcW w:w="3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Non-Conformant</w:t>
            </w:r>
          </w:p>
        </w:tc>
        <w:tc>
          <w:tcPr>
            <w:tcW w:w="0" w:type="dxa"/>
            <w:vAlign w:val="bottom"/>
          </w:tcPr>
          <w:p>
            <w:pPr>
              <w:spacing w:after="0"/>
              <w:rPr>
                <w:sz w:val="1"/>
                <w:szCs w:val="1"/>
                <w:color w:val="auto"/>
              </w:rPr>
            </w:pPr>
          </w:p>
        </w:tc>
      </w:tr>
      <w:tr>
        <w:trPr>
          <w:trHeight w:val="364"/>
        </w:trPr>
        <w:tc>
          <w:tcPr>
            <w:tcW w:w="2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B</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Private Sector Auditor Report</w:t>
      </w:r>
    </w:p>
    <w:p>
      <w:pPr>
        <w:spacing w:after="0" w:line="23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Crowe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183005" cy="4800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83005" cy="480060"/>
                    </a:xfrm>
                    <a:prstGeom prst="rect">
                      <a:avLst/>
                    </a:prstGeom>
                    <a:noFill/>
                  </pic:spPr>
                </pic:pic>
              </a:graphicData>
            </a:graphic>
          </wp:anchor>
        </w:drawing>
      </w:r>
    </w:p>
    <w:p>
      <w:pPr>
        <w:spacing w:after="0" w:line="1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Independent Member Crowe Global</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ACCOUNTANT’S REPORT ON CONFLICT MINERALS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examined:</w:t>
      </w:r>
    </w:p>
    <w:p>
      <w:pPr>
        <w:spacing w:after="0" w:line="131" w:lineRule="exact"/>
        <w:rPr>
          <w:sz w:val="20"/>
          <w:szCs w:val="20"/>
          <w:color w:val="auto"/>
        </w:rPr>
      </w:pPr>
    </w:p>
    <w:p>
      <w:pPr>
        <w:ind w:left="960" w:hanging="424"/>
        <w:spacing w:after="0" w:line="258"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design of Texas Instruments Incorporated’s (the “Company”) due diligence framework as set forth in the section titled “Design of Due Diligence” of the Conflict Minerals Report for the reporting period from January 1, 2023 through December 31, 2023, is in conformity, in all material respects, with the criteria set forth in the Organization for Economic Co-Operation and Development Due Diligence Guidance for Responsible Supply Chains of Minerals from Conflict-Affected and High-Risk Areas, Third Edition 2016 (“OECD Due Diligence Guidance”), and</w:t>
      </w:r>
    </w:p>
    <w:p>
      <w:pPr>
        <w:spacing w:after="0" w:line="88" w:lineRule="exact"/>
        <w:rPr>
          <w:rFonts w:ascii="Times New Roman" w:cs="Times New Roman" w:eastAsia="Times New Roman" w:hAnsi="Times New Roman"/>
          <w:sz w:val="18"/>
          <w:szCs w:val="18"/>
          <w:color w:val="auto"/>
        </w:rPr>
      </w:pPr>
    </w:p>
    <w:p>
      <w:pPr>
        <w:ind w:left="960" w:right="160" w:hanging="424"/>
        <w:spacing w:after="0" w:line="266"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Company’s description of the due diligence measures it performed, as set forth in the section titled “Due Diligence Measures Taken” of the Conflict Minerals Report for the reporting period from January 1, 2023 through December 31, 2023, is consistent, in all material respects, with the due diligence process that the Company undertook.</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management is responsible for the design of the Company’s due diligence framework and the description of the Company’s due diligence measures set forth in the Conflict Minerals Report, and performance of the due diligence measures. Our responsibility is to express an opinion on the design of the Company’s due diligence framework and on the description of the due diligence measures the Company performed, based on our examination.</w:t>
      </w:r>
    </w:p>
    <w:p>
      <w:pPr>
        <w:spacing w:after="0" w:line="18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Our examination was conducted in accordance with attestation standards established by the American Institute of Certified Public Accountants and the standards applicable to attestation engagements contained in Government Auditing Standards, issued by the Comptroller General of the United States. Those standards require that we plan and perform the examination to obtain reasonable assurance about whether the design of the Company’s due diligence framework and the description of the due diligence measures the Company performed is in accordance with the criteria, in all material respects. An examination involves performing procedures to obtain evidence about the Company’s due diligence framework and the description of the due diligence measures the Company performed. The nature, timing, and extent of the procedures selected depend on our judgment, including an assessment of the risks of material misstatement of the Company’s due diligence framework and its description of the due diligence measures the Company performed, whether due to fraud or error. We believe the evidence we obtained is sufficient and appropriate to provide a reasonable basis for our opinion.</w:t>
      </w:r>
    </w:p>
    <w:p>
      <w:pPr>
        <w:spacing w:after="0" w:line="18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are required to be independent and to meet our other ethical responsibilities in accordance with relevant ethical requirements relating to the engagement.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examination was not conducted for the purpose of evaluating:</w:t>
      </w:r>
    </w:p>
    <w:p>
      <w:pPr>
        <w:spacing w:after="0" w:line="131" w:lineRule="exact"/>
        <w:rPr>
          <w:sz w:val="20"/>
          <w:szCs w:val="20"/>
          <w:color w:val="auto"/>
        </w:rPr>
      </w:pPr>
    </w:p>
    <w:p>
      <w:pPr>
        <w:ind w:left="960" w:right="600" w:hanging="424"/>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the due diligence measures that the Company performed with either the design of the Company’s due diligence framework or the OECD Due Diligence Guidance;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completeness of the Company’s description of the due diligence measures performed;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suitability of the design or operating effectiveness of the Company’s due diligence process;</w:t>
      </w:r>
    </w:p>
    <w:p>
      <w:pPr>
        <w:spacing w:after="0" w:line="130" w:lineRule="exact"/>
        <w:rPr>
          <w:rFonts w:ascii="Times New Roman" w:cs="Times New Roman" w:eastAsia="Times New Roman" w:hAnsi="Times New Roman"/>
          <w:sz w:val="18"/>
          <w:szCs w:val="18"/>
          <w:color w:val="auto"/>
        </w:rPr>
      </w:pPr>
    </w:p>
    <w:p>
      <w:pPr>
        <w:ind w:left="960" w:right="660" w:hanging="424"/>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third party can determine from the Conflict Minerals Report if the due diligence measures the Company performed are consistent with the OECD Due Diligence Guidance;</w:t>
      </w:r>
    </w:p>
    <w:p>
      <w:pPr>
        <w:spacing w:after="0" w:line="67" w:lineRule="exact"/>
        <w:rPr>
          <w:rFonts w:ascii="Times New Roman" w:cs="Times New Roman" w:eastAsia="Times New Roman" w:hAnsi="Times New Roman"/>
          <w:sz w:val="18"/>
          <w:szCs w:val="18"/>
          <w:color w:val="auto"/>
        </w:rPr>
      </w:pPr>
    </w:p>
    <w:p>
      <w:pPr>
        <w:ind w:left="960" w:right="920" w:hanging="424"/>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reasonable country of origin inquiry (RCOI), including the suitability of the design of the RCOI, its operating effectiveness, or the results thereof; or</w:t>
      </w:r>
    </w:p>
    <w:p>
      <w:pPr>
        <w:spacing w:after="0" w:line="67"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conclusions about the source or chain of custody of its conflict minerals, those products subject to due diligence, or the DRC Conflict Free status of its products.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Accordingly, we do not express an opinion or any other form of assurance on the aforementioned matters or any other matters included in any section of the Conflict Minerals Report other than the sections described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our opinion:</w:t>
      </w:r>
    </w:p>
    <w:p>
      <w:pPr>
        <w:spacing w:after="0" w:line="131" w:lineRule="exact"/>
        <w:rPr>
          <w:sz w:val="20"/>
          <w:szCs w:val="20"/>
          <w:color w:val="auto"/>
        </w:rPr>
      </w:pPr>
    </w:p>
    <w:p>
      <w:pPr>
        <w:ind w:left="960" w:right="160" w:hanging="424"/>
        <w:spacing w:after="0" w:line="266"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Company’s due diligence framework for the reporting period from January 1, 2023 through December 31, 2023, as set forth in the section titled “Design of Due Diligence” of the Conflict Minerals Report is in conformity with the OECD Due Diligence Guidance, in all material respects; and</w:t>
      </w:r>
    </w:p>
    <w:p>
      <w:pPr>
        <w:spacing w:after="0" w:line="81" w:lineRule="exact"/>
        <w:rPr>
          <w:rFonts w:ascii="Times New Roman" w:cs="Times New Roman" w:eastAsia="Times New Roman" w:hAnsi="Times New Roman"/>
          <w:sz w:val="18"/>
          <w:szCs w:val="18"/>
          <w:color w:val="auto"/>
        </w:rPr>
      </w:pPr>
    </w:p>
    <w:p>
      <w:pPr>
        <w:ind w:left="960" w:right="120" w:hanging="424"/>
        <w:spacing w:after="0" w:line="266"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description of the due diligence measures it performed, as set forth in the section titled “Due Diligence Measures Taken” of the Conflict Minerals Report for the reporting period from January 1, 2023 through December 31, 2023, is consistent with the due diligence process that the Company undertook,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140335</wp:posOffset>
            </wp:positionV>
            <wp:extent cx="1139825" cy="351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3982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11</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upperLetter"/>
      <w:start w:val="9"/>
    </w:lvl>
  </w:abstractNum>
  <w:abstractNum w:abstractNumId="3">
    <w:nsid w:val="140E0F76"/>
    <w:multiLevelType w:val="hybridMultilevel"/>
    <w:lvl w:ilvl="0">
      <w:lvlJc w:val="left"/>
      <w:lvlText w:val="%1."/>
      <w:numFmt w:val="upperLetter"/>
      <w:start w:val="35"/>
    </w:lvl>
  </w:abstractNum>
  <w:abstractNum w:abstractNumId="4">
    <w:nsid w:val="3352255A"/>
    <w:multiLevelType w:val="hybridMultilevel"/>
    <w:lvl w:ilvl="0">
      <w:lvlJc w:val="left"/>
      <w:lvlText w:val="%1."/>
      <w:numFmt w:val="upperLetter"/>
      <w:start w:val="61"/>
    </w:lvl>
  </w:abstractNum>
  <w:abstractNum w:abstractNumId="5">
    <w:nsid w:val="109CF92E"/>
    <w:multiLevelType w:val="hybridMultilevel"/>
    <w:lvl w:ilvl="0">
      <w:lvlJc w:val="left"/>
      <w:lvlText w:val="%1"/>
      <w:numFmt w:val="decimal"/>
      <w:start w:val="1"/>
    </w:lvl>
    <w:lvl w:ilvl="1">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upperLetter"/>
      <w:start w:val="22"/>
    </w:lvl>
  </w:abstractNum>
  <w:abstractNum w:abstractNumId="12">
    <w:nsid w:val="25E45D32"/>
    <w:multiLevelType w:val="hybridMultilevel"/>
    <w:lvl w:ilvl="0">
      <w:lvlJc w:val="left"/>
      <w:lvlText w:val="2"/>
      <w:numFmt w:val="bullet"/>
      <w:start w:val="1"/>
    </w:lvl>
  </w:abstractNum>
  <w:abstractNum w:abstractNumId="13">
    <w:nsid w:val="519B500D"/>
    <w:multiLevelType w:val="hybridMultilevel"/>
    <w:lvl w:ilvl="0">
      <w:lvlJc w:val="left"/>
      <w:lvlText w:val="3"/>
      <w:numFmt w:val="bullet"/>
      <w:start w:val="1"/>
    </w:lvl>
  </w:abstractNum>
  <w:abstractNum w:abstractNumId="14">
    <w:nsid w:val="431BD7B7"/>
    <w:multiLevelType w:val="hybridMultilevel"/>
    <w:lvl w:ilvl="0">
      <w:lvlJc w:val="left"/>
      <w:lvlText w:val="4"/>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2"/>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2024-05-31T13:04:58Z</dcterms:created>
  <dcterms:modified xsi:type="dcterms:W3CDTF">2024-05-31T13:04:58Z</dcterms:modified>
</cp:coreProperties>
</file>