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6"/>
              </w:rPr>
              <w:t>DALLAS, TEXAS 75243</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$1,300,000,000 of Notes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7, 2018, Texas Instruments Incorporated (“Texas Instruments”) consummated the issuance and sale of $1,300,000,000 aggregate principal amount of its 4.150% Notes due 2048 (the “Notes”), pursuant to an underwriting agreement filed herewith as Exhibit 1.1 dated April 30, 2018 among Texas Instruments and Citigroup Global Markets Inc., Mizuho Securities USA LLC and Morgan Stanley &amp; Co. LLC, as representatives of the several underwriters named therein. The Notes were issued pursuant to an Indenture dated as of May 23, 2011 (the “Indenture”) between Texas Instruments and U.S. Bank National Association, as trustee, and an Officers’ Certificate issued pursuant thereto.</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24, 2016 (Reg. No. 333-209678), including the prospectus contained therein (the “Registration Statement”), and a related preliminary prospectus supplement dated April 30, 2018 and a prospectus supplement dated April 30, 2018.</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00" w:type="dxa"/>
            <w:vAlign w:val="bottom"/>
            <w:gridSpan w:val="7"/>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73"/>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67"/>
        </w:trPr>
        <w:tc>
          <w:tcPr>
            <w:tcW w:w="440" w:type="dxa"/>
            <w:vAlign w:val="bottom"/>
          </w:tcPr>
          <w:p>
            <w:pPr>
              <w:jc w:val="right"/>
              <w:ind w:right="14"/>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40" w:type="dxa"/>
            <w:vAlign w:val="bottom"/>
            <w:gridSpan w:val="3"/>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6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2"/>
                <w:szCs w:val="22"/>
                <w:color w:val="auto"/>
              </w:rPr>
            </w:pPr>
          </w:p>
        </w:tc>
        <w:tc>
          <w:tcPr>
            <w:tcW w:w="103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April 30, 2018 among Texas Instruments and Citigroup Global Markets, Inc., Mizuho Securities USA LLC and</w:t>
              </w:r>
            </w:hyperlink>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Morgan Stanley &amp; Co. LLC, as representatives of the several underwriters named in Schedule II therein</w:t>
              </w:r>
            </w:hyperlink>
          </w:p>
        </w:tc>
        <w:tc>
          <w:tcPr>
            <w:tcW w:w="2780" w:type="dxa"/>
            <w:vAlign w:val="bottom"/>
          </w:tcPr>
          <w:p>
            <w:pPr>
              <w:spacing w:after="0"/>
              <w:rPr>
                <w:sz w:val="17"/>
                <w:szCs w:val="17"/>
                <w:color w:val="auto"/>
              </w:rPr>
            </w:pPr>
          </w:p>
        </w:tc>
      </w:tr>
      <w:tr>
        <w:trPr>
          <w:trHeight w:val="30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Officers’ Certificate setting forth the terms of the Notes</w:t>
              </w:r>
            </w:hyperlink>
          </w:p>
        </w:tc>
        <w:tc>
          <w:tcPr>
            <w:tcW w:w="6300" w:type="dxa"/>
            <w:vAlign w:val="bottom"/>
            <w:gridSpan w:val="5"/>
          </w:tcPr>
          <w:p>
            <w:pPr>
              <w:spacing w:after="0"/>
              <w:rPr>
                <w:sz w:val="24"/>
                <w:szCs w:val="24"/>
                <w:color w:val="auto"/>
              </w:rPr>
            </w:pPr>
          </w:p>
        </w:tc>
      </w:tr>
      <w:tr>
        <w:trPr>
          <w:trHeight w:val="30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Opinion of Davis Polk &amp; Wardwell LLP</w:t>
              </w:r>
            </w:hyperlink>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r>
      <w:tr>
        <w:trPr>
          <w:trHeight w:val="30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103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Consent of Davis Polk &amp; Wardwell LLP (contained in Exhibit 5.1)</w:t>
              </w:r>
            </w:hyperlink>
          </w:p>
        </w:tc>
      </w:tr>
      <w:tr>
        <w:trPr>
          <w:trHeight w:val="385"/>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Borders>
              <w:top w:val="single" w:sz="8" w:color="0000EE"/>
            </w:tcBorders>
            <w:gridSpan w:val="3"/>
          </w:tcPr>
          <w:p>
            <w:pPr>
              <w:ind w:left="46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00"/>
          </w:cols>
          <w:pgMar w:left="240" w:top="270"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7, 2018</w:t>
      </w:r>
      <w:r>
        <w:rPr>
          <w:sz w:val="20"/>
          <w:szCs w:val="20"/>
          <w:color w:val="auto"/>
        </w:rPr>
        <w:tab/>
      </w:r>
      <w:r>
        <w:rPr>
          <w:rFonts w:ascii="Arial" w:cs="Arial" w:eastAsia="Arial" w:hAnsi="Arial"/>
          <w:sz w:val="17"/>
          <w:szCs w:val="17"/>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Rafael R. Lizardi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30,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$1,300,000,000 principal amount of the 4.150% Notes due 2048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of Sale Prospectus. The Offered Securities will be issued pursuant to an Indenture dated as of May 23, 2011, between the Company and U.S.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as trustee.</w:t>
      </w:r>
    </w:p>
    <w:p>
      <w:pPr>
        <w:spacing w:after="0" w:line="21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3:30 P.M. (New York time) on the date hereof.</w:t>
      </w:r>
    </w:p>
    <w:p>
      <w:pPr>
        <w:spacing w:after="0" w:line="14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May 7, 2018, or at such other time, not later than May 14, 2018, as shall be designated by the Manager.</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February 24, 2016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Citigroup Global Markets Inc., Mizuho Securities USA LLC and</w:t>
      </w:r>
    </w:p>
    <w:p>
      <w:pPr>
        <w:sectPr>
          <w:pgSz w:w="11900" w:h="16838" w:orient="portrait"/>
          <w:cols w:equalWidth="0" w:num="1">
            <w:col w:w="11420"/>
          </w:cols>
          <w:pgMar w:left="240" w:top="121" w:right="2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Morgan Stanley &amp; Co. LLC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and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ind w:right="3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several Underwriters listed in</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II hereto</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Adam D. Bordner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Mizuho Securities USA LLC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Justin Surma</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tbl>
      <w:tblPr>
        <w:tblLayout w:type="fixed"/>
        <w:tblInd w:w="4080" w:type="dxa"/>
        <w:tblCellMar>
          <w:top w:w="0" w:type="dxa"/>
          <w:left w:w="0" w:type="dxa"/>
          <w:bottom w:w="0" w:type="dxa"/>
          <w:right w:w="0" w:type="dxa"/>
        </w:tblCellMar>
      </w:tblPr>
      <w:tr>
        <w:trPr>
          <w:trHeight w:val="230"/>
        </w:trPr>
        <w:tc>
          <w:tcPr>
            <w:tcW w:w="3360" w:type="dxa"/>
            <w:vAlign w:val="bottom"/>
          </w:tcPr>
          <w:p>
            <w:pPr>
              <w:ind w:left="27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Yurij Slyz</w:t>
            </w:r>
          </w:p>
        </w:tc>
      </w:tr>
      <w:tr>
        <w:trPr>
          <w:trHeight w:val="209"/>
        </w:trPr>
        <w:tc>
          <w:tcPr>
            <w:tcW w:w="3360" w:type="dxa"/>
            <w:vAlign w:val="bottom"/>
          </w:tcPr>
          <w:p>
            <w:pPr>
              <w:ind w:left="278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Yurij Slyz</w:t>
            </w:r>
          </w:p>
        </w:tc>
      </w:tr>
      <w:tr>
        <w:trPr>
          <w:trHeight w:val="230"/>
        </w:trPr>
        <w:tc>
          <w:tcPr>
            <w:tcW w:w="3360" w:type="dxa"/>
            <w:vAlign w:val="bottom"/>
          </w:tcPr>
          <w:p>
            <w:pPr>
              <w:ind w:left="27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365"/>
        </w:trPr>
        <w:tc>
          <w:tcPr>
            <w:tcW w:w="3360" w:type="dxa"/>
            <w:vAlign w:val="bottom"/>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Signature Page to Underwriting Agreement</w:t>
            </w:r>
            <w:r>
              <w:rPr>
                <w:rFonts w:ascii="Arial" w:cs="Arial" w:eastAsia="Arial" w:hAnsi="Arial"/>
                <w:sz w:val="18"/>
                <w:szCs w:val="18"/>
                <w:color w:val="auto"/>
                <w:w w:val="94"/>
              </w:rPr>
              <w:t>]</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Alan C. Boyd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34"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proceeds (before expenses) to TI: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-213360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TO UNDERWRITING AGREEMENT</w:t>
      </w:r>
    </w:p>
    <w:p>
      <w:pPr>
        <w:spacing w:after="0" w:line="207"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4.150% Notes due 2048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2048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99.556%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beginning on November 15, 2018, and on the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$1,284,478,000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2.750% due November 15, 2047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107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4.176%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93-05; 3.106%</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any time before November 15, 2047 (six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November 15, 2047 (six months before the maturity date), in each case discounted to the date of redemption on a semi-annual basis at the rate of Treasury plus 20 basis points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2820" w:space="720"/>
            <w:col w:w="7660"/>
          </w:cols>
          <w:pgMar w:left="240" w:top="270" w:right="4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 any time on or after November 15, 2047 (six months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-387985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820" w:space="720"/>
            <w:col w:w="7640"/>
          </w:cols>
          <w:pgMar w:left="240" w:top="274" w:right="479" w:bottom="1440" w:gutter="0" w:footer="0" w:header="0"/>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30, 2018</w:t>
      </w:r>
    </w:p>
    <w:p>
      <w:pPr>
        <w:spacing w:after="0" w:line="129"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7, 2018 (T+5)</w:t>
      </w:r>
    </w:p>
    <w:p>
      <w:pPr>
        <w:spacing w:after="0" w:line="140"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BD5 / US882508BD51</w:t>
      </w:r>
    </w:p>
    <w:p>
      <w:pPr>
        <w:spacing w:after="0" w:line="140"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[Intentionally omitted]</w:t>
      </w:r>
    </w:p>
    <w:p>
      <w:pPr>
        <w:spacing w:after="0" w:line="142"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ind w:left="354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MUFG Securities Americas Inc.</w:t>
      </w:r>
    </w:p>
    <w:p>
      <w:pPr>
        <w:sectPr>
          <w:pgSz w:w="11900" w:h="16838" w:orient="portrait"/>
          <w:cols w:equalWidth="0" w:num="1">
            <w:col w:w="11180"/>
          </w:cols>
          <w:pgMar w:left="240" w:top="274" w:right="47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U.S. Bancorp Investments,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57" w:lineRule="exact"/>
        <w:rPr>
          <w:sz w:val="20"/>
          <w:szCs w:val="20"/>
          <w:color w:val="auto"/>
        </w:rPr>
      </w:pPr>
    </w:p>
    <w:p>
      <w:pPr>
        <w:sectPr>
          <w:pgSz w:w="11900" w:h="16838" w:orient="portrait"/>
          <w:cols w:equalWidth="0" w:num="2">
            <w:col w:w="2820" w:space="720"/>
            <w:col w:w="7640"/>
          </w:cols>
          <w:pgMar w:left="240" w:top="274" w:right="479" w:bottom="1440" w:gutter="0" w:footer="0" w:header="0"/>
          <w:type w:val="continuous"/>
        </w:sectPr>
      </w:pPr>
    </w:p>
    <w:p>
      <w:pPr>
        <w:jc w:val="center"/>
        <w:ind w:right="-23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180"/>
          </w:cols>
          <w:pgMar w:left="240" w:top="274"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A securities rating is not a recommendation to buy, sell or hold securities and may be subject to revision or withdrawal at any time.</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7, 2018,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w:t>
      </w:r>
    </w:p>
    <w:p>
      <w:pPr>
        <w:spacing w:after="0" w:line="2"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b w:val="1"/>
          <w:bCs w:val="1"/>
          <w:color w:val="auto"/>
        </w:rPr>
        <w:t>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Mizuho Securities USA LLC at (866) 271-7403 and Morgan Stanley &amp; Co. LLC at (866) 718-1649.</w:t>
      </w:r>
    </w:p>
    <w:p>
      <w:pPr>
        <w:spacing w:after="0" w:line="15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380"/>
          </w:cols>
          <w:pgMar w:left="240" w:top="270" w:right="279"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780" w:type="dxa"/>
            <w:vAlign w:val="bottom"/>
          </w:tcPr>
          <w:p>
            <w:pPr>
              <w:jc w:val="center"/>
              <w:ind w:left="310"/>
              <w:spacing w:after="0"/>
              <w:rPr>
                <w:sz w:val="20"/>
                <w:szCs w:val="20"/>
                <w:color w:val="auto"/>
              </w:rPr>
            </w:pPr>
            <w:r>
              <w:rPr>
                <w:rFonts w:ascii="Arial" w:cs="Arial" w:eastAsia="Arial" w:hAnsi="Arial"/>
                <w:sz w:val="18"/>
                <w:szCs w:val="18"/>
                <w:b w:val="1"/>
                <w:bCs w:val="1"/>
                <w:color w:val="auto"/>
              </w:rPr>
              <w:t>SCHEDULE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780" w:type="dxa"/>
            <w:vAlign w:val="bottom"/>
          </w:tcPr>
          <w:p>
            <w:pPr>
              <w:jc w:val="center"/>
              <w:ind w:left="330"/>
              <w:spacing w:after="0"/>
              <w:rPr>
                <w:sz w:val="20"/>
                <w:szCs w:val="20"/>
                <w:color w:val="auto"/>
              </w:rPr>
            </w:pPr>
            <w:r>
              <w:rPr>
                <w:rFonts w:ascii="Arial" w:cs="Arial" w:eastAsia="Arial" w:hAnsi="Arial"/>
                <w:sz w:val="18"/>
                <w:szCs w:val="18"/>
                <w:b w:val="1"/>
                <w:bCs w:val="1"/>
                <w:color w:val="auto"/>
              </w:rPr>
              <w:t>TO UNDERWRITING AGREEMENT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4.150% Notes</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due 2048</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w:t>
            </w: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Global Markets Inc.</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Incorporated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270" w:right="1440" w:bottom="1440" w:gutter="0" w:footer="0" w:header="0"/>
        </w:sectPr>
      </w:pPr>
    </w:p>
    <w:bookmarkStart w:id="12" w:name="page13"/>
    <w:bookmarkEnd w:id="12"/>
    <w:p>
      <w:pPr>
        <w:jc w:val="center"/>
        <w:ind w:righ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759"/>
          </w:cols>
          <w:pgMar w:left="700" w:top="270" w:right="1440" w:bottom="1440" w:gutter="0" w:footer="0" w:header="0"/>
        </w:sectPr>
      </w:pPr>
    </w:p>
    <w:bookmarkStart w:id="13" w:name="page14"/>
    <w:bookmarkEnd w:id="13"/>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right="820" w:firstLine="443"/>
        <w:spacing w:after="0" w:line="277" w:lineRule="auto"/>
        <w:tabs>
          <w:tab w:leader="none" w:pos="7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62" w:lineRule="exact"/>
        <w:rPr>
          <w:rFonts w:ascii="Arial" w:cs="Arial" w:eastAsia="Arial" w:hAnsi="Arial"/>
          <w:sz w:val="18"/>
          <w:szCs w:val="18"/>
          <w:color w:val="auto"/>
        </w:rPr>
      </w:pPr>
    </w:p>
    <w:p>
      <w:pPr>
        <w:ind w:firstLine="443"/>
        <w:spacing w:after="0" w:line="277" w:lineRule="auto"/>
        <w:tabs>
          <w:tab w:leader="none" w:pos="7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820"/>
          </w:cols>
          <w:pgMar w:left="700" w:top="270"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24, 2016</w:t>
      </w:r>
    </w:p>
    <w:p>
      <w:pPr>
        <w:spacing w:after="0" w:line="24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in one or more offerings on terms determined at the time of sale, the Company proposes to issue and sell (a) its common stock, $1.00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(b) its preferred stock, $25.00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(c) certain of its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(d) warrants to purchase Common Stock, Preferred Stock or Debt Securities (“</w:t>
      </w:r>
      <w:r>
        <w:rPr>
          <w:rFonts w:ascii="Arial" w:cs="Arial" w:eastAsia="Arial" w:hAnsi="Arial"/>
          <w:sz w:val="16"/>
          <w:szCs w:val="16"/>
          <w:b w:val="1"/>
          <w:bCs w:val="1"/>
          <w:color w:val="auto"/>
        </w:rPr>
        <w:t>Warrants</w:t>
      </w:r>
      <w:r>
        <w:rPr>
          <w:rFonts w:ascii="Arial" w:cs="Arial" w:eastAsia="Arial" w:hAnsi="Arial"/>
          <w:sz w:val="16"/>
          <w:szCs w:val="16"/>
          <w:color w:val="auto"/>
        </w:rPr>
        <w:t>”), and (e) units consisting of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Debt Securities or Warrants or any combination thereof (“</w:t>
      </w:r>
      <w:r>
        <w:rPr>
          <w:rFonts w:ascii="Arial" w:cs="Arial" w:eastAsia="Arial" w:hAnsi="Arial"/>
          <w:sz w:val="16"/>
          <w:szCs w:val="16"/>
          <w:b w:val="1"/>
          <w:bCs w:val="1"/>
          <w:color w:val="auto"/>
        </w:rPr>
        <w:t>Units</w:t>
      </w:r>
      <w:r>
        <w:rPr>
          <w:rFonts w:ascii="Arial" w:cs="Arial" w:eastAsia="Arial" w:hAnsi="Arial"/>
          <w:sz w:val="16"/>
          <w:szCs w:val="16"/>
          <w:color w:val="auto"/>
        </w:rPr>
        <w:t>”). The Common Stock, Preferred Stock, Debt Securities, Warrants and Units are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20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and preliminary prospectus, if any, together with any additional documents or other information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III to the Underwriting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5" w:name="page16"/>
    <w:bookmarkEnd w:id="1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4"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6" w:name="page17"/>
    <w:bookmarkEnd w:id="16"/>
    <w:p>
      <w:pPr>
        <w:ind w:firstLine="443"/>
        <w:spacing w:after="0" w:line="277" w:lineRule="auto"/>
        <w:tabs>
          <w:tab w:leader="none" w:pos="825"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1220" w:hanging="339"/>
        <w:spacing w:after="0"/>
        <w:tabs>
          <w:tab w:leader="none" w:pos="12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Delaware.</w:t>
      </w:r>
    </w:p>
    <w:p>
      <w:pPr>
        <w:spacing w:after="0" w:line="102" w:lineRule="exact"/>
        <w:rPr>
          <w:rFonts w:ascii="Arial" w:cs="Arial" w:eastAsia="Arial" w:hAnsi="Arial"/>
          <w:sz w:val="17"/>
          <w:szCs w:val="17"/>
          <w:color w:val="auto"/>
        </w:rPr>
      </w:pPr>
    </w:p>
    <w:p>
      <w:pPr>
        <w:ind w:left="460" w:right="40" w:firstLine="421"/>
        <w:spacing w:after="0" w:line="286" w:lineRule="auto"/>
        <w:tabs>
          <w:tab w:leader="none" w:pos="1276"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460" w:right="460" w:firstLine="421"/>
        <w:spacing w:after="0" w:line="277" w:lineRule="auto"/>
        <w:tabs>
          <w:tab w:leader="none" w:pos="132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jc w:val="both"/>
        <w:ind w:left="460" w:right="80" w:firstLine="421"/>
        <w:spacing w:after="0" w:line="264" w:lineRule="auto"/>
        <w:tabs>
          <w:tab w:leader="none" w:pos="131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rFonts w:ascii="Arial" w:cs="Arial" w:eastAsia="Arial" w:hAnsi="Arial"/>
          <w:sz w:val="18"/>
          <w:szCs w:val="18"/>
          <w:color w:val="auto"/>
        </w:rPr>
      </w:pPr>
    </w:p>
    <w:p>
      <w:pPr>
        <w:ind w:left="1860" w:hanging="431"/>
        <w:spacing w:after="0"/>
        <w:tabs>
          <w:tab w:leader="none" w:pos="18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jc w:val="both"/>
        <w:ind w:left="1040" w:right="40" w:firstLine="389"/>
        <w:spacing w:after="0" w:line="312" w:lineRule="auto"/>
        <w:tabs>
          <w:tab w:leader="none" w:pos="1857" w:val="left"/>
        </w:tabs>
        <w:numPr>
          <w:ilvl w:val="2"/>
          <w:numId w:val="4"/>
        </w:numPr>
        <w:rPr>
          <w:rFonts w:ascii="Arial" w:cs="Arial" w:eastAsia="Arial" w:hAnsi="Arial"/>
          <w:sz w:val="16"/>
          <w:szCs w:val="16"/>
          <w:color w:val="auto"/>
        </w:rPr>
      </w:pPr>
      <w:r>
        <w:rPr>
          <w:rFonts w:ascii="Arial" w:cs="Arial" w:eastAsia="Arial" w:hAnsi="Arial"/>
          <w:sz w:val="16"/>
          <w:szCs w:val="16"/>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38" w:lineRule="exact"/>
        <w:rPr>
          <w:rFonts w:ascii="Arial" w:cs="Arial" w:eastAsia="Arial" w:hAnsi="Arial"/>
          <w:sz w:val="16"/>
          <w:szCs w:val="16"/>
          <w:color w:val="auto"/>
        </w:rPr>
      </w:pPr>
    </w:p>
    <w:p>
      <w:pPr>
        <w:ind w:left="460" w:right="20" w:firstLine="421"/>
        <w:spacing w:after="0" w:line="259" w:lineRule="auto"/>
        <w:tabs>
          <w:tab w:leader="none" w:pos="126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78" w:lineRule="exact"/>
        <w:rPr>
          <w:rFonts w:ascii="Arial" w:cs="Arial" w:eastAsia="Arial" w:hAnsi="Arial"/>
          <w:sz w:val="18"/>
          <w:szCs w:val="18"/>
          <w:color w:val="auto"/>
        </w:rPr>
      </w:pPr>
    </w:p>
    <w:p>
      <w:pPr>
        <w:ind w:left="460" w:right="160" w:firstLine="421"/>
        <w:spacing w:after="0" w:line="277" w:lineRule="auto"/>
        <w:tabs>
          <w:tab w:leader="none" w:pos="131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such counsel’s knowledge, there is no action, suit or formal proceeding pending or threatened against the Company or any of its subsidiaries before any court or arbitrator or any governmental body or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17" w:name="page18"/>
    <w:bookmarkEnd w:id="1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9" w:lineRule="exact"/>
        <w:rPr>
          <w:sz w:val="20"/>
          <w:szCs w:val="20"/>
          <w:color w:val="auto"/>
        </w:rPr>
      </w:pPr>
    </w:p>
    <w:p>
      <w:pPr>
        <w:ind w:right="20" w:firstLine="421"/>
        <w:spacing w:after="0" w:line="302" w:lineRule="auto"/>
        <w:tabs>
          <w:tab w:leader="none" w:pos="91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46" w:lineRule="exact"/>
        <w:rPr>
          <w:rFonts w:ascii="Arial" w:cs="Arial" w:eastAsia="Arial" w:hAnsi="Arial"/>
          <w:sz w:val="16"/>
          <w:szCs w:val="16"/>
          <w:color w:val="auto"/>
        </w:rPr>
      </w:pPr>
    </w:p>
    <w:p>
      <w:pPr>
        <w:ind w:right="100" w:firstLine="421"/>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jc w:val="both"/>
        <w:ind w:left="580" w:right="140" w:firstLine="389"/>
        <w:spacing w:after="0" w:line="255" w:lineRule="auto"/>
        <w:tabs>
          <w:tab w:leader="none" w:pos="140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5" w:lineRule="exact"/>
        <w:rPr>
          <w:rFonts w:ascii="Arial" w:cs="Arial" w:eastAsia="Arial" w:hAnsi="Arial"/>
          <w:sz w:val="18"/>
          <w:szCs w:val="18"/>
          <w:color w:val="auto"/>
        </w:rPr>
      </w:pPr>
    </w:p>
    <w:p>
      <w:pPr>
        <w:jc w:val="both"/>
        <w:ind w:left="580" w:right="220" w:firstLine="389"/>
        <w:spacing w:after="0" w:line="302" w:lineRule="auto"/>
        <w:tabs>
          <w:tab w:leader="none" w:pos="1397"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46" w:lineRule="exact"/>
        <w:rPr>
          <w:rFonts w:ascii="Arial" w:cs="Arial" w:eastAsia="Arial" w:hAnsi="Arial"/>
          <w:sz w:val="16"/>
          <w:szCs w:val="16"/>
          <w:color w:val="auto"/>
        </w:rPr>
      </w:pPr>
    </w:p>
    <w:p>
      <w:pPr>
        <w:ind w:left="580" w:firstLine="389"/>
        <w:spacing w:after="0" w:line="277" w:lineRule="auto"/>
        <w:tabs>
          <w:tab w:leader="none" w:pos="139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1160" w:top="274" w:right="279" w:bottom="1440" w:gutter="0" w:footer="0" w:header="0"/>
        </w:sectPr>
      </w:pPr>
    </w:p>
    <w:bookmarkStart w:id="18" w:name="page19"/>
    <w:bookmarkEnd w:id="18"/>
    <w:p>
      <w:pPr>
        <w:ind w:left="1040"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6" w:lineRule="exact"/>
        <w:rPr>
          <w:sz w:val="20"/>
          <w:szCs w:val="20"/>
          <w:color w:val="auto"/>
        </w:rPr>
      </w:pPr>
    </w:p>
    <w:p>
      <w:pPr>
        <w:ind w:left="1040" w:firstLine="389"/>
        <w:spacing w:after="0" w:line="279" w:lineRule="auto"/>
        <w:tabs>
          <w:tab w:leader="none" w:pos="1867" w:val="left"/>
        </w:tabs>
        <w:numPr>
          <w:ilvl w:val="2"/>
          <w:numId w:val="6"/>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63" w:lineRule="exact"/>
        <w:rPr>
          <w:rFonts w:ascii="Arial" w:cs="Arial" w:eastAsia="Arial" w:hAnsi="Arial"/>
          <w:sz w:val="17"/>
          <w:szCs w:val="17"/>
          <w:color w:val="auto"/>
        </w:rPr>
      </w:pPr>
    </w:p>
    <w:p>
      <w:pPr>
        <w:ind w:right="180" w:firstLine="443"/>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60" w:right="200" w:firstLine="421"/>
        <w:spacing w:after="0" w:line="264" w:lineRule="auto"/>
        <w:tabs>
          <w:tab w:leader="none" w:pos="123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1280" w:hanging="399"/>
        <w:spacing w:after="0"/>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1040" w:right="180" w:firstLine="389"/>
        <w:spacing w:after="0" w:line="255" w:lineRule="auto"/>
        <w:tabs>
          <w:tab w:leader="none" w:pos="1867" w:val="left"/>
        </w:tabs>
        <w:numPr>
          <w:ilvl w:val="2"/>
          <w:numId w:val="7"/>
        </w:numPr>
        <w:rPr>
          <w:rFonts w:ascii="Arial" w:cs="Arial" w:eastAsia="Arial" w:hAnsi="Arial"/>
          <w:sz w:val="18"/>
          <w:szCs w:val="18"/>
          <w:color w:val="auto"/>
        </w:rPr>
      </w:pPr>
      <w:r>
        <w:rPr>
          <w:rFonts w:ascii="Arial" w:cs="Arial" w:eastAsia="Arial" w:hAnsi="Arial"/>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 provided that such counsel need not express any opinion as to the validity, legally binding effect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that permits holders to collect any portion of stated principal amount upon acceleration of such securities to the extent determined to constitute unearned interest;</w:t>
      </w:r>
    </w:p>
    <w:p>
      <w:pPr>
        <w:spacing w:after="0" w:line="81" w:lineRule="exact"/>
        <w:rPr>
          <w:rFonts w:ascii="Arial" w:cs="Arial" w:eastAsia="Arial" w:hAnsi="Arial"/>
          <w:sz w:val="18"/>
          <w:szCs w:val="18"/>
          <w:color w:val="auto"/>
        </w:rPr>
      </w:pPr>
    </w:p>
    <w:p>
      <w:pPr>
        <w:ind w:left="1040" w:right="180" w:firstLine="389"/>
        <w:spacing w:after="0" w:line="277" w:lineRule="auto"/>
        <w:tabs>
          <w:tab w:leader="none" w:pos="1857"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9" w:name="page20"/>
    <w:bookmarkEnd w:id="19"/>
    <w:p>
      <w:pPr>
        <w:ind w:left="1100" w:hanging="411"/>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600" w:hanging="459"/>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300" w:firstLine="389"/>
        <w:spacing w:after="0" w:line="312" w:lineRule="auto"/>
        <w:tabs>
          <w:tab w:leader="none" w:pos="1127" w:val="left"/>
        </w:tabs>
        <w:numPr>
          <w:ilvl w:val="1"/>
          <w:numId w:val="9"/>
        </w:numPr>
        <w:rPr>
          <w:rFonts w:ascii="Arial" w:cs="Arial" w:eastAsia="Arial" w:hAnsi="Arial"/>
          <w:sz w:val="16"/>
          <w:szCs w:val="16"/>
          <w:color w:val="auto"/>
        </w:rPr>
      </w:pPr>
      <w:r>
        <w:rPr>
          <w:rFonts w:ascii="Arial" w:cs="Arial" w:eastAsia="Arial" w:hAnsi="Arial"/>
          <w:sz w:val="16"/>
          <w:szCs w:val="16"/>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360" w:firstLine="389"/>
        <w:spacing w:after="0" w:line="277" w:lineRule="auto"/>
        <w:tabs>
          <w:tab w:leader="none" w:pos="111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580" w:hanging="43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300" w:right="240" w:firstLine="389"/>
        <w:spacing w:after="0" w:line="312" w:lineRule="auto"/>
        <w:tabs>
          <w:tab w:leader="none" w:pos="1127" w:val="left"/>
        </w:tabs>
        <w:numPr>
          <w:ilvl w:val="1"/>
          <w:numId w:val="9"/>
        </w:numPr>
        <w:rPr>
          <w:rFonts w:ascii="Arial" w:cs="Arial" w:eastAsia="Arial" w:hAnsi="Arial"/>
          <w:sz w:val="16"/>
          <w:szCs w:val="16"/>
          <w:color w:val="auto"/>
        </w:rPr>
      </w:pPr>
      <w:r>
        <w:rPr>
          <w:rFonts w:ascii="Arial" w:cs="Arial" w:eastAsia="Arial" w:hAnsi="Arial"/>
          <w:sz w:val="16"/>
          <w:szCs w:val="16"/>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620" w:firstLine="389"/>
        <w:spacing w:after="0" w:line="277" w:lineRule="auto"/>
        <w:tabs>
          <w:tab w:leader="none" w:pos="111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520" w:hanging="379"/>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80" w:right="140" w:firstLine="421"/>
        <w:spacing w:after="0" w:line="264" w:lineRule="auto"/>
        <w:tabs>
          <w:tab w:leader="none" w:pos="5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rFonts w:ascii="Arial" w:cs="Arial" w:eastAsia="Arial" w:hAnsi="Arial"/>
          <w:sz w:val="18"/>
          <w:szCs w:val="18"/>
          <w:color w:val="auto"/>
        </w:rPr>
      </w:pPr>
    </w:p>
    <w:p>
      <w:pPr>
        <w:ind w:left="-280" w:right="240" w:firstLine="421"/>
        <w:spacing w:after="0" w:line="308" w:lineRule="auto"/>
        <w:tabs>
          <w:tab w:leader="none" w:pos="62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1440" w:top="274" w:right="259" w:bottom="1440" w:gutter="0" w:footer="0" w:header="0"/>
        </w:sectPr>
      </w:pPr>
    </w:p>
    <w:bookmarkStart w:id="20" w:name="page21"/>
    <w:bookmarkEnd w:id="20"/>
    <w:p>
      <w:pPr>
        <w:ind w:left="-280" w:right="420" w:firstLine="421"/>
        <w:spacing w:after="0" w:line="28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ind w:left="-280" w:right="220" w:firstLine="421"/>
        <w:spacing w:after="0" w:line="312"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38" w:lineRule="exact"/>
        <w:rPr>
          <w:rFonts w:ascii="Arial" w:cs="Arial" w:eastAsia="Arial" w:hAnsi="Arial"/>
          <w:sz w:val="16"/>
          <w:szCs w:val="16"/>
          <w:color w:val="auto"/>
        </w:rPr>
      </w:pPr>
    </w:p>
    <w:p>
      <w:pPr>
        <w:ind w:left="-280" w:right="280" w:firstLine="421"/>
        <w:spacing w:after="0" w:line="286" w:lineRule="auto"/>
        <w:tabs>
          <w:tab w:leader="none" w:pos="52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57" w:lineRule="exact"/>
        <w:rPr>
          <w:rFonts w:ascii="Arial" w:cs="Arial" w:eastAsia="Arial" w:hAnsi="Arial"/>
          <w:sz w:val="17"/>
          <w:szCs w:val="17"/>
          <w:color w:val="auto"/>
        </w:rPr>
      </w:pPr>
    </w:p>
    <w:p>
      <w:pPr>
        <w:jc w:val="both"/>
        <w:ind w:left="-280" w:right="180" w:firstLine="421"/>
        <w:spacing w:after="0" w:line="27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63" w:lineRule="exact"/>
        <w:rPr>
          <w:rFonts w:ascii="Arial" w:cs="Arial" w:eastAsia="Arial" w:hAnsi="Arial"/>
          <w:sz w:val="17"/>
          <w:szCs w:val="17"/>
          <w:color w:val="auto"/>
        </w:rPr>
      </w:pPr>
    </w:p>
    <w:p>
      <w:pPr>
        <w:ind w:left="-280" w:right="160" w:firstLine="421"/>
        <w:spacing w:after="0" w:line="277"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300" w:firstLine="389"/>
        <w:spacing w:after="0" w:line="273" w:lineRule="auto"/>
        <w:tabs>
          <w:tab w:leader="none" w:pos="1127"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70" w:right="259" w:bottom="1440" w:gutter="0" w:footer="0" w:header="0"/>
        </w:sectPr>
      </w:pPr>
    </w:p>
    <w:bookmarkStart w:id="21" w:name="page22"/>
    <w:bookmarkEnd w:id="21"/>
    <w:p>
      <w:pPr>
        <w:ind w:left="1500" w:right="40" w:firstLine="389"/>
        <w:spacing w:after="0" w:line="259" w:lineRule="auto"/>
        <w:tabs>
          <w:tab w:leader="none" w:pos="2317" w:val="left"/>
        </w:tabs>
        <w:numPr>
          <w:ilvl w:val="2"/>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500" w:firstLine="389"/>
        <w:spacing w:after="0" w:line="302" w:lineRule="auto"/>
        <w:tabs>
          <w:tab w:leader="none" w:pos="2317"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left="920" w:right="380" w:firstLine="421"/>
        <w:spacing w:after="0" w:line="277" w:lineRule="auto"/>
        <w:tabs>
          <w:tab w:leader="none" w:pos="187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1280" w:hanging="377"/>
        <w:spacing w:after="0"/>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46" w:lineRule="exact"/>
        <w:rPr>
          <w:sz w:val="20"/>
          <w:szCs w:val="20"/>
          <w:color w:val="auto"/>
        </w:rPr>
      </w:pPr>
    </w:p>
    <w:p>
      <w:pPr>
        <w:ind w:left="460" w:right="200" w:firstLine="443"/>
        <w:spacing w:after="0" w:line="259" w:lineRule="auto"/>
        <w:tabs>
          <w:tab w:leader="none" w:pos="1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2" w:name="page23"/>
    <w:bookmarkEnd w:id="22"/>
    <w:p>
      <w:pPr>
        <w:ind w:right="120" w:firstLine="443"/>
        <w:spacing w:after="0" w:line="279" w:lineRule="auto"/>
        <w:tabs>
          <w:tab w:leader="none" w:pos="798"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63" w:lineRule="exact"/>
        <w:rPr>
          <w:rFonts w:ascii="Arial" w:cs="Arial" w:eastAsia="Arial" w:hAnsi="Arial"/>
          <w:sz w:val="17"/>
          <w:szCs w:val="17"/>
          <w:color w:val="auto"/>
        </w:rPr>
      </w:pPr>
    </w:p>
    <w:p>
      <w:pPr>
        <w:ind w:right="20" w:firstLine="443"/>
        <w:spacing w:after="0" w:line="259" w:lineRule="auto"/>
        <w:tabs>
          <w:tab w:leader="none" w:pos="8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8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280" w:firstLine="443"/>
        <w:spacing w:after="0" w:line="312"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right="220" w:firstLine="443"/>
        <w:spacing w:after="0" w:line="259"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right="60" w:firstLine="443"/>
        <w:spacing w:after="0" w:line="277" w:lineRule="auto"/>
        <w:tabs>
          <w:tab w:leader="none" w:pos="8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firstLine="443"/>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jc w:val="both"/>
        <w:ind w:right="120" w:firstLine="443"/>
        <w:spacing w:after="0" w:line="264" w:lineRule="auto"/>
        <w:tabs>
          <w:tab w:leader="none" w:pos="8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40" w:firstLine="443"/>
        <w:spacing w:after="0" w:line="287" w:lineRule="auto"/>
        <w:tabs>
          <w:tab w:leader="none" w:pos="7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200" w:firstLine="443"/>
        <w:spacing w:after="0" w:line="308" w:lineRule="auto"/>
        <w:tabs>
          <w:tab w:leader="none" w:pos="8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38" w:lineRule="exact"/>
        <w:rPr>
          <w:rFonts w:ascii="Arial" w:cs="Arial" w:eastAsia="Arial" w:hAnsi="Arial"/>
          <w:sz w:val="17"/>
          <w:szCs w:val="17"/>
          <w:color w:val="auto"/>
        </w:rPr>
      </w:pPr>
    </w:p>
    <w:p>
      <w:pPr>
        <w:ind w:right="100" w:firstLine="443"/>
        <w:spacing w:after="0" w:line="279" w:lineRule="auto"/>
        <w:tabs>
          <w:tab w:leader="none" w:pos="8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4" w:name="page25"/>
    <w:bookmarkEnd w:id="24"/>
    <w:p>
      <w:pPr>
        <w:ind w:right="20" w:firstLine="443"/>
        <w:spacing w:after="0" w:line="259" w:lineRule="auto"/>
        <w:tabs>
          <w:tab w:leader="none" w:pos="788"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40" w:firstLine="443"/>
        <w:spacing w:after="0" w:line="259" w:lineRule="auto"/>
        <w:tabs>
          <w:tab w:leader="none" w:pos="7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260" w:firstLine="443"/>
        <w:spacing w:after="0" w:line="277" w:lineRule="auto"/>
        <w:tabs>
          <w:tab w:leader="none" w:pos="8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43"/>
        <w:spacing w:after="0" w:line="287" w:lineRule="auto"/>
        <w:tabs>
          <w:tab w:leader="none" w:pos="7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60" w:lineRule="exact"/>
        <w:rPr>
          <w:rFonts w:ascii="Arial" w:cs="Arial" w:eastAsia="Arial" w:hAnsi="Arial"/>
          <w:sz w:val="16"/>
          <w:szCs w:val="16"/>
          <w:color w:val="auto"/>
        </w:rPr>
      </w:pPr>
    </w:p>
    <w:p>
      <w:pPr>
        <w:jc w:val="both"/>
        <w:ind w:right="120" w:firstLine="443"/>
        <w:spacing w:after="0" w:line="259" w:lineRule="auto"/>
        <w:tabs>
          <w:tab w:leader="none" w:pos="8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25" w:name="page26"/>
    <w:bookmarkEnd w:id="25"/>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out-of-pocket expenses (including the fees and disbursements of their counsel) reasonably incurred by such Underwriters in connection with this Agreement or the offering of the Securities contemplated hereby.</w:t>
      </w:r>
    </w:p>
    <w:p>
      <w:pPr>
        <w:spacing w:after="0" w:line="62" w:lineRule="exact"/>
        <w:rPr>
          <w:sz w:val="20"/>
          <w:szCs w:val="20"/>
          <w:color w:val="auto"/>
        </w:rPr>
      </w:pPr>
    </w:p>
    <w:p>
      <w:pPr>
        <w:ind w:firstLine="443"/>
        <w:spacing w:after="0" w:line="285" w:lineRule="auto"/>
        <w:tabs>
          <w:tab w:leader="none" w:pos="82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74"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120" w:firstLine="443"/>
        <w:spacing w:after="0" w:line="302" w:lineRule="auto"/>
        <w:tabs>
          <w:tab w:leader="none" w:pos="8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26" w:name="page27"/>
    <w:bookmarkEnd w:id="26"/>
    <w:p>
      <w:pPr>
        <w:ind w:firstLine="443"/>
        <w:spacing w:after="0" w:line="285" w:lineRule="auto"/>
        <w:tabs>
          <w:tab w:leader="none" w:pos="828"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62" w:lineRule="exact"/>
        <w:rPr>
          <w:rFonts w:ascii="Arial" w:cs="Arial" w:eastAsia="Arial" w:hAnsi="Arial"/>
          <w:sz w:val="16"/>
          <w:szCs w:val="16"/>
          <w:color w:val="auto"/>
        </w:rPr>
      </w:pPr>
    </w:p>
    <w:p>
      <w:pPr>
        <w:ind w:right="40" w:firstLine="443"/>
        <w:spacing w:after="0" w:line="25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7" w:name="page28"/>
    <w:bookmarkEnd w:id="27"/>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right="60" w:firstLine="443"/>
        <w:spacing w:after="0" w:line="257" w:lineRule="auto"/>
        <w:tabs>
          <w:tab w:leader="none" w:pos="8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jc w:val="both"/>
        <w:ind w:firstLine="443"/>
        <w:spacing w:after="0" w:line="264" w:lineRule="auto"/>
        <w:tabs>
          <w:tab w:leader="none" w:pos="8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00" w:firstLine="443"/>
        <w:spacing w:after="0" w:line="255" w:lineRule="auto"/>
        <w:tabs>
          <w:tab w:leader="none" w:pos="7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5" w:lineRule="exact"/>
        <w:rPr>
          <w:rFonts w:ascii="Arial" w:cs="Arial" w:eastAsia="Arial" w:hAnsi="Arial"/>
          <w:sz w:val="18"/>
          <w:szCs w:val="18"/>
          <w:color w:val="auto"/>
        </w:rPr>
      </w:pPr>
    </w:p>
    <w:p>
      <w:pPr>
        <w:ind w:right="100" w:firstLine="443"/>
        <w:spacing w:after="0" w:line="276" w:lineRule="auto"/>
        <w:tabs>
          <w:tab w:leader="none" w:pos="8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ind w:right="780" w:firstLine="443"/>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8" w:name="page29"/>
    <w:bookmarkEnd w:id="28"/>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57" w:lineRule="exact"/>
        <w:rPr>
          <w:sz w:val="20"/>
          <w:szCs w:val="20"/>
          <w:color w:val="auto"/>
        </w:rPr>
      </w:pPr>
    </w:p>
    <w:p>
      <w:pPr>
        <w:ind w:left="780" w:hanging="337"/>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55" w:lineRule="auto"/>
        <w:tabs>
          <w:tab w:leader="none" w:pos="78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Arial" w:cs="Arial" w:eastAsia="Arial" w:hAnsi="Arial"/>
          <w:sz w:val="18"/>
          <w:szCs w:val="18"/>
          <w:color w:val="auto"/>
        </w:rPr>
      </w:pPr>
    </w:p>
    <w:p>
      <w:pPr>
        <w:ind w:right="20" w:firstLine="443"/>
        <w:spacing w:after="0" w:line="286" w:lineRule="auto"/>
        <w:tabs>
          <w:tab w:leader="none" w:pos="82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1" w:lineRule="exact"/>
        <w:rPr>
          <w:rFonts w:ascii="Arial" w:cs="Arial" w:eastAsia="Arial" w:hAnsi="Arial"/>
          <w:sz w:val="16"/>
          <w:szCs w:val="16"/>
          <w:color w:val="auto"/>
        </w:rPr>
      </w:pPr>
    </w:p>
    <w:p>
      <w:pPr>
        <w:ind w:firstLine="4"/>
        <w:spacing w:after="0" w:line="261" w:lineRule="auto"/>
        <w:tabs>
          <w:tab w:leader="none" w:pos="3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 on the Company and its subsidiaries, taken as a whole.</w:t>
      </w:r>
    </w:p>
    <w:p>
      <w:pPr>
        <w:spacing w:after="0" w:line="75" w:lineRule="exact"/>
        <w:rPr>
          <w:rFonts w:ascii="Arial" w:cs="Arial" w:eastAsia="Arial" w:hAnsi="Arial"/>
          <w:sz w:val="18"/>
          <w:szCs w:val="18"/>
          <w:color w:val="auto"/>
        </w:rPr>
      </w:pPr>
    </w:p>
    <w:p>
      <w:pPr>
        <w:ind w:right="160" w:firstLine="443"/>
        <w:spacing w:after="0" w:line="264" w:lineRule="auto"/>
        <w:tabs>
          <w:tab w:leader="none" w:pos="7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3" w:lineRule="exact"/>
        <w:rPr>
          <w:rFonts w:ascii="Arial" w:cs="Arial" w:eastAsia="Arial" w:hAnsi="Arial"/>
          <w:sz w:val="18"/>
          <w:szCs w:val="18"/>
          <w:color w:val="auto"/>
        </w:rPr>
      </w:pPr>
    </w:p>
    <w:p>
      <w:pPr>
        <w:ind w:right="20" w:firstLine="443"/>
        <w:spacing w:after="0" w:line="264" w:lineRule="auto"/>
        <w:tabs>
          <w:tab w:leader="none" w:pos="8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29" w:name="page30"/>
    <w:bookmarkEnd w:id="29"/>
    <w:p>
      <w:pPr>
        <w:ind w:left="460" w:firstLine="443"/>
        <w:spacing w:after="0" w:line="276" w:lineRule="auto"/>
        <w:tabs>
          <w:tab w:leader="none" w:pos="1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jc w:val="both"/>
        <w:ind w:left="460" w:right="460" w:firstLine="443"/>
        <w:spacing w:after="0" w:line="264" w:lineRule="auto"/>
        <w:tabs>
          <w:tab w:leader="none" w:pos="12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60" w:right="140" w:firstLine="443"/>
        <w:spacing w:after="0" w:line="264" w:lineRule="auto"/>
        <w:tabs>
          <w:tab w:leader="none" w:pos="1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0" w:name="page31"/>
    <w:bookmarkEnd w:id="30"/>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1"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1" w:name="page32"/>
    <w:bookmarkEnd w:id="31"/>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460" w:right="20" w:firstLine="443"/>
        <w:spacing w:after="0" w:line="264" w:lineRule="auto"/>
        <w:tabs>
          <w:tab w:leader="none" w:pos="12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3" w:lineRule="exact"/>
        <w:rPr>
          <w:rFonts w:ascii="Arial" w:cs="Arial" w:eastAsia="Arial" w:hAnsi="Arial"/>
          <w:sz w:val="18"/>
          <w:szCs w:val="18"/>
          <w:color w:val="auto"/>
        </w:rPr>
      </w:pPr>
    </w:p>
    <w:p>
      <w:pPr>
        <w:ind w:left="460" w:right="20" w:firstLine="443"/>
        <w:spacing w:after="0" w:line="288" w:lineRule="auto"/>
        <w:tabs>
          <w:tab w:leader="none" w:pos="1288"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ind w:left="460" w:right="40" w:firstLine="4"/>
        <w:spacing w:after="0" w:line="277" w:lineRule="auto"/>
        <w:tabs>
          <w:tab w:leader="none" w:pos="7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34" w:name="page35"/>
    <w:bookmarkEnd w:id="3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or equitable right, remedy or claim under or in respect of this Agreement or any provision contained herein. No purchaser of Securities from any Underwriter shall be deemed to be a successor merely by reason of such purchase.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21</w:t>
      </w:r>
    </w:p>
    <w:p>
      <w:pPr>
        <w:sectPr>
          <w:pgSz w:w="11900" w:h="16838" w:orient="portrait"/>
          <w:cols w:equalWidth="0" w:num="1">
            <w:col w:w="11360"/>
          </w:cols>
          <w:pgMar w:left="240" w:top="274"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7, 2018</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color w:val="auto"/>
        </w:rPr>
        <w:t>Reference is made to the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Texas Instruments Incorporated (the “</w:t>
      </w:r>
      <w:r>
        <w:rPr>
          <w:rFonts w:ascii="Arial" w:cs="Arial" w:eastAsia="Arial" w:hAnsi="Arial"/>
          <w:sz w:val="17"/>
          <w:szCs w:val="17"/>
          <w:b w:val="1"/>
          <w:bCs w:val="1"/>
          <w:color w:val="auto"/>
        </w:rPr>
        <w:t>Issuer</w:t>
      </w:r>
      <w:r>
        <w:rPr>
          <w:rFonts w:ascii="Arial" w:cs="Arial" w:eastAsia="Arial" w:hAnsi="Arial"/>
          <w:sz w:val="17"/>
          <w:szCs w:val="17"/>
          <w:color w:val="auto"/>
        </w:rPr>
        <w:t>”)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Trustee is the trustee for any and all securities issued under the Indenture. Pursuant to Section 2.04(c) of the Indenture, the undersigned officers do hereby certify, in connection with the issuance of $1,300,000,000 aggregate principal amount of 4.150% Notes due 2048 (the “</w:t>
      </w:r>
      <w:r>
        <w:rPr>
          <w:rFonts w:ascii="Arial" w:cs="Arial" w:eastAsia="Arial" w:hAnsi="Arial"/>
          <w:sz w:val="17"/>
          <w:szCs w:val="17"/>
          <w:b w:val="1"/>
          <w:bCs w:val="1"/>
          <w:color w:val="auto"/>
        </w:rPr>
        <w:t>Notes</w:t>
      </w:r>
      <w:r>
        <w:rPr>
          <w:rFonts w:ascii="Arial" w:cs="Arial" w:eastAsia="Arial" w:hAnsi="Arial"/>
          <w:sz w:val="17"/>
          <w:szCs w:val="17"/>
          <w:color w:val="auto"/>
        </w:rPr>
        <w:t>”), that (i) the form and terms of the Notes have been established pursuant to Section 2.01 and Section 2.03 of the Indenture and comply with the Indenture, and (ii) the terms of the Notes are as follows: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4.150% Notes due 2048.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2048.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4.150%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on November 15, 2018.</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Prior to November 15, 2047 (the date that is six months prior to the maturity date of the Notes), the Issuer may at its option redeem the Notes, in whole or in part at any time, or from time to time, on at least 30 days but not more than 60 days prior notice mailed to the registered address of each holder of the Notes, at a redemption price, calculated by the Issuer, equal to the greater 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100% of the principal amount of the Notes to be redeemed; and</w:t>
      </w:r>
    </w:p>
    <w:p>
      <w:pPr>
        <w:sectPr>
          <w:pgSz w:w="11900" w:h="16838" w:orient="portrait"/>
          <w:cols w:equalWidth="0" w:num="2">
            <w:col w:w="3000" w:space="540"/>
            <w:col w:w="7880"/>
          </w:cols>
          <w:pgMar w:left="240" w:top="121" w:right="239" w:bottom="1440" w:gutter="0" w:footer="0" w:header="0"/>
          <w:type w:val="continuous"/>
        </w:sectPr>
      </w:pPr>
    </w:p>
    <w:bookmarkStart w:id="36" w:name="page37"/>
    <w:bookmarkEnd w:id="36"/>
    <w:p>
      <w:pPr>
        <w:ind w:left="35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in the Notes), plus 20 basis points;</w:t>
      </w:r>
    </w:p>
    <w:p>
      <w:pPr>
        <w:spacing w:after="0" w:line="64"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3540" w:right="120"/>
        <w:spacing w:after="0" w:line="276" w:lineRule="auto"/>
        <w:rPr>
          <w:sz w:val="20"/>
          <w:szCs w:val="20"/>
          <w:color w:val="auto"/>
        </w:rPr>
      </w:pPr>
      <w:r>
        <w:rPr>
          <w:rFonts w:ascii="Arial" w:cs="Arial" w:eastAsia="Arial" w:hAnsi="Arial"/>
          <w:sz w:val="17"/>
          <w:szCs w:val="17"/>
          <w:color w:val="auto"/>
        </w:rPr>
        <w:t>At any time on or after November 15, 2047 (the date that is six months prior to the maturity date of the Notes), the Issuer may at its option redeem the Notes, in whole or in part at any time and from time to time, on at least 30 days but not more than 60 days prior notice mailed to the registered address of each holder of the Notes, at a redemption price equal to 100% of the principal amount of the Notes to be redeemed plus accrued interest thereon to the date of redemption.</w:t>
      </w:r>
    </w:p>
    <w:p>
      <w:pPr>
        <w:sectPr>
          <w:pgSz w:w="11900" w:h="16838" w:orient="portrait"/>
          <w:cols w:equalWidth="0" w:num="1">
            <w:col w:w="11400"/>
          </w:cols>
          <w:pgMar w:left="240" w:top="274"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 xml:space="preserve">The terms of the Notes shall include such other terms as are set forth in the form of Notes attached hereto as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and in the Indenture.</w:t>
      </w:r>
    </w:p>
    <w:p>
      <w:pPr>
        <w:spacing w:after="0" w:line="170"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ind w:firstLine="456"/>
        <w:spacing w:after="0" w:line="255"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with identical terms as the Notes other than with respect to the date of issuance, the issue price and interest accrued prior to the issue date of the additional notes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xml:space="preserve">”). The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 Any Additional Notes will be issued in accordance with Section 2.03 of the Indenture.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type w:val="continuous"/>
        </w:sectPr>
      </w:pPr>
    </w:p>
    <w:bookmarkStart w:id="37" w:name="page38"/>
    <w:bookmarkEnd w:id="3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Rafael R. Lizardi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Alan C. Boyd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2048]</w:t>
      </w:r>
    </w:p>
    <w:p>
      <w:pPr>
        <w:spacing w:after="0" w:line="225"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4.150% Notes due 2048</w:t>
      </w:r>
    </w:p>
    <w:p>
      <w:pPr>
        <w:spacing w:after="0" w:line="238" w:lineRule="exact"/>
        <w:rPr>
          <w:sz w:val="20"/>
          <w:szCs w:val="20"/>
          <w:color w:val="auto"/>
        </w:rPr>
      </w:pPr>
    </w:p>
    <w:p>
      <w:pPr>
        <w:spacing w:after="0"/>
        <w:tabs>
          <w:tab w:leader="none" w:pos="540" w:val="left"/>
          <w:tab w:leader="none" w:pos="956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6"/>
          <w:szCs w:val="16"/>
          <w:color w:val="auto"/>
        </w:rPr>
        <w:t>CUSIP No.: 882508 BD5</w:t>
      </w:r>
    </w:p>
    <w:p>
      <w:pPr>
        <w:spacing w:after="0" w:line="23"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ISIN No.: US882508BD51</w:t>
      </w:r>
    </w:p>
    <w:p>
      <w:pPr>
        <w:spacing w:after="0" w:line="234" w:lineRule="exact"/>
        <w:rPr>
          <w:sz w:val="20"/>
          <w:szCs w:val="20"/>
          <w:color w:val="auto"/>
        </w:rPr>
      </w:pPr>
    </w:p>
    <w:p>
      <w:pPr>
        <w:ind w:left="10680"/>
        <w:spacing w:after="0"/>
        <w:tabs>
          <w:tab w:leader="none" w:pos="1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TEXAS INSTRUMENTS INCORPORATED,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for value received promises to pay to CEDE &amp; CO. or registered</w:t>
      </w:r>
    </w:p>
    <w:p>
      <w:pPr>
        <w:spacing w:after="0" w:line="50"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assigns the principal sum of $[</w:t>
      </w:r>
      <w:r>
        <w:rPr>
          <w:sz w:val="20"/>
          <w:szCs w:val="20"/>
          <w:color w:val="auto"/>
        </w:rPr>
        <w:tab/>
      </w:r>
      <w:r>
        <w:rPr>
          <w:rFonts w:ascii="Arial" w:cs="Arial" w:eastAsia="Arial" w:hAnsi="Arial"/>
          <w:sz w:val="16"/>
          <w:szCs w:val="16"/>
          <w:color w:val="auto"/>
        </w:rPr>
        <w:t>] on May 15, 2048.</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ind w:left="460" w:right="240"/>
        <w:spacing w:after="0" w:line="449" w:lineRule="auto"/>
        <w:rPr>
          <w:sz w:val="20"/>
          <w:szCs w:val="20"/>
          <w:color w:val="auto"/>
        </w:rPr>
      </w:pPr>
      <w:r>
        <w:rPr>
          <w:rFonts w:ascii="Arial" w:cs="Arial" w:eastAsia="Arial" w:hAnsi="Arial"/>
          <w:sz w:val="18"/>
          <w:szCs w:val="18"/>
          <w:color w:val="auto"/>
        </w:rPr>
        <w:t>Reference is made to the further provisions of this Note contained herein, which will for all purposes have the same effect as if set forth at this place. B-2</w:t>
      </w:r>
    </w:p>
    <w:p>
      <w:pPr>
        <w:sectPr>
          <w:pgSz w:w="11900" w:h="16838" w:orient="portrait"/>
          <w:cols w:equalWidth="0" w:num="1">
            <w:col w:w="11420"/>
          </w:cols>
          <w:pgMar w:left="240" w:top="270"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INCORPORATED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 C. McFarling</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ASSOCIATION</w:t>
      </w:r>
      <w:r>
        <w:rPr>
          <w:rFonts w:ascii="Arial" w:cs="Arial" w:eastAsia="Arial" w:hAnsi="Arial"/>
          <w:sz w:val="17"/>
          <w:szCs w:val="17"/>
          <w:color w:val="auto"/>
        </w:rPr>
        <w:t>, as Trustee</w:t>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Michael K. Herberger</w:t>
      </w:r>
    </w:p>
    <w:p>
      <w:pPr>
        <w:spacing w:after="0" w:line="3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74"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4.150% Notes due 2048</w:t>
      </w:r>
    </w:p>
    <w:p>
      <w:pPr>
        <w:spacing w:after="0" w:line="225"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7, 2018. Interest on this Note will be paid to but excluding the relevant Interest Payment Date. The Issuer will pay interest semi-annually in arrears on each Interest Payment Date, commencing November 15, 2018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279"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Paying Agent.</w:t>
      </w:r>
    </w:p>
    <w:p>
      <w:pPr>
        <w:spacing w:after="0" w:line="113"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74"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Indenture; Defined Terms.</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This Note is one of the 4.150% Notes due 2048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7, 2018,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including, without limitation, the defeasance provision set forth in Section 10.01(b) of the Base Indenture; provided that Section 10.01(b)(C) of the Base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74" w:right="259" w:bottom="1440" w:gutter="0" w:footer="0" w:header="0"/>
        </w:sectPr>
      </w:pPr>
    </w:p>
    <w:bookmarkStart w:id="44" w:name="page45"/>
    <w:bookmarkEnd w:id="4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46" w:lineRule="exact"/>
        <w:rPr>
          <w:sz w:val="20"/>
          <w:szCs w:val="20"/>
          <w:color w:val="auto"/>
        </w:rPr>
      </w:pPr>
    </w:p>
    <w:p>
      <w:pPr>
        <w:ind w:left="460" w:right="120" w:firstLine="438"/>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87"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266" w:lineRule="exact"/>
        <w:rPr>
          <w:sz w:val="20"/>
          <w:szCs w:val="20"/>
          <w:color w:val="auto"/>
        </w:rPr>
      </w:pPr>
    </w:p>
    <w:p>
      <w:pPr>
        <w:ind w:left="460"/>
        <w:spacing w:after="0"/>
        <w:tabs>
          <w:tab w:leader="none" w:pos="7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74" w:right="259" w:bottom="1440" w:gutter="0" w:footer="0" w:header="0"/>
        </w:sectPr>
      </w:pPr>
    </w:p>
    <w:bookmarkStart w:id="45" w:name="page46"/>
    <w:bookmarkEnd w:id="45"/>
    <w:p>
      <w:pPr>
        <w:ind w:left="46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r>
        <w:rPr>
          <w:sz w:val="20"/>
          <w:szCs w:val="20"/>
          <w:color w:val="auto"/>
        </w:rPr>
        <w:tab/>
      </w:r>
      <w:r>
        <w:rPr>
          <w:rFonts w:ascii="Arial" w:cs="Arial" w:eastAsia="Arial" w:hAnsi="Arial"/>
          <w:sz w:val="16"/>
          <w:szCs w:val="16"/>
          <w:color w:val="auto"/>
        </w:rPr>
        <w:t>Redemption.</w:t>
      </w:r>
    </w:p>
    <w:p>
      <w:pPr>
        <w:spacing w:after="0" w:line="117" w:lineRule="exact"/>
        <w:rPr>
          <w:sz w:val="20"/>
          <w:szCs w:val="20"/>
          <w:color w:val="auto"/>
        </w:rPr>
      </w:pPr>
    </w:p>
    <w:p>
      <w:pPr>
        <w:jc w:val="both"/>
        <w:ind w:right="160" w:firstLine="464"/>
        <w:spacing w:after="0" w:line="264"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November 15, 2047 (the date that is six months prior to the maturity date of the Notes), the Issuer may at its option redeem the Notes, in whole or in part at any time, or from time to time, on at least 30 days but not more than 60 days prior notice, at a redemption price calculated by the Issuer equal to the greater of:</w:t>
      </w:r>
    </w:p>
    <w:p>
      <w:pPr>
        <w:spacing w:after="0" w:line="181" w:lineRule="exact"/>
        <w:rPr>
          <w:sz w:val="20"/>
          <w:szCs w:val="20"/>
          <w:color w:val="auto"/>
        </w:rPr>
      </w:pPr>
    </w:p>
    <w:p>
      <w:pPr>
        <w:ind w:left="820" w:hanging="35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firstLine="464"/>
        <w:spacing w:after="0" w:line="259" w:lineRule="auto"/>
        <w:tabs>
          <w:tab w:leader="none" w:pos="8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below), plus 20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20"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any time on or after November 15, 2047 (the date that is six months prior to the maturity date of the Notes), the Issuer may at its option redeem the Notes, in whole or in part at any time and from time to time, on at least 30 days but not more than 60 days prior notice,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80"/>
          </w:cols>
          <w:pgMar w:left="240" w:top="274" w:right="37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4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Citigroup Global Markets Inc., Mizuho Securities USA LLC and Morgan Stanley &amp; Co.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29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70" w:right="239" w:bottom="1440" w:gutter="0" w:footer="0" w:header="0"/>
        </w:sectPr>
      </w:pPr>
    </w:p>
    <w:bookmarkStart w:id="47" w:name="page48"/>
    <w:bookmarkEnd w:id="4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96" w:lineRule="exact"/>
        <w:rPr>
          <w:sz w:val="20"/>
          <w:szCs w:val="20"/>
          <w:color w:val="auto"/>
        </w:rPr>
      </w:pPr>
    </w:p>
    <w:p>
      <w:pPr>
        <w:ind w:left="460"/>
        <w:spacing w:after="0"/>
        <w:tabs>
          <w:tab w:leader="none" w:pos="7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333" w:lineRule="exact"/>
        <w:rPr>
          <w:sz w:val="20"/>
          <w:szCs w:val="20"/>
          <w:color w:val="auto"/>
        </w:rPr>
      </w:pPr>
    </w:p>
    <w:p>
      <w:pPr>
        <w:ind w:left="460"/>
        <w:spacing w:after="0"/>
        <w:tabs>
          <w:tab w:leader="none" w:pos="7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CUSIP Numbers.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274"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360" w:type="dxa"/>
            <w:vAlign w:val="bottom"/>
            <w:gridSpan w:val="3"/>
          </w:tcPr>
          <w:p>
            <w:pPr>
              <w:ind w:left="46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7"/>
        </w:trPr>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c>
          <w:tcPr>
            <w:tcW w:w="5740" w:type="dxa"/>
            <w:vAlign w:val="bottom"/>
            <w:tcBorders>
              <w:bottom w:val="single" w:sz="8" w:color="auto"/>
            </w:tcBorders>
          </w:tcPr>
          <w:p>
            <w:pPr>
              <w:spacing w:after="0"/>
              <w:rPr>
                <w:sz w:val="22"/>
                <w:szCs w:val="22"/>
                <w:color w:val="auto"/>
              </w:rPr>
            </w:pPr>
          </w:p>
        </w:tc>
      </w:tr>
      <w:tr>
        <w:trPr>
          <w:trHeight w:val="385"/>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166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92"/>
              </w:rPr>
              <w:t>Your Signature:</w:t>
            </w:r>
          </w:p>
        </w:tc>
        <w:tc>
          <w:tcPr>
            <w:tcW w:w="2400" w:type="dxa"/>
            <w:vAlign w:val="bottom"/>
            <w:tcBorders>
              <w:bottom w:val="single" w:sz="8" w:color="auto"/>
            </w:tcBorders>
          </w:tcPr>
          <w:p>
            <w:pPr>
              <w:spacing w:after="0"/>
              <w:rPr>
                <w:sz w:val="24"/>
                <w:szCs w:val="24"/>
                <w:color w:val="auto"/>
              </w:rPr>
            </w:pPr>
          </w:p>
        </w:tc>
        <w:tc>
          <w:tcPr>
            <w:tcW w:w="5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306705</wp:posOffset>
            </wp:positionV>
            <wp:extent cx="25298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3887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1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274" w:right="2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100" w:type="dxa"/>
            <w:vAlign w:val="bottom"/>
            <w:vMerge w:val="restart"/>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Principal amount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0"/>
              </w:rPr>
              <w:t>Amount of increase</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380" w:type="dxa"/>
            <w:vAlign w:val="bottom"/>
            <w:gridSpan w:val="2"/>
            <w:vMerge w:val="continue"/>
          </w:tcPr>
          <w:p>
            <w:pPr>
              <w:spacing w:after="0"/>
              <w:rPr>
                <w:sz w:val="12"/>
                <w:szCs w:val="12"/>
                <w:color w:val="auto"/>
              </w:rPr>
            </w:pP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23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this Global Note</w:t>
            </w:r>
          </w:p>
        </w:tc>
        <w:tc>
          <w:tcPr>
            <w:tcW w:w="1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1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-8255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266065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720"/>
            <w:col w:w="6020"/>
          </w:cols>
          <w:pgMar w:left="240" w:top="27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B-11</w:t>
      </w:r>
    </w:p>
    <w:p>
      <w:pPr>
        <w:sectPr>
          <w:pgSz w:w="11900" w:h="16838" w:orient="portrait"/>
          <w:cols w:equalWidth="0" w:num="1">
            <w:col w:w="11380"/>
          </w:cols>
          <w:pgMar w:left="240" w:top="274" w:right="279" w:bottom="1440" w:gutter="0" w:footer="0" w:header="0"/>
          <w:type w:val="continuous"/>
        </w:sectPr>
      </w:pPr>
    </w:p>
    <w:bookmarkStart w:id="50" w:name="page51"/>
    <w:bookmarkEnd w:id="50"/>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Northern California</w:t>
      </w:r>
    </w:p>
    <w:p>
      <w:pPr>
        <w:spacing w:after="0" w:line="3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37945"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794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620" w:space="720"/>
            <w:col w:w="1080"/>
          </w:cols>
          <w:pgMar w:left="240" w:top="121" w:right="2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5"/>
                <w:szCs w:val="15"/>
                <w:b w:val="1"/>
                <w:bCs w:val="1"/>
                <w:color w:val="auto"/>
              </w:rPr>
              <w:t>LLP</w:t>
            </w:r>
          </w:p>
        </w:tc>
        <w:tc>
          <w:tcPr>
            <w:tcW w:w="1800" w:type="dxa"/>
            <w:vAlign w:val="bottom"/>
          </w:tcPr>
          <w:p>
            <w:pPr>
              <w:ind w:left="540"/>
              <w:spacing w:after="0"/>
              <w:rPr>
                <w:sz w:val="20"/>
                <w:szCs w:val="20"/>
                <w:color w:val="auto"/>
              </w:rPr>
            </w:pPr>
            <w:r>
              <w:rPr>
                <w:rFonts w:ascii="Arial" w:cs="Arial" w:eastAsia="Arial" w:hAnsi="Arial"/>
                <w:sz w:val="18"/>
                <w:szCs w:val="18"/>
                <w:b w:val="1"/>
                <w:bCs w:val="1"/>
                <w:color w:val="auto"/>
                <w:w w:val="91"/>
              </w:rPr>
              <w:t>650 752 2000 tel</w:t>
            </w: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800" w:type="dxa"/>
            <w:vAlign w:val="bottom"/>
          </w:tcPr>
          <w:p>
            <w:pPr>
              <w:ind w:left="540"/>
              <w:spacing w:after="0"/>
              <w:rPr>
                <w:sz w:val="20"/>
                <w:szCs w:val="20"/>
                <w:color w:val="auto"/>
              </w:rPr>
            </w:pPr>
            <w:r>
              <w:rPr>
                <w:rFonts w:ascii="Arial" w:cs="Arial" w:eastAsia="Arial" w:hAnsi="Arial"/>
                <w:sz w:val="18"/>
                <w:szCs w:val="18"/>
                <w:b w:val="1"/>
                <w:bCs w:val="1"/>
                <w:color w:val="auto"/>
                <w:w w:val="87"/>
              </w:rPr>
              <w:t>650 752 2111 fax</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8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 of $1,300,000,000 aggregate principal amount of 4.150% Notes due 2048 (the “</w:t>
      </w:r>
      <w:r>
        <w:rPr>
          <w:rFonts w:ascii="Arial" w:cs="Arial" w:eastAsia="Arial" w:hAnsi="Arial"/>
          <w:sz w:val="16"/>
          <w:szCs w:val="16"/>
          <w:b w:val="1"/>
          <w:bCs w:val="1"/>
          <w:color w:val="auto"/>
        </w:rPr>
        <w:t>Notes</w:t>
      </w:r>
      <w:r>
        <w:rPr>
          <w:rFonts w:ascii="Arial" w:cs="Arial" w:eastAsia="Arial" w:hAnsi="Arial"/>
          <w:sz w:val="16"/>
          <w:szCs w:val="16"/>
          <w:color w:val="auto"/>
        </w:rPr>
        <w:t>”) in an underwritten public offering pursuant to an underwriting agreement dated April 30, 2018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Citigroup Global Markets Inc., Mizuho Securities USA LLC and Morgan Stanley &amp; Co. LLC (the “</w:t>
      </w:r>
      <w:r>
        <w:rPr>
          <w:rFonts w:ascii="Arial" w:cs="Arial" w:eastAsia="Arial" w:hAnsi="Arial"/>
          <w:sz w:val="16"/>
          <w:szCs w:val="16"/>
          <w:b w:val="1"/>
          <w:bCs w:val="1"/>
          <w:color w:val="auto"/>
        </w:rPr>
        <w:t>Representatives</w:t>
      </w:r>
      <w:r>
        <w:rPr>
          <w:rFonts w:ascii="Arial" w:cs="Arial" w:eastAsia="Arial" w:hAnsi="Arial"/>
          <w:sz w:val="16"/>
          <w:szCs w:val="16"/>
          <w:color w:val="auto"/>
        </w:rPr>
        <w:t>”), as representatives of the several underwriters listed in Schedule II thereto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 Bank National Association, as Trustee, and an Officers’ Certificate to be issued pursuant thereto on or about May 7, 2018. The Company has filed with the Securities and Exchange Commission a Registration Statement on Form S-3 (File No. 333-209678,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certain securities, including the Notes.</w:t>
      </w:r>
    </w:p>
    <w:p>
      <w:pPr>
        <w:spacing w:after="0" w:line="1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w:t>
      </w:r>
    </w:p>
    <w:p>
      <w:pPr>
        <w:sectPr>
          <w:pgSz w:w="11900" w:h="16838" w:orient="portrait"/>
          <w:cols w:equalWidth="0" w:num="1">
            <w:col w:w="11420"/>
          </w:cols>
          <w:pgMar w:left="240" w:top="121"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160" w:type="dxa"/>
            <w:vAlign w:val="bottom"/>
          </w:tcPr>
          <w:p>
            <w:pPr>
              <w:jc w:val="right"/>
              <w:ind w:right="2170"/>
              <w:spacing w:after="0"/>
              <w:rPr>
                <w:sz w:val="20"/>
                <w:szCs w:val="20"/>
                <w:color w:val="auto"/>
              </w:rPr>
            </w:pPr>
            <w:r>
              <w:rPr>
                <w:rFonts w:ascii="Arial" w:cs="Arial" w:eastAsia="Arial" w:hAnsi="Arial"/>
                <w:sz w:val="18"/>
                <w:szCs w:val="18"/>
                <w:color w:val="auto"/>
              </w:rPr>
              <w:t>2</w:t>
            </w:r>
          </w:p>
        </w:tc>
        <w:tc>
          <w:tcPr>
            <w:tcW w:w="3160" w:type="dxa"/>
            <w:vAlign w:val="bottom"/>
          </w:tcPr>
          <w:p>
            <w:pPr>
              <w:ind w:left="2240"/>
              <w:spacing w:after="0"/>
              <w:rPr>
                <w:sz w:val="20"/>
                <w:szCs w:val="20"/>
                <w:color w:val="auto"/>
              </w:rPr>
            </w:pPr>
            <w:r>
              <w:rPr>
                <w:rFonts w:ascii="Arial" w:cs="Arial" w:eastAsia="Arial" w:hAnsi="Arial"/>
                <w:sz w:val="18"/>
                <w:szCs w:val="18"/>
                <w:color w:val="auto"/>
                <w:w w:val="90"/>
              </w:rPr>
              <w:t>May 7, 2018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spacing w:after="0" w:line="342" w:lineRule="auto"/>
        <w:rPr>
          <w:sz w:val="20"/>
          <w:szCs w:val="20"/>
          <w:color w:val="auto"/>
        </w:rPr>
      </w:pPr>
      <w:r>
        <w:rPr>
          <w:rFonts w:ascii="Arial" w:cs="Arial" w:eastAsia="Arial" w:hAnsi="Arial"/>
          <w:sz w:val="16"/>
          <w:szCs w:val="16"/>
          <w:color w:val="auto"/>
        </w:rPr>
        <w:t>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24"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ind w:right="180" w:firstLine="8"/>
        <w:spacing w:after="0" w:line="273"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
    <w:nsid w:val="3F2DBA31"/>
    <w:multiLevelType w:val="hybridMultilevel"/>
    <w:lvl w:ilvl="0">
      <w:lvlJc w:val="left"/>
      <w:lvlText w:val="(%1)"/>
      <w:numFmt w:val="lowerRoman"/>
      <w:start w:val="7"/>
    </w:lvl>
    <w:lvl w:ilvl="1">
      <w:lvlJc w:val="left"/>
      <w:lvlText w:val="(%2)"/>
      <w:numFmt w:val="upperLetter"/>
      <w:start w:val="1"/>
    </w:lvl>
  </w:abstractNum>
  <w:abstractNum w:abstractNumId="5">
    <w:nsid w:val="7C83E45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6">
    <w:nsid w:val="257130A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
    <w:nsid w:val="62BBD95A"/>
    <w:multiLevelType w:val="hybridMultilevel"/>
    <w:lvl w:ilvl="0">
      <w:lvlJc w:val="left"/>
      <w:lvlText w:val="%1"/>
      <w:numFmt w:val="lowerRoman"/>
      <w:start w:val="1"/>
    </w:lvl>
    <w:lvl w:ilvl="1">
      <w:lvlJc w:val="left"/>
      <w:lvlText w:val="(%2)"/>
      <w:numFmt w:val="upperLetter"/>
      <w:start w:val="3"/>
    </w:lvl>
  </w:abstractNum>
  <w:abstractNum w:abstractNumId="8">
    <w:nsid w:val="436C6125"/>
    <w:multiLevelType w:val="hybridMultilevel"/>
    <w:lvl w:ilvl="0">
      <w:lvlJc w:val="left"/>
      <w:lvlText w:val="(%1)"/>
      <w:numFmt w:val="lowerRoman"/>
      <w:start w:val="3"/>
    </w:lvl>
    <w:lvl w:ilvl="1">
      <w:lvlJc w:val="left"/>
      <w:lvlText w:val="(%2)"/>
      <w:numFmt w:val="upperLetter"/>
      <w:start w:val="1"/>
    </w:lvl>
  </w:abstractNum>
  <w:abstractNum w:abstractNumId="9">
    <w:nsid w:val="628C895D"/>
    <w:multiLevelType w:val="hybridMultilevel"/>
    <w:lvl w:ilvl="0">
      <w:lvlJc w:val="left"/>
      <w:lvlText w:val="(%1)"/>
      <w:numFmt w:val="lowerRoman"/>
      <w:start w:val="8"/>
    </w:lvl>
    <w:lvl w:ilvl="1">
      <w:lvlJc w:val="left"/>
      <w:lvlText w:val="(%2)"/>
      <w:numFmt w:val="upperLetter"/>
      <w:start w:val="1"/>
    </w:lvl>
  </w:abstractNum>
  <w:abstractNum w:abstractNumId="10">
    <w:nsid w:val="333A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1">
    <w:nsid w:val="721DA317"/>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2">
    <w:nsid w:val="2443A85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
    <w:nsid w:val="2D1D5AE9"/>
    <w:multiLevelType w:val="hybridMultilevel"/>
    <w:lvl w:ilvl="0">
      <w:lvlJc w:val="left"/>
      <w:lvlText w:val="(%1)"/>
      <w:numFmt w:val="lowerLetter"/>
      <w:start w:val="5"/>
    </w:lvl>
  </w:abstractNum>
  <w:abstractNum w:abstractNumId="14">
    <w:nsid w:val="6763845E"/>
    <w:multiLevelType w:val="hybridMultilevel"/>
    <w:lvl w:ilvl="0">
      <w:lvlJc w:val="left"/>
      <w:lvlText w:val="(%1)"/>
      <w:numFmt w:val="lowerLetter"/>
      <w:start w:val="6"/>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6"/>
    </w:lvl>
  </w:abstractNum>
  <w:abstractNum w:abstractNumId="17">
    <w:nsid w:val="79838CB2"/>
    <w:multiLevelType w:val="hybridMultilevel"/>
    <w:lvl w:ilvl="0">
      <w:lvlJc w:val="left"/>
      <w:lvlText w:val="(%1)"/>
      <w:numFmt w:val="lowerLetter"/>
      <w:start w:val="9"/>
    </w:lvl>
  </w:abstractNum>
  <w:abstractNum w:abstractNumId="18">
    <w:nsid w:val="4353D0CD"/>
    <w:multiLevelType w:val="hybridMultilevel"/>
    <w:lvl w:ilvl="0">
      <w:lvlJc w:val="left"/>
      <w:lvlText w:val="(%1)"/>
      <w:numFmt w:val="lowerLetter"/>
      <w:start w:val="14"/>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1)"/>
      <w:numFmt w:val="lowerLetter"/>
      <w:start w:val="4"/>
    </w:lvl>
  </w:abstractNum>
  <w:abstractNum w:abstractNumId="22">
    <w:nsid w:val="71F32454"/>
    <w:multiLevelType w:val="hybridMultilevel"/>
    <w:lvl w:ilvl="0">
      <w:lvlJc w:val="left"/>
      <w:lvlText w:val="%1"/>
      <w:numFmt w:val="lowerRoman"/>
      <w:start w:val="1"/>
    </w:lvl>
    <w:lvl w:ilvl="1">
      <w:lvlJc w:val="left"/>
      <w:lvlText w:val="(%2)"/>
      <w:numFmt w:val="lowerLetter"/>
      <w:start w:val="9"/>
    </w:lvl>
  </w:abstractNum>
  <w:abstractNum w:abstractNumId="23">
    <w:nsid w:val="2CA88611"/>
    <w:multiLevelType w:val="hybridMultilevel"/>
    <w:lvl w:ilvl="0">
      <w:lvlJc w:val="left"/>
      <w:lvlText w:val="(%1)"/>
      <w:numFmt w:val="lowerRoman"/>
      <w:start w:val="4"/>
    </w:lvl>
    <w:lvl w:ilvl="1">
      <w:lvlJc w:val="left"/>
      <w:lvlText w:val="(%2)"/>
      <w:numFmt w:val="lowerLetter"/>
      <w:start w:val="12"/>
    </w:lvl>
  </w:abstractNum>
  <w:abstractNum w:abstractNumId="24">
    <w:nsid w:val="836C40E"/>
    <w:multiLevelType w:val="hybridMultilevel"/>
    <w:lvl w:ilvl="0">
      <w:lvlJc w:val="left"/>
      <w:lvlText w:val="(%1)"/>
      <w:numFmt w:val="lowerLetter"/>
      <w:start w:val="14"/>
    </w:lvl>
  </w:abstractNum>
  <w:abstractNum w:abstractNumId="25">
    <w:nsid w:val="2901D82"/>
    <w:multiLevelType w:val="hybridMultilevel"/>
    <w:lvl w:ilvl="0">
      <w:lvlJc w:val="left"/>
      <w:lvlText w:val="%1"/>
      <w:numFmt w:val="lowerLetter"/>
      <w:start w:val="1"/>
    </w:lvl>
    <w:lvl w:ilvl="1">
      <w:lvlJc w:val="left"/>
      <w:lvlText w:val="(%2)"/>
      <w:numFmt w:val="lowerLetter"/>
      <w:start w:val="1"/>
    </w:lvl>
  </w:abstractNum>
  <w:abstractNum w:abstractNumId="26">
    <w:nsid w:val="3A95F874"/>
    <w:multiLevelType w:val="hybridMultilevel"/>
    <w:lvl w:ilvl="0">
      <w:lvlJc w:val="left"/>
      <w:lvlText w:val="(%1)"/>
      <w:numFmt w:val="lowerLetter"/>
      <w:start w:val="35"/>
    </w:lvl>
    <w:lvl w:ilvl="1">
      <w:lvlJc w:val="left"/>
      <w:lvlText w:val="%2"/>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1)"/>
      <w:numFmt w:val="lowerRoman"/>
      <w:start w:val="5"/>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2019-12-28T22:28:11Z</dcterms:created>
  <dcterms:modified xsi:type="dcterms:W3CDTF">2019-12-28T22:28:11Z</dcterms:modified>
</cp:coreProperties>
</file>