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October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95,621,762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115,074,262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115,074,262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115,074,262 shares or 10.3% of the 1,120,802,980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2012</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October 12, 2012 included as an Exhibit to Schedule 13G filed with the Securities and Exchange Commission by Capital World Investors on November 9, 2012 with respect to Fidelity National</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1060"/>
        <w:spacing w:after="0"/>
        <w:rPr>
          <w:sz w:val="20"/>
          <w:szCs w:val="20"/>
          <w:color w:val="auto"/>
        </w:rPr>
      </w:pPr>
      <w:r>
        <w:rPr>
          <w:rFonts w:ascii="Courier New" w:cs="Courier New" w:eastAsia="Courier New" w:hAnsi="Courier New"/>
          <w:sz w:val="18"/>
          <w:szCs w:val="18"/>
          <w:color w:val="auto"/>
        </w:rPr>
        <w:t>Information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2019-12-09T08:40:20Z</dcterms:created>
  <dcterms:modified xsi:type="dcterms:W3CDTF">2019-12-09T08:40:20Z</dcterms:modified>
</cp:coreProperties>
</file>