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566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667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DELAGI R GREGORY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01/31/2008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48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w w:val="99"/>
              </w:rPr>
              <w:t>(A) or</w:t>
            </w: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30.43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162,285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30.691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160,285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rPr>
              <w:t>800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30.71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159,485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1,200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30.72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158,285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30.731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156,285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1,900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30.84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154,385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rPr>
              <w:t>100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tcBorders>
              <w:bottom w:val="single" w:sz="8" w:color="2C2C2C"/>
            </w:tcBorders>
            <w:gridSpan w:val="3"/>
          </w:tcPr>
          <w:p>
            <w:pPr>
              <w:jc w:val="center"/>
              <w:ind w:left="35"/>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30.8401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154,285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30.871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152,285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30.941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150,285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30.97</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148,285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1,300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30.98</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146,985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rPr>
              <w:t>700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30.985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146,285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501"/>
              <w:spacing w:after="0"/>
              <w:rPr>
                <w:sz w:val="20"/>
                <w:szCs w:val="20"/>
                <w:color w:val="auto"/>
              </w:rPr>
            </w:pPr>
            <w:r>
              <w:rPr>
                <w:rFonts w:ascii="Times New Roman" w:cs="Times New Roman" w:eastAsia="Times New Roman" w:hAnsi="Times New Roman"/>
                <w:sz w:val="18"/>
                <w:szCs w:val="18"/>
                <w:color w:val="0000FF"/>
                <w:w w:val="97"/>
              </w:rPr>
              <w:t>01/31/2008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8"/>
                <w:szCs w:val="18"/>
                <w:color w:val="0000FF"/>
                <w:w w:val="98"/>
              </w:rPr>
              <w:t>2,000</w:t>
            </w:r>
          </w:p>
        </w:tc>
        <w:tc>
          <w:tcPr>
            <w:tcW w:w="500" w:type="dxa"/>
            <w:vAlign w:val="bottom"/>
            <w:tcBorders>
              <w:bottom w:val="single" w:sz="8" w:color="2C2C2C"/>
            </w:tcBorders>
          </w:tcPr>
          <w:p>
            <w:pPr>
              <w:jc w:val="center"/>
              <w:ind w:left="124"/>
              <w:spacing w:after="0"/>
              <w:rPr>
                <w:sz w:val="20"/>
                <w:szCs w:val="20"/>
                <w:color w:val="auto"/>
              </w:rPr>
            </w:pPr>
            <w:r>
              <w:rPr>
                <w:rFonts w:ascii="Times New Roman" w:cs="Times New Roman" w:eastAsia="Times New Roman" w:hAnsi="Times New Roman"/>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31.061</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5"/>
              </w:rPr>
              <w:t>144,285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20"/>
              <w:spacing w:after="0" w:line="324" w:lineRule="exact"/>
              <w:rPr>
                <w:sz w:val="20"/>
                <w:szCs w:val="20"/>
                <w:color w:val="auto"/>
              </w:rPr>
            </w:pPr>
            <w:r>
              <w:rPr>
                <w:rFonts w:ascii="Times New Roman" w:cs="Times New Roman" w:eastAsia="Times New Roman" w:hAnsi="Times New Roman"/>
                <w:sz w:val="35"/>
                <w:szCs w:val="35"/>
                <w:color w:val="0000FF"/>
                <w:w w:val="89"/>
                <w:vertAlign w:val="subscript"/>
              </w:rPr>
              <w:t>8</w:t>
            </w:r>
            <w:r>
              <w:rPr>
                <w:rFonts w:ascii="Times New Roman" w:cs="Times New Roman" w:eastAsia="Times New Roman" w:hAnsi="Times New Roman"/>
                <w:sz w:val="11"/>
                <w:szCs w:val="11"/>
                <w:color w:val="008000"/>
                <w:w w:val="89"/>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3,717.78</w:t>
            </w:r>
            <w:r>
              <w:rPr>
                <w:rFonts w:ascii="Times New Roman" w:cs="Times New Roman" w:eastAsia="Times New Roman" w:hAnsi="Times New Roman"/>
                <w:sz w:val="22"/>
                <w:szCs w:val="22"/>
                <w:color w:val="008000"/>
                <w:w w:val="92"/>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6,737.68</w:t>
            </w:r>
            <w:r>
              <w:rPr>
                <w:rFonts w:ascii="Times New Roman" w:cs="Times New Roman" w:eastAsia="Times New Roman" w:hAnsi="Times New Roman"/>
                <w:sz w:val="22"/>
                <w:szCs w:val="22"/>
                <w:color w:val="008000"/>
                <w:w w:val="92"/>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Trust--TI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6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Sales effected pursuant to a Rule 10b5-1 trading plan entered into by the reporting person on October 25, 2007.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Beneficial ownership by reporting person disclaimed.</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Estimated shares attributable to TI 401(k) Account as of 12-31-07. (Interests in this account are denominated in units. Consequently, share amount shown is an estimate.) This statement does not include</w:t>
      </w:r>
    </w:p>
    <w:p>
      <w:pPr>
        <w:sectPr>
          <w:pgSz w:w="11900" w:h="16838" w:orient="portrait"/>
          <w:cols w:equalWidth="0" w:num="1">
            <w:col w:w="11420"/>
          </w:cols>
          <w:pgMar w:left="240" w:top="220"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8000"/>
        </w:rPr>
        <w:t>changes in beneficial ownership of shares held in this account occurring after 12-31-07 that are eligible for deferred reporting on Form 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CYNTHIA H. HAYNES,</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02/01/2008</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 IN 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2019-12-16T02:34:09Z</dcterms:created>
  <dcterms:modified xsi:type="dcterms:W3CDTF">2019-12-16T02:34:09Z</dcterms:modified>
</cp:coreProperties>
</file>