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112395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ind w:left="4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2894965</wp:posOffset>
            </wp:positionH>
            <wp:positionV relativeFrom="paragraph">
              <wp:posOffset>536575</wp:posOffset>
            </wp:positionV>
            <wp:extent cx="1466215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8-K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CURRENT REPORT PURSUANT TO SECTION 13 OR 15(d)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OF THE SECURITIES EXCHANGE ACT OF 1934</w:t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2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DATE OF REPORT (DATE OF EARLIEST EVENT REPORTED): March 19, 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2894965</wp:posOffset>
            </wp:positionH>
            <wp:positionV relativeFrom="paragraph">
              <wp:posOffset>556260</wp:posOffset>
            </wp:positionV>
            <wp:extent cx="1466215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jc w:val="center"/>
        <w:ind w:right="-5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TEXAS INSTRUMENTS INCORPORATED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(Exact name of registrant as specified in charter)</w:t>
      </w:r>
    </w:p>
    <w:p>
      <w:pPr>
        <w:sectPr>
          <w:pgSz w:w="11900" w:h="16838" w:orient="portrait"/>
          <w:cols w:equalWidth="0" w:num="1">
            <w:col w:w="10900"/>
          </w:cols>
          <w:pgMar w:left="240" w:top="544" w:right="7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jc w:val="center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DELAWARE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(State or other jurisdiction of incorporation)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ind w:righ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001-03761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75-0289970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(I.R.S. employer 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040" w:space="720"/>
            <w:col w:w="2760" w:space="720"/>
            <w:col w:w="2660"/>
          </w:cols>
          <w:pgMar w:left="240" w:top="544" w:right="75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12500 TI BOULEVARD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P.O. BOX 660199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DALLAS, TEXAS 75266-0199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5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(Address of principal executive offices)</w:t>
      </w:r>
    </w:p>
    <w:p>
      <w:pPr>
        <w:sectPr>
          <w:pgSz w:w="11900" w:h="16838" w:orient="portrait"/>
          <w:cols w:equalWidth="0" w:num="1">
            <w:col w:w="10900"/>
          </w:cols>
          <w:pgMar w:left="240" w:top="544" w:right="759" w:bottom="1440" w:gutter="0" w:footer="0" w:header="0"/>
          <w:type w:val="continuous"/>
        </w:sect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Registrant’s telephone number, including area code: (972) 995-3773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2894965</wp:posOffset>
            </wp:positionH>
            <wp:positionV relativeFrom="paragraph">
              <wp:posOffset>549275</wp:posOffset>
            </wp:positionV>
            <wp:extent cx="146621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ind w:right="4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is intended to simultaneously satisfy the filing obligation of the registrant under any of the following provisions: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90170</wp:posOffset>
            </wp:positionV>
            <wp:extent cx="7250430" cy="45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604520</wp:posOffset>
            </wp:positionV>
            <wp:extent cx="725043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00"/>
          </w:cols>
          <w:pgMar w:left="240" w:top="544" w:right="7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ITEM 7.01. Regulation FD Disclosure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spacing w:after="0" w:line="25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On March 19, 2009, the Registrant changed its compensation practices to eliminate “gross-up” payments made to reimburse its chief executive officer for individual income tax incurred when a corporate aircraft is used for personal purposes as required by the Board of Directors’ security policy. Previously, the Registrant would reimburse a portion of the tax incurred as a result of such usage. With this change, the Registrant no longer provides tax reimbursement for perquisites to its executive officers.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SIGNATURES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right="6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ind w:left="5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TEXAS INSTRUMENTS INCORPORATED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60" w:val="left"/>
          <w:tab w:leader="none" w:pos="6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 March 19, 2009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Cynthia H. Haynes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3983990</wp:posOffset>
            </wp:positionH>
            <wp:positionV relativeFrom="paragraph">
              <wp:posOffset>14605</wp:posOffset>
            </wp:positionV>
            <wp:extent cx="3267075" cy="171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Cynthia H. Haynes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6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Vice President and Assistant Secretary</w:t>
      </w:r>
    </w:p>
    <w:sectPr>
      <w:pgSz w:w="11900" w:h="16838" w:orient="portrait"/>
      <w:cols w:equalWidth="0" w:num="1">
        <w:col w:w="11340"/>
      </w:cols>
      <w:pgMar w:left="240" w:top="517" w:right="3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2019-12-10T03:36:45Z</dcterms:created>
  <dcterms:modified xsi:type="dcterms:W3CDTF">2019-12-10T03:36:45Z</dcterms:modified>
</cp:coreProperties>
</file>