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74295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00" w:type="dxa"/>
            <w:vAlign w:val="bottom"/>
            <w:gridSpan w:val="2"/>
          </w:tcPr>
          <w:p>
            <w:pPr>
              <w:ind w:left="3280"/>
              <w:spacing w:after="0" w:line="204" w:lineRule="exact"/>
              <w:rPr>
                <w:sz w:val="20"/>
                <w:szCs w:val="20"/>
                <w:color w:val="auto"/>
              </w:rPr>
            </w:pPr>
            <w:r>
              <w:rPr>
                <w:rFonts w:ascii="Arial" w:cs="Arial" w:eastAsia="Arial" w:hAnsi="Arial"/>
                <w:sz w:val="18"/>
                <w:szCs w:val="18"/>
                <w:b w:val="1"/>
                <w:bCs w:val="1"/>
                <w:color w:val="auto"/>
                <w:w w:val="92"/>
              </w:rPr>
              <w:t>for the transition period from</w:t>
            </w:r>
          </w:p>
        </w:tc>
        <w:tc>
          <w:tcPr>
            <w:tcW w:w="200" w:type="dxa"/>
            <w:vAlign w:val="bottom"/>
            <w:tcBorders>
              <w:bottom w:val="single" w:sz="8" w:color="auto"/>
            </w:tcBorders>
            <w:gridSpan w:val="2"/>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gridSpan w:val="2"/>
          </w:tcPr>
          <w:p>
            <w:pPr>
              <w:ind w:left="80"/>
              <w:spacing w:after="0" w:line="204" w:lineRule="exact"/>
              <w:rPr>
                <w:sz w:val="20"/>
                <w:szCs w:val="20"/>
                <w:color w:val="auto"/>
              </w:rPr>
            </w:pPr>
            <w:r>
              <w:rPr>
                <w:rFonts w:ascii="Arial" w:cs="Arial" w:eastAsia="Arial" w:hAnsi="Arial"/>
                <w:sz w:val="18"/>
                <w:szCs w:val="18"/>
                <w:b w:val="1"/>
                <w:bCs w:val="1"/>
                <w:color w:val="auto"/>
              </w:rPr>
              <w:t>to</w:t>
            </w:r>
          </w:p>
        </w:tc>
        <w:tc>
          <w:tcPr>
            <w:tcW w:w="118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660" w:type="dxa"/>
            <w:vAlign w:val="bottom"/>
            <w:gridSpan w:val="9"/>
          </w:tcPr>
          <w:p>
            <w:pPr>
              <w:jc w:val="center"/>
              <w:ind w:left="2646"/>
              <w:spacing w:after="0"/>
              <w:rPr>
                <w:sz w:val="20"/>
                <w:szCs w:val="20"/>
                <w:color w:val="auto"/>
              </w:rPr>
            </w:pPr>
            <w:r>
              <w:rPr>
                <w:rFonts w:ascii="Arial" w:cs="Arial" w:eastAsia="Arial" w:hAnsi="Arial"/>
                <w:sz w:val="18"/>
                <w:szCs w:val="18"/>
                <w:b w:val="1"/>
                <w:bCs w:val="1"/>
                <w:color w:val="auto"/>
                <w:w w:val="90"/>
              </w:rPr>
              <w:t>Commission File Number 1-3761</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3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11400" w:type="dxa"/>
            <w:vAlign w:val="bottom"/>
            <w:gridSpan w:val="11"/>
          </w:tcPr>
          <w:p>
            <w:pPr>
              <w:jc w:val="center"/>
              <w:spacing w:after="0"/>
              <w:rPr>
                <w:sz w:val="20"/>
                <w:szCs w:val="20"/>
                <w:color w:val="auto"/>
              </w:rPr>
            </w:pPr>
            <w:r>
              <w:rPr>
                <w:rFonts w:ascii="Arial" w:cs="Arial" w:eastAsia="Arial" w:hAnsi="Arial"/>
                <w:sz w:val="40"/>
                <w:szCs w:val="40"/>
                <w:b w:val="1"/>
                <w:bCs w:val="1"/>
                <w:color w:val="auto"/>
                <w:w w:val="99"/>
              </w:rPr>
              <w:t>TEXAS INSTRUMENTS INCORPORATED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9"/>
          </w:tcPr>
          <w:p>
            <w:pPr>
              <w:jc w:val="center"/>
              <w:ind w:left="262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75-0289970</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(State of Incorporation)</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80" w:type="dxa"/>
            <w:vAlign w:val="bottom"/>
            <w:gridSpan w:val="4"/>
          </w:tcPr>
          <w:p>
            <w:pPr>
              <w:jc w:val="center"/>
              <w:ind w:right="1130"/>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12500 TI Boulevard, Dallas, Texas</w:t>
            </w:r>
          </w:p>
        </w:tc>
        <w:tc>
          <w:tcPr>
            <w:tcW w:w="3560" w:type="dxa"/>
            <w:vAlign w:val="bottom"/>
            <w:gridSpan w:val="6"/>
          </w:tcPr>
          <w:p>
            <w:pPr>
              <w:jc w:val="right"/>
              <w:ind w:right="490"/>
              <w:spacing w:after="0"/>
              <w:rPr>
                <w:sz w:val="20"/>
                <w:szCs w:val="20"/>
                <w:color w:val="auto"/>
              </w:rPr>
            </w:pPr>
            <w:r>
              <w:rPr>
                <w:rFonts w:ascii="Arial" w:cs="Arial" w:eastAsia="Arial" w:hAnsi="Arial"/>
                <w:sz w:val="18"/>
                <w:szCs w:val="18"/>
                <w:b w:val="1"/>
                <w:bCs w:val="1"/>
                <w:color w:val="auto"/>
              </w:rPr>
              <w:t>75243</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(Zip Code)</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660" w:type="dxa"/>
            <w:vAlign w:val="bottom"/>
            <w:gridSpan w:val="9"/>
          </w:tcPr>
          <w:p>
            <w:pPr>
              <w:jc w:val="center"/>
              <w:ind w:left="2626"/>
              <w:spacing w:after="0"/>
              <w:rPr>
                <w:sz w:val="20"/>
                <w:szCs w:val="20"/>
                <w:color w:val="auto"/>
              </w:rPr>
            </w:pPr>
            <w:r>
              <w:rPr>
                <w:rFonts w:ascii="Arial" w:cs="Arial" w:eastAsia="Arial" w:hAnsi="Arial"/>
                <w:sz w:val="18"/>
                <w:szCs w:val="18"/>
                <w:b w:val="1"/>
                <w:bCs w:val="1"/>
                <w:color w:val="auto"/>
                <w:w w:val="90"/>
              </w:rPr>
              <w:t>Registrant’s Telephone Number, Including Area Code: 214-479-3773</w:t>
            </w:r>
          </w:p>
        </w:tc>
        <w:tc>
          <w:tcPr>
            <w:tcW w:w="7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60" w:type="dxa"/>
            <w:vAlign w:val="bottom"/>
            <w:gridSpan w:val="9"/>
          </w:tcPr>
          <w:p>
            <w:pPr>
              <w:jc w:val="center"/>
              <w:ind w:left="2646"/>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gridSpan w:val="4"/>
          </w:tcPr>
          <w:p>
            <w:pPr>
              <w:jc w:val="center"/>
              <w:ind w:right="103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Common Stock, par value $1.00</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gridSpan w:val="4"/>
          </w:tcPr>
          <w:p>
            <w:pPr>
              <w:jc w:val="center"/>
              <w:ind w:right="1030"/>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660" w:type="dxa"/>
            <w:vAlign w:val="bottom"/>
            <w:gridSpan w:val="9"/>
          </w:tcPr>
          <w:p>
            <w:pPr>
              <w:jc w:val="center"/>
              <w:ind w:left="2626"/>
              <w:spacing w:after="0"/>
              <w:rPr>
                <w:sz w:val="20"/>
                <w:szCs w:val="20"/>
                <w:color w:val="auto"/>
              </w:rPr>
            </w:pPr>
            <w:r>
              <w:rPr>
                <w:rFonts w:ascii="Arial" w:cs="Arial" w:eastAsia="Arial" w:hAnsi="Arial"/>
                <w:sz w:val="18"/>
                <w:szCs w:val="18"/>
                <w:b w:val="1"/>
                <w:bCs w:val="1"/>
                <w:color w:val="auto"/>
                <w:w w:val="88"/>
              </w:rPr>
              <w:t xml:space="preserve">Securities registered pursuant to Section 12(g) of the Act: </w:t>
            </w:r>
            <w:r>
              <w:rPr>
                <w:rFonts w:ascii="Arial" w:cs="Arial" w:eastAsia="Arial" w:hAnsi="Arial"/>
                <w:sz w:val="18"/>
                <w:szCs w:val="18"/>
                <w:color w:val="auto"/>
                <w:w w:val="88"/>
              </w:rPr>
              <w:t>None</w:t>
            </w:r>
          </w:p>
        </w:tc>
        <w:tc>
          <w:tcPr>
            <w:tcW w:w="7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4580" w:type="dxa"/>
            <w:vAlign w:val="bottom"/>
            <w:gridSpan w:val="2"/>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3"/>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0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8680" w:type="dxa"/>
            <w:vAlign w:val="bottom"/>
            <w:gridSpan w:val="10"/>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3"/>
                <w:szCs w:val="23"/>
                <w:color w:val="auto"/>
              </w:rPr>
            </w:pPr>
          </w:p>
        </w:tc>
        <w:tc>
          <w:tcPr>
            <w:tcW w:w="2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680" w:type="dxa"/>
            <w:vAlign w:val="bottom"/>
            <w:gridSpan w:val="10"/>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0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05" w:right="239" w:bottom="1440" w:gutter="0" w:footer="0" w:header="0"/>
        </w:sectPr>
      </w:pPr>
    </w:p>
    <w:p>
      <w:pPr>
        <w:spacing w:after="0" w:line="207" w:lineRule="exact"/>
        <w:tabs>
          <w:tab w:leader="none" w:pos="25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right"/>
        <w:spacing w:after="0" w:line="20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0" w:lineRule="exact"/>
        <w:rPr>
          <w:sz w:val="24"/>
          <w:szCs w:val="24"/>
          <w:color w:val="auto"/>
        </w:rPr>
      </w:pPr>
    </w:p>
    <w:p>
      <w:pPr>
        <w:sectPr>
          <w:pgSz w:w="11900" w:h="16838" w:orient="portrait"/>
          <w:cols w:equalWidth="0" w:num="5">
            <w:col w:w="2680" w:space="200"/>
            <w:col w:w="1900" w:space="720"/>
            <w:col w:w="160" w:space="200"/>
            <w:col w:w="1780" w:space="720"/>
            <w:col w:w="3060"/>
          </w:cols>
          <w:pgMar w:left="240" w:top="405" w:right="239" w:bottom="1440"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40" w:val="left"/>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left="2640" w:right="1700" w:hanging="2637"/>
        <w:spacing w:after="0" w:line="352" w:lineRule="auto"/>
        <w:rPr>
          <w:sz w:val="20"/>
          <w:szCs w:val="20"/>
          <w:color w:val="auto"/>
        </w:rPr>
      </w:pPr>
      <w:r>
        <w:rPr>
          <w:rFonts w:ascii="Arial" w:cs="Arial" w:eastAsia="Arial" w:hAnsi="Arial"/>
          <w:sz w:val="16"/>
          <w:szCs w:val="16"/>
          <w:color w:val="auto"/>
        </w:rPr>
        <w:t>The aggregate market value of voting stock held by non-affiliates of the Registrant was approximately $107,359,133,537 as of June 30, 2018. 938,484,603 (Number of shares of common stock outstanding as of February 18, 2019)</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Part III hereof incorporates information by reference to the Registrant’s proxy statement for the 2019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225425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two reportable segments: Analog and Embedded Processing. We report the results of our remaining business activities in Other. In 2018, we generated $15.78 billion of revenue.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model is designed around four sustainable competitive advantages that we believe, in combination, put us in a unique class of companies. These advantages include (1) a strong foundation of manufacturing and technology, (2) a broad portfolio of differentiated analog and embedded processing products,</w:t>
      </w:r>
    </w:p>
    <w:p>
      <w:pPr>
        <w:ind w:right="60" w:firstLine="8"/>
        <w:spacing w:after="0" w:line="288"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broadest reach of market channels and (4) diversity and longevity of our products, markets and customer positions. 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 Free cash flow is cash flow from operations less capital expenditures.</w:t>
      </w:r>
    </w:p>
    <w:p>
      <w:pPr>
        <w:spacing w:after="0" w:line="16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and returned free cash flow. TI’s business model puts us in a unique class of companies with the ability to grow, generate cash and return that cash to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2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Semiconductors are electronic components that serve as the building blocks inside modern electronic systems and equipment. Semiconductors, generally known as “chips,” combine multiple transistors to form a complete electronic circuit. We have tens of thousands of products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8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Analog segment generated $10.80 billion of revenue in 2018.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also are used to manage power in all electronic equipment by converting, distributing, storing, discharging, isolating and measuring electrical energy, whether the equipment is plugged into a wall or running off a battery. Our Analog products are used in many markets, particularly industrial, automotive and personal electronics.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Sales of our Analog products generated about 68 percent of our revenue in 2018. According to external sources, the market for analog semiconductors was about $59 billion in 2018. Our Analog segment’s revenue in 2018 was about 18 percent of this fragmented market, the leading position. We believe we are well positioned to increase our market share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Signal Chain and High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using battery management solutions, portable components, power supply controls, point-of-load products, switches and interfaces, integrated protection devices, high-voltage products, and mobile lighting and display products.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Signal Chain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which serve a variety of end markets, include amplifiers, data converters, interface products, motor drives, clocks and sensing products.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Volume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High Volume includes integrated analog and standard products that are primarily sold into markets such as personal electronics, industrial and automotive.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products support applications like displays and automotive safety systems.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Embedded Processing segment generated $3.55 billion of revenue in 2018. Embedded Processing products are the “brains” of many types of electronic equipment. Embedded processors are designed to handle specific tasks and can be optimized for various combinations of performance, power and cost, depending on the application. Our devices vary from simple, low-cost microcontrollers used in applications such as electric toothbrushes to highly specialized, complex devices used in automotive applications such as infotainment systems and advanced driver assistance systems (ADAS). Our Embedded Processing products are used in many markets, particularly industrial and automotive.</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of Embedded Processing products generated about 23 percent of our revenue in 2018. According to external sources, the market for embedded processors was about $21 billion in 2018. Our Embedded Processing segment’s revenue in 2018 was about 18 percent of this fragmented market, among the leaders. We believe we are well positioned to increase our market share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Connected Microcontrollers and Processors.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Microcontrollers</w:t>
      </w:r>
    </w:p>
    <w:p>
      <w:pPr>
        <w:spacing w:after="0" w:line="2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Connected Microcontrollers includes microcontrollers, microcontrollers with integrated wireless capabilities and stand-alone wireless connectivity solutions. Microcontrollers are self-contained systems with a processor core, memory and peripherals that are designed to control a set of specific tasks for electronic equipment. Microcontrollers tend to have minimal requirements for memory, program length and software complexity. Our products are used in a wide range of applications and incorporate both wired and wireless communication with integrated analog functions to enable electronic equipment to sense, connect, log and transfer data.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Processors</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Processors includes digital signal processors (DSPs) and applications processors. DSPs perform mathematical computations almost instantaneously to process or improve digital data. Applications processors are designed for specific computing activity.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report the results of our remaining business activities in Other, which includes operating segments that do not meet the quantitative thresholds for individually reportable segments and cannot be aggregated with other operating segments. Other generated $1.43 billion of revenue in 2018 and includes revenue from DLP</w:t>
      </w:r>
      <w:r>
        <w:rPr>
          <w:rFonts w:ascii="Arial" w:cs="Arial" w:eastAsia="Arial" w:hAnsi="Arial"/>
          <w:sz w:val="15"/>
          <w:szCs w:val="15"/>
          <w:color w:val="auto"/>
        </w:rPr>
        <w:t>®</w:t>
      </w:r>
      <w:r>
        <w:rPr>
          <w:rFonts w:ascii="Arial" w:cs="Arial" w:eastAsia="Arial" w:hAnsi="Arial"/>
          <w:sz w:val="18"/>
          <w:szCs w:val="18"/>
          <w:color w:val="auto"/>
        </w:rPr>
        <w:t xml:space="preserve"> products (primarily used in projectors to create high-definition images), calculators and certain custom semiconductors known as application-specific integrated circuits (ASICs).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charges; restructuring charges; and certain corporate-level items, such as litigation expenses, environmental costs, insurance settlements, and gains and losses from other activities, including asset dispositions.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lists the major markets for our products in 2018 and the estimated percentage of our 2018 revenue that the market represented. The chart also lists, in declining order of our revenue, the sectors within each market.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Market</w:t>
            </w:r>
          </w:p>
        </w:tc>
        <w:tc>
          <w:tcPr>
            <w:tcW w:w="58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Sector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Industrial</w:t>
            </w:r>
          </w:p>
        </w:tc>
        <w:tc>
          <w:tcPr>
            <w:tcW w:w="160" w:type="dxa"/>
            <w:vAlign w:val="bottom"/>
            <w:tcBorders>
              <w:top w:val="single" w:sz="8" w:color="CCEEFF"/>
            </w:tcBorders>
            <w:shd w:val="clear" w:color="auto" w:fill="CCEEFF"/>
          </w:tcPr>
          <w:p>
            <w:pPr>
              <w:spacing w:after="0"/>
              <w:rPr>
                <w:sz w:val="17"/>
                <w:szCs w:val="17"/>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Factory automation &amp; control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(36% of TI revenue)</w:t>
            </w: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Building automation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Grid infrastructure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Medical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Test &amp; measurement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Aerospace &amp; defense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Appliances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Motor drives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Pro audio, video &amp; signage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Power delivery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Electronic point of sale (EPOS)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Industrial transport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Lighting</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Automotive</w:t>
            </w:r>
          </w:p>
        </w:tc>
        <w:tc>
          <w:tcPr>
            <w:tcW w:w="5800" w:type="dxa"/>
            <w:vAlign w:val="bottom"/>
            <w:gridSpan w:val="2"/>
          </w:tcPr>
          <w:p>
            <w:pPr>
              <w:ind w:left="160"/>
              <w:spacing w:after="0"/>
              <w:rPr>
                <w:sz w:val="20"/>
                <w:szCs w:val="20"/>
                <w:color w:val="auto"/>
              </w:rPr>
            </w:pPr>
            <w:r>
              <w:rPr>
                <w:rFonts w:ascii="Arial" w:cs="Arial" w:eastAsia="Arial" w:hAnsi="Arial"/>
                <w:sz w:val="16"/>
                <w:szCs w:val="16"/>
                <w:color w:val="auto"/>
              </w:rPr>
              <w:t>Infotainment &amp; cluster</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6"/>
                <w:szCs w:val="16"/>
                <w:color w:val="auto"/>
              </w:rPr>
              <w:t>(20% of TI revenue)</w:t>
            </w:r>
          </w:p>
        </w:tc>
        <w:tc>
          <w:tcPr>
            <w:tcW w:w="5800" w:type="dxa"/>
            <w:vAlign w:val="bottom"/>
            <w:gridSpan w:val="2"/>
          </w:tcPr>
          <w:p>
            <w:pPr>
              <w:ind w:left="160"/>
              <w:spacing w:after="0"/>
              <w:rPr>
                <w:sz w:val="20"/>
                <w:szCs w:val="20"/>
                <w:color w:val="auto"/>
              </w:rPr>
            </w:pPr>
            <w:r>
              <w:rPr>
                <w:rFonts w:ascii="Arial" w:cs="Arial" w:eastAsia="Arial" w:hAnsi="Arial"/>
                <w:sz w:val="16"/>
                <w:szCs w:val="16"/>
                <w:color w:val="auto"/>
              </w:rPr>
              <w:t>Advanced driver assistance systems (ADAS)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6"/>
                <w:szCs w:val="16"/>
                <w:color w:val="auto"/>
              </w:rPr>
              <w:t>Passive safety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6"/>
                <w:szCs w:val="16"/>
                <w:color w:val="auto"/>
              </w:rPr>
              <w:t>Hybrid, electric &amp; powertrain systems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6"/>
                <w:szCs w:val="16"/>
                <w:color w:val="auto"/>
              </w:rPr>
              <w:t>Body electronics &amp; lighting</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58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Personal electronics</w:t>
            </w: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Mobile phones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(23% of TI revenue)</w:t>
            </w: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PC &amp; notebooks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Portable electronics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Connected peripherals &amp; printers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Tablets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Data storage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Home theatre &amp; entertainment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Wearables (non-medical)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Gaming</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Communications equipment</w:t>
            </w:r>
          </w:p>
        </w:tc>
        <w:tc>
          <w:tcPr>
            <w:tcW w:w="5800" w:type="dxa"/>
            <w:vAlign w:val="bottom"/>
            <w:gridSpan w:val="2"/>
          </w:tcPr>
          <w:p>
            <w:pPr>
              <w:ind w:left="160"/>
              <w:spacing w:after="0"/>
              <w:rPr>
                <w:sz w:val="20"/>
                <w:szCs w:val="20"/>
                <w:color w:val="auto"/>
              </w:rPr>
            </w:pPr>
            <w:r>
              <w:rPr>
                <w:rFonts w:ascii="Arial" w:cs="Arial" w:eastAsia="Arial" w:hAnsi="Arial"/>
                <w:sz w:val="16"/>
                <w:szCs w:val="16"/>
                <w:color w:val="auto"/>
              </w:rPr>
              <w:t>Wireless infrastructure</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6"/>
                <w:szCs w:val="16"/>
                <w:color w:val="auto"/>
              </w:rPr>
              <w:t>(11% of TI revenue)</w:t>
            </w:r>
          </w:p>
        </w:tc>
        <w:tc>
          <w:tcPr>
            <w:tcW w:w="5800" w:type="dxa"/>
            <w:vAlign w:val="bottom"/>
            <w:gridSpan w:val="2"/>
          </w:tcPr>
          <w:p>
            <w:pPr>
              <w:ind w:left="160"/>
              <w:spacing w:after="0"/>
              <w:rPr>
                <w:sz w:val="20"/>
                <w:szCs w:val="20"/>
                <w:color w:val="auto"/>
              </w:rPr>
            </w:pPr>
            <w:r>
              <w:rPr>
                <w:rFonts w:ascii="Arial" w:cs="Arial" w:eastAsia="Arial" w:hAnsi="Arial"/>
                <w:sz w:val="16"/>
                <w:szCs w:val="16"/>
                <w:color w:val="auto"/>
              </w:rPr>
              <w:t>Wired networking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6"/>
                <w:szCs w:val="16"/>
                <w:color w:val="auto"/>
              </w:rPr>
              <w:t>Broadband fixed line access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6"/>
                <w:szCs w:val="16"/>
                <w:color w:val="auto"/>
              </w:rPr>
              <w:t>Datacom module</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58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Enterprise systems</w:t>
            </w: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Enterprise projectors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(7% of TI revenue)</w:t>
            </w: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Data center &amp; enterprise computing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Enterprise machine</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Other (calculators and other)</w:t>
            </w:r>
          </w:p>
        </w:tc>
        <w:tc>
          <w:tcPr>
            <w:tcW w:w="1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6"/>
                <w:szCs w:val="16"/>
                <w:color w:val="auto"/>
              </w:rPr>
              <w:t>(3% of TI revenue)</w:t>
            </w:r>
          </w:p>
        </w:tc>
        <w:tc>
          <w:tcPr>
            <w:tcW w:w="1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Market characteristics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5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Despite recent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 that sell products into the same markets in which we operate.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believe that competitive performance in the semiconductor market generally depends on several factors, including the breadth of a company’s product line, the strength and depth of its channels to market, technological innovation, product development execution, technical support, customer service, quality, reliability, capacity and price. In addition, manufacturing process and package technologies that provide differentiated levels of performance are a competitive factor for our Analog products and customers’ prior investments in software development is a competitive factor for our Embedded Processing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could be affected by the significant time and money required to build and maintain semiconductor manufacturing facilities.</w:t>
      </w:r>
    </w:p>
    <w:p>
      <w:pPr>
        <w:spacing w:after="0" w:line="2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employ several strategies to dampen the effect of the semiconductor cycle on TI. We plan manufacturing facility and equipment expansion ahead of demand. We focus our resources on our Analog and Embedded Processing segments, which serve diverse markets and diverse customers. This diversity reduces our dependence on the performance of a single market or small group of customers. Additionally, we utilize consignment inventory programs with our customers and distributors that give us improved insight into customer demand.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distribution</w:t>
      </w:r>
    </w:p>
    <w:p>
      <w:pPr>
        <w:spacing w:after="0" w:line="2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sell our products to about 100,000 customers. Our customer base is diverse, with more than one-third of our revenue derived from customers outside our largest 100.</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market and sell our products through direct sales channels, including our broad sales force and our website, and through distributors. About 65 percent of our sales are fulfilled through our distributors, and they maintain inventory of our products.</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order to provide high service levels for our customers, over the last several years we have been investing to have a closer direct relationship with a large, diverse customer base. Our investments in new and improved capabilities include website and e-commerce enhancements for demand creation as well as inventory consignment programs and order fulfillment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2"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with most products requiring 6 to 14 weeks for completion.</w:t>
      </w:r>
    </w:p>
    <w:p>
      <w:pPr>
        <w:spacing w:after="0" w:line="181"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w:t>
      </w:r>
    </w:p>
    <w:p>
      <w:pPr>
        <w:spacing w:after="0" w:line="12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invest in manufacturing technologies and do most of our manufacturing in-house. 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percent cost advantage per unpackaged chip over 200-millimeter. To strengthen this advantage, we are planning our next phase of 300-millimeter capacity expansion as 300-millimeter wafers will continue to support the majority of our Analog growth.</w:t>
      </w:r>
    </w:p>
    <w:p>
      <w:pPr>
        <w:spacing w:after="0" w:line="1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expect to continue to maintain sufficient internal manufacturing capacity to meet the vast majority of our production needs, and to obtain manufacturing equipment to support new technology developments and revenue growth. To supplement our manufacturing capacity and maximize our responsiveness to customer demand, we use the capacity of outside suppliers, commonly known as foundries, and subcontractors. In 2018, we sourced about 20 percent of our total wafers from external foundries and about 40 percent of our assembly/test services from subcontractors.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long-term inventory strategy is to maintain high levels of customer service and stable lead times, minimize inventory obsolescence and improve manufacturing asset utilization. To capitalize on manufacturing efficiencies, we build in advance of demand low-volume, long-lived devices with a broad customer base and a low risk of obsolescence. Additionally, we sometimes maintain product inventory in unfinished wafer form to allow greater flexibility in periods of high demand. Further, we have improved insight into demand and are better able to manage our factory loadings because over time we have increased consignment inventory programs with our customers and distributors. About 65 percent of TI revenue is fulfilled from consignment programs. Our strategy and expected customer demand will cause our inventory levels to fluctuate over time.</w:t>
      </w: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Longer term, we expect to carry more inventory than we have in the past as we move towards higher consignment levels and more long-lived, low-volume devices to serve industrial customers, a growing portion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define backlog as of a particular date as purchase orders with a customer-requested delivery date within a specified length of time. Our backlog at any particular date may not be indicative of revenue for any future period. As customer requirements and industry conditions change, orders may be subject to cancellation or modification of terms such as pricing, quantity or delivery date. Customer order placement practices continually evolve based on customers’ individual business needs and capabilities, as well as industry supply and capacity considerations. Further, our consignment programs do not result in backlog because the order occurs at the same time as delivery, i.e., when the customer pulls the product from consigned inventory. Our backlog of orders was $1.45 billion at December 31, 2018, and $1.32 billion at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sole-source suppliers. The materials, parts and supplies essential to our business are generally available at present, and we believe that such materials, parts and supplies will be available in the foreseeable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7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2" w:right="279" w:bottom="1440" w:gutter="0" w:footer="0" w:header="0"/>
        </w:sectPr>
      </w:pPr>
    </w:p>
    <w:bookmarkStart w:id="6" w:name="page7"/>
    <w:bookmarkEnd w:id="6"/>
    <w:p>
      <w:pPr>
        <w:ind w:right="12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participate in the same initiatives. Participation in these initiatives may require us to license certain of our patents to other companies on reasonable and non-discriminatory terms.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held by each person named: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Age</w:t>
            </w:r>
          </w:p>
        </w:tc>
        <w:tc>
          <w:tcPr>
            <w:tcW w:w="100" w:type="dxa"/>
            <w:vAlign w:val="bottom"/>
            <w:tcBorders>
              <w:bottom w:val="single" w:sz="8" w:color="CCEEFF"/>
            </w:tcBorders>
          </w:tcPr>
          <w:p>
            <w:pPr>
              <w:spacing w:after="0"/>
              <w:rPr>
                <w:sz w:val="18"/>
                <w:szCs w:val="18"/>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r>
      <w:tr>
        <w:trPr>
          <w:trHeight w:val="21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Niels Anderskouv</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w:t>
            </w:r>
          </w:p>
        </w:tc>
      </w:tr>
      <w:tr>
        <w:trPr>
          <w:trHeight w:val="213"/>
        </w:trPr>
        <w:tc>
          <w:tcPr>
            <w:tcW w:w="3500" w:type="dxa"/>
            <w:vAlign w:val="bottom"/>
          </w:tcPr>
          <w:p>
            <w:pPr>
              <w:spacing w:after="0"/>
              <w:rPr>
                <w:sz w:val="20"/>
                <w:szCs w:val="20"/>
                <w:color w:val="auto"/>
              </w:rPr>
            </w:pPr>
            <w:r>
              <w:rPr>
                <w:rFonts w:ascii="Arial" w:cs="Arial" w:eastAsia="Arial" w:hAnsi="Arial"/>
                <w:sz w:val="16"/>
                <w:szCs w:val="16"/>
                <w:color w:val="auto"/>
              </w:rPr>
              <w:t>Ahmad S. Bahai</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Senior Vice President</w:t>
            </w:r>
          </w:p>
        </w:tc>
      </w:tr>
      <w:tr>
        <w:trPr>
          <w:trHeight w:val="219"/>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Ellen L. Barker</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 and Chief Information Officer</w:t>
            </w:r>
          </w:p>
        </w:tc>
      </w:tr>
      <w:tr>
        <w:trPr>
          <w:trHeight w:val="213"/>
        </w:trPr>
        <w:tc>
          <w:tcPr>
            <w:tcW w:w="3500" w:type="dxa"/>
            <w:vAlign w:val="bottom"/>
          </w:tcPr>
          <w:p>
            <w:pPr>
              <w:spacing w:after="0"/>
              <w:rPr>
                <w:sz w:val="20"/>
                <w:szCs w:val="20"/>
                <w:color w:val="auto"/>
              </w:rPr>
            </w:pPr>
            <w:r>
              <w:rPr>
                <w:rFonts w:ascii="Arial" w:cs="Arial" w:eastAsia="Arial" w:hAnsi="Arial"/>
                <w:sz w:val="16"/>
                <w:szCs w:val="16"/>
                <w:color w:val="auto"/>
              </w:rPr>
              <w:t>R. Gregory Delagi</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Senior Vice President</w:t>
            </w:r>
          </w:p>
        </w:tc>
      </w:tr>
      <w:tr>
        <w:trPr>
          <w:trHeight w:val="219"/>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Kyle M. Flessner</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w:t>
            </w:r>
          </w:p>
        </w:tc>
      </w:tr>
      <w:tr>
        <w:trPr>
          <w:trHeight w:val="213"/>
        </w:trPr>
        <w:tc>
          <w:tcPr>
            <w:tcW w:w="3500" w:type="dxa"/>
            <w:vAlign w:val="bottom"/>
          </w:tcPr>
          <w:p>
            <w:pPr>
              <w:spacing w:after="0"/>
              <w:rPr>
                <w:sz w:val="20"/>
                <w:szCs w:val="20"/>
                <w:color w:val="auto"/>
              </w:rPr>
            </w:pPr>
            <w:r>
              <w:rPr>
                <w:rFonts w:ascii="Arial" w:cs="Arial" w:eastAsia="Arial" w:hAnsi="Arial"/>
                <w:sz w:val="16"/>
                <w:szCs w:val="16"/>
                <w:color w:val="auto"/>
              </w:rPr>
              <w:t>Haviv Ilan</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Senior Vice President</w:t>
            </w:r>
          </w:p>
        </w:tc>
      </w:tr>
      <w:tr>
        <w:trPr>
          <w:trHeight w:val="219"/>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Hagop H. Kozanian</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w:t>
            </w:r>
          </w:p>
        </w:tc>
      </w:tr>
      <w:tr>
        <w:trPr>
          <w:trHeight w:val="213"/>
        </w:trPr>
        <w:tc>
          <w:tcPr>
            <w:tcW w:w="3500" w:type="dxa"/>
            <w:vAlign w:val="bottom"/>
          </w:tcPr>
          <w:p>
            <w:pPr>
              <w:spacing w:after="0"/>
              <w:rPr>
                <w:sz w:val="20"/>
                <w:szCs w:val="20"/>
                <w:color w:val="auto"/>
              </w:rPr>
            </w:pPr>
            <w:r>
              <w:rPr>
                <w:rFonts w:ascii="Arial" w:cs="Arial" w:eastAsia="Arial" w:hAnsi="Arial"/>
                <w:sz w:val="16"/>
                <w:szCs w:val="16"/>
                <w:color w:val="auto"/>
              </w:rPr>
              <w:t>Rafael R. Lizardi</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Senior Vice President, Chief Financial Officer and Chief Accounting Officer</w:t>
            </w:r>
          </w:p>
        </w:tc>
      </w:tr>
      <w:tr>
        <w:trPr>
          <w:trHeight w:val="219"/>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Richard K. Templeton</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Director, Chairman of the Board, President and Chief Executive Officer</w:t>
            </w:r>
          </w:p>
        </w:tc>
      </w:tr>
      <w:tr>
        <w:trPr>
          <w:trHeight w:val="213"/>
        </w:trPr>
        <w:tc>
          <w:tcPr>
            <w:tcW w:w="3500" w:type="dxa"/>
            <w:vAlign w:val="bottom"/>
          </w:tcPr>
          <w:p>
            <w:pPr>
              <w:spacing w:after="0"/>
              <w:rPr>
                <w:sz w:val="20"/>
                <w:szCs w:val="20"/>
                <w:color w:val="auto"/>
              </w:rPr>
            </w:pPr>
            <w:r>
              <w:rPr>
                <w:rFonts w:ascii="Arial" w:cs="Arial" w:eastAsia="Arial" w:hAnsi="Arial"/>
                <w:sz w:val="16"/>
                <w:szCs w:val="16"/>
                <w:color w:val="auto"/>
              </w:rPr>
              <w:t>Cynthia Hoff Trochu</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Senior Vice President, Secretary and General Counsel</w:t>
            </w:r>
          </w:p>
        </w:tc>
      </w:tr>
      <w:tr>
        <w:trPr>
          <w:trHeight w:val="219"/>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Julie M. Van Haren</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w:t>
            </w:r>
          </w:p>
        </w:tc>
      </w:tr>
      <w:tr>
        <w:trPr>
          <w:trHeight w:val="213"/>
        </w:trPr>
        <w:tc>
          <w:tcPr>
            <w:tcW w:w="3500" w:type="dxa"/>
            <w:vAlign w:val="bottom"/>
          </w:tcPr>
          <w:p>
            <w:pPr>
              <w:spacing w:after="0"/>
              <w:rPr>
                <w:sz w:val="20"/>
                <w:szCs w:val="20"/>
                <w:color w:val="auto"/>
              </w:rPr>
            </w:pPr>
            <w:r>
              <w:rPr>
                <w:rFonts w:ascii="Arial" w:cs="Arial" w:eastAsia="Arial" w:hAnsi="Arial"/>
                <w:sz w:val="16"/>
                <w:szCs w:val="16"/>
                <w:color w:val="auto"/>
              </w:rPr>
              <w:t>Darla H. Whitaker</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Senior Vice President</w:t>
            </w:r>
          </w:p>
        </w:tc>
      </w:tr>
      <w:tr>
        <w:trPr>
          <w:trHeight w:val="219"/>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Bing Xie</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w:t>
            </w: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term of office of these officers is from the date of their election until their successor shall have been elected and qualified. All have been employees of the company for more than five years. Messrs. Delagi and Templeton and Ms. Whitaker have served as executive officers of the company for more than five years. Ms. Trochu and Mr. Xie became executive officers of the company in 2015. Messrs. Anderskouv, Ilan and Lizardi and Mses. Barker and Van Haren became executive officers of the company in 2017. Messrs. Bahai, Flessner and Kozanian became executive officers of the company in 2018. Mr. Anderskouv was previously an executive officer of the company from 2012 to 2014.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had 29,888 employees.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 Also available through the TI Investor Relations website are reports filed by our directors and executive officers on Forms 3, 4 and 5, and amendments to those reports.</w:t>
      </w:r>
    </w:p>
    <w:p>
      <w:pPr>
        <w:spacing w:after="0" w:line="18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Available on our website at www.ti.com/corporategovernance are: (i) our Corporate Governance Guidelines; (ii) charters for the Audit, Compensation, and Governance and Stockholder Relations Committees of our board of directors; (iii) our Code of Conduct; and (iv) our Code of Ethics for TI Chief Executive Officer and Senior Finance Officers. Stockholders may request copies of these documents free of charge by writing to Texas Instruments Incorporated, P.O. Box 660199, MS 8657, Dallas, Texas, 75266-0199, Attention: Investor Relations.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other companies, we are susceptible to any potential downturn associated with increasing protectionism, trade tensions and macroeconomic weakness, including any potential downturn associated with the pending withdrawal of the United Kingdom from the European Union. These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may restrict us from participating in the China market or may prevent us from competing effectively with Chinese companies. Certain competitors possess sufficient financial, technical and management resources to develop and market products that may compete favorably against our products, and consolidation among our competitors may allow them to compete more effectively. Additionally, traditional intellectual property licensors are increasingly providing functionality, designs and complete hardware or software solutions that compete with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may lead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results of operations also might suffer because of a general decline in customer demand resulting from, for example: uncertainty regarding the stability of global credit and financial markets; natural events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have facilities in more than 30 countries. About 85 percent of our revenue comes from shipments to locations outside the United States; in particular, shipments of products into China typically represent a large portion of our revenue. We are exposed to political, social and economic conditions, security risks, terrorism or other hostile acts, health conditions, labor conditions, and possible disruptions in transportation, communications and information technology networks of the various countries in which we operate. Additionally, certain countries where we operate have experienced, and other countries may experience, increasing protectionism that may impact global trade, including tariffs, import or export restrictions, trade embargoes and sanctions, restrictions on cross-border investment and other trade barriers. This could result in an adverse effect on our operations and our financial results.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operating results and our reputation could be adversely affected by breaches or disruptions of information technology systems.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Breaches or disruptions of our information technology systems or the systems of our customers, vendors and other third parties could be caused by factors such as computer viruses, system failures, restricted network access, unauthorized access, terrorism,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result in the release of personal data; or cause us to incur costs associated with increased protection, remediation, regulatory inquiries or penalties, any of which could adversely affect our operating results and our reputation. Cybersecurity threats are frequent and constantly evolving, thereby increasing the difficulty of defending against them.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severe weather, geological events or health epidemics that could disrupt operations. A natural disaster that results in a prolonged disruption to our operations may adversely affect our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rely on third parties to supply us with goods and services in a cost-effective and timely manner. Our access to needed goods and services may be adversely affected by potential disputes with suppliers or disruptions in our suppliers’ operations as a result of, for example: quality excursions; uncertainty regarding the stability of global credit and financial markets; domestic or international political, social, economic and other conditions; natural events in the locations in which our suppliers operate; or limited or delayed access to key raw materials, natural resources and utilities. Additionally, a breach of our suppliers’ information technology systems could result in a release of our confidential or proprietary information. If our suppliers are unable to access credit markets and other sources of needed liquidity, we may be unable to obtain needed supplies, collect accounts receivable or access needed technology.</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particular, our manufacturing processes and critical manufacturing equipment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right="260"/>
        <w:spacing w:after="0" w:line="255" w:lineRule="auto"/>
        <w:rPr>
          <w:sz w:val="20"/>
          <w:szCs w:val="20"/>
          <w:color w:val="auto"/>
        </w:rPr>
      </w:pPr>
      <w:r>
        <w:rPr>
          <w:rFonts w:ascii="Arial" w:cs="Arial" w:eastAsia="Arial" w:hAnsi="Arial"/>
          <w:sz w:val="18"/>
          <w:szCs w:val="18"/>
          <w:color w:val="auto"/>
        </w:rPr>
        <w:t>Our inability to timely implement new manufacturing technologies or install manufacturing equipment could adversely affect our results of operations.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 effective, and appropriate manner and the possibility of suppliers’ imposition of increased costs on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our reputation could be affected by warranty claims, product liability claims, product recalls or legal proceedings.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Claims based on warranty, product liability, epidemic or delivery failures, or other grounds relating to our products, manufacturing, services, designs, communications or cybersecurity could lead to significant expenses as we defend the claims or pay damage awards or settlements. In the event of a claim, we may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Any of these events could adversely affect our results of operations, financial condition and reputation.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complex laws, rules and regulations affecting our domestic and international operations relating to, for example, the environment, safety and health; exports and imports; bribery and corruption; tax; data privacy and protection; labor and employment; competition; market access; intellectual property ownership and infringement; and the movement of currency. Compliance with these laws, rules and regulations may be onerous and expensive and could restrict our ability to manufacture or ship our products and operate our business. If we fail to comply or if we become subject to enforcement activity, we could be subject to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16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raw material or process might not be available, or might not be available at reasonable cost.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we are subject to laws and regulations in various jurisdictions that determine how much profit has been earned and when it is subject to taxation in that jurisdiction. These laws and regulations can be complex and subject to interpretation.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in the future we repatriate any of our earnings represented by non-cash, operating assets such as inventory and fixed assets, we might incur incremental non-U.S. taxes, which could affect our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Our results of operations and financial condition could be adversely affected if a customer or a distributor suffers a loss with respect to our inventory.</w:t>
      </w:r>
    </w:p>
    <w:p>
      <w:pPr>
        <w:spacing w:after="0" w:line="23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consignment inventory programs in place for some of our largest customers and distributors. If a customer or distributor were to experience a loss with respect to TI-consigned inventory, our results of operations and financial condition may be adversely affected if we do not recover the full value of the lost inventory from the customer, distributor or insurer, or if our recovery is delayed.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results of operations could be adversely affected by our distributors’ promotion of competing product lines or our distributors’ financial performance.</w:t>
      </w:r>
    </w:p>
    <w:p>
      <w:pPr>
        <w:spacing w:after="0" w:line="2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2018, about 65 percent of our revenue was generated from sales of our products through distributors. Our distributors carry competing product lines, and our sales could be affected if our distributors promote competing products over our products. Moreover, our results of operations could be affected if our distributors suffer financial difficulties that result in their inability to pay amounts owed to us. Disputes with or the loss of significant distributors could be disruptive or harmful to our current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margins may vary over time.</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profit margins may be adversely affected by a number of factors, including decreases in customer demand and shipment volume; obsolescence of our inventory; shifts in our product mix; changes in tariffs; changes in our manufacturing processes;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In general, these fixed costs do not decline with reductions in customer demand or factory loadings, and can adversely affect profit margins as a result.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We may, directly or indirectly, face infringement claims from third parties, including non-practicing entities that have acquired patents to pursue enforcement actions against other companies. We may also face infringement claims where we or our customers make, use or sell products and where the intellectual property laws may be less established or less predictable. These assertions, whether or not of any merit, could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18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actively enforce and protect our own intellectual property rights. However, our efforts cannot prevent all misappropriation or improper use of our protected technology and information, including, for example, third parties’ use of our patented or copyrighted technology, or our trade secrets in their products without the right to do so, or third parties’ sale of counterfeit products bearing our trademark. The risk of unfair copying or cloning may impede our ability to sell our products. The laws of countries where we operate may not protect our intellectual property rights to the same extent as U.S. laws.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would be invested in our operations or returned to shareholders, or could cause us to raise funds by, for example, issuing new debt or equity or selling assets.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bank accounts, one or more multi-year revolving credit agreements, and a portfolio of investments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Increases in health care and pension benefit costs could affect our results of operations and financial condition.</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Federal and state health care reform programs could increase our costs with regard to medical coverage of our employees, which could reduce profitability and affect our results of operations and financial condition. In addition, obligations related to our pension and other postretirement plans reflect assumptions that affect the planned funding and costs of these plans, including the actual return on plan assets, discount rates, plan participant population demographics and changes in pension regulations. Changes in these assumptions may affect plan funding, cash flow and results of operations, and our costs and funding obligations could increase significantly if our plans’ actual experience differs from these assumptions.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continued success depends in part on our ability to retain and recruit a sufficient number of qualified employees in a competitive environment.</w:t>
      </w:r>
    </w:p>
    <w:p>
      <w:pPr>
        <w:spacing w:after="0" w:line="23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continued success depends in part on the retention and recruitment of skilled personnel, as well as the effective management of succession for key employees. Skilled and experienced personnel in our industry, including engineering, management, marketing, technical and staff personnel, are in high demand and competition for their talents is intense. There can be no assurance that we will be able to successfully retain and recruit the key engineering, management and technical personnel that we require to execute our business strategy. Our ability to recruit internationally or deploy employees to various locations may be limited by immigration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ability to successfully implement business and organizational changes could affect our business plans and results of operations.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undertake business and organizational changes, including acquisitions, divestitures and restructuring actions, to support or carry out our strategic objectives. Our failure to successfully implement these changes could adversely affect our business plans and operating results. For example, we may not realize the expected benefits of an acquisition if we are unable to timely and successfully integrate acquired operations, product lines and technology, and our pre-acquisition due diligence may not identify all possible issues and risks that might arise with respect to an acquisition. Further, we may not achieve or sustain the expected growth or cost savings benefits of business and organizational changes, and restructuring charges could differ materially in amount and timing from our expectations.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a significant amount of goodwill and intangible assets on our consolidated balance sheet. Charges associated with impairments of goodwill or intangible assets could adversely affect our financial condition and results of operations.</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Embedded</w:t>
            </w:r>
          </w:p>
        </w:tc>
      </w:tr>
      <w:tr>
        <w:trPr>
          <w:trHeight w:val="219"/>
        </w:trPr>
        <w:tc>
          <w:tcPr>
            <w:tcW w:w="85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Analog</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Processing</w:t>
            </w:r>
          </w:p>
        </w:tc>
      </w:tr>
      <w:tr>
        <w:trPr>
          <w:trHeight w:val="213"/>
        </w:trPr>
        <w:tc>
          <w:tcPr>
            <w:tcW w:w="8520" w:type="dxa"/>
            <w:vAlign w:val="bottom"/>
            <w:shd w:val="clear" w:color="auto" w:fill="CCEEFF"/>
          </w:tcPr>
          <w:p>
            <w:pPr>
              <w:spacing w:after="0"/>
              <w:rPr>
                <w:sz w:val="20"/>
                <w:szCs w:val="20"/>
                <w:color w:val="auto"/>
              </w:rPr>
            </w:pPr>
            <w:r>
              <w:rPr>
                <w:rFonts w:ascii="Arial" w:cs="Arial" w:eastAsia="Arial" w:hAnsi="Arial"/>
                <w:sz w:val="16"/>
                <w:szCs w:val="16"/>
                <w:color w:val="auto"/>
              </w:rPr>
              <w:t>Dallas, Texas</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13"/>
        </w:trPr>
        <w:tc>
          <w:tcPr>
            <w:tcW w:w="8520" w:type="dxa"/>
            <w:vAlign w:val="bottom"/>
          </w:tcPr>
          <w:p>
            <w:pPr>
              <w:spacing w:after="0"/>
              <w:rPr>
                <w:sz w:val="20"/>
                <w:szCs w:val="20"/>
                <w:color w:val="auto"/>
              </w:rPr>
            </w:pPr>
            <w:r>
              <w:rPr>
                <w:rFonts w:ascii="Arial" w:cs="Arial" w:eastAsia="Arial" w:hAnsi="Arial"/>
                <w:sz w:val="16"/>
                <w:szCs w:val="16"/>
                <w:color w:val="auto"/>
              </w:rPr>
              <w:t>Houston, Texas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19"/>
        </w:trPr>
        <w:tc>
          <w:tcPr>
            <w:tcW w:w="8520" w:type="dxa"/>
            <w:vAlign w:val="bottom"/>
            <w:shd w:val="clear" w:color="auto" w:fill="CCEEFF"/>
          </w:tcPr>
          <w:p>
            <w:pPr>
              <w:spacing w:after="0"/>
              <w:rPr>
                <w:sz w:val="20"/>
                <w:szCs w:val="20"/>
                <w:color w:val="auto"/>
              </w:rPr>
            </w:pPr>
            <w:r>
              <w:rPr>
                <w:rFonts w:ascii="Arial" w:cs="Arial" w:eastAsia="Arial" w:hAnsi="Arial"/>
                <w:sz w:val="16"/>
                <w:szCs w:val="16"/>
                <w:color w:val="auto"/>
              </w:rPr>
              <w:t>Sherman, Texas</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spacing w:after="0"/>
              <w:rPr>
                <w:sz w:val="19"/>
                <w:szCs w:val="19"/>
                <w:color w:val="auto"/>
              </w:rPr>
            </w:pPr>
          </w:p>
        </w:tc>
      </w:tr>
      <w:tr>
        <w:trPr>
          <w:trHeight w:val="216"/>
        </w:trPr>
        <w:tc>
          <w:tcPr>
            <w:tcW w:w="8520" w:type="dxa"/>
            <w:vAlign w:val="bottom"/>
          </w:tcPr>
          <w:p>
            <w:pPr>
              <w:spacing w:after="0" w:line="216" w:lineRule="exact"/>
              <w:rPr>
                <w:sz w:val="20"/>
                <w:szCs w:val="20"/>
                <w:color w:val="auto"/>
              </w:rPr>
            </w:pPr>
            <w:r>
              <w:rPr>
                <w:rFonts w:ascii="Arial" w:cs="Arial" w:eastAsia="Arial" w:hAnsi="Arial"/>
                <w:sz w:val="15"/>
                <w:szCs w:val="15"/>
                <w:color w:val="auto"/>
              </w:rPr>
              <w:t xml:space="preserve">Tucson, Arizona </w:t>
            </w:r>
            <w:r>
              <w:rPr>
                <w:rFonts w:ascii="Arial" w:cs="Arial" w:eastAsia="Arial" w:hAnsi="Arial"/>
                <w:sz w:val="25"/>
                <w:szCs w:val="25"/>
                <w:color w:val="auto"/>
                <w:vertAlign w:val="superscript"/>
              </w:rPr>
              <w:t>*</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6"/>
                <w:szCs w:val="16"/>
                <w:color w:val="auto"/>
              </w:rPr>
              <w:t>Santa Clara, California</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spacing w:after="0"/>
              <w:rPr>
                <w:sz w:val="18"/>
                <w:szCs w:val="18"/>
                <w:color w:val="auto"/>
              </w:rPr>
            </w:pPr>
          </w:p>
        </w:tc>
      </w:tr>
      <w:tr>
        <w:trPr>
          <w:trHeight w:val="213"/>
        </w:trPr>
        <w:tc>
          <w:tcPr>
            <w:tcW w:w="8520" w:type="dxa"/>
            <w:vAlign w:val="bottom"/>
          </w:tcPr>
          <w:p>
            <w:pPr>
              <w:spacing w:after="0"/>
              <w:rPr>
                <w:sz w:val="20"/>
                <w:szCs w:val="20"/>
                <w:color w:val="auto"/>
              </w:rPr>
            </w:pPr>
            <w:r>
              <w:rPr>
                <w:rFonts w:ascii="Arial" w:cs="Arial" w:eastAsia="Arial" w:hAnsi="Arial"/>
                <w:sz w:val="16"/>
                <w:szCs w:val="16"/>
                <w:color w:val="auto"/>
              </w:rPr>
              <w:t>South Portland, Maine</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tcPr>
          <w:p>
            <w:pPr>
              <w:spacing w:after="0"/>
              <w:rPr>
                <w:sz w:val="18"/>
                <w:szCs w:val="18"/>
                <w:color w:val="auto"/>
              </w:rPr>
            </w:pPr>
          </w:p>
        </w:tc>
      </w:tr>
      <w:tr>
        <w:trPr>
          <w:trHeight w:val="219"/>
        </w:trPr>
        <w:tc>
          <w:tcPr>
            <w:tcW w:w="8520" w:type="dxa"/>
            <w:vAlign w:val="bottom"/>
            <w:shd w:val="clear" w:color="auto" w:fill="CCEEFF"/>
          </w:tcPr>
          <w:p>
            <w:pPr>
              <w:spacing w:after="0" w:line="218" w:lineRule="exact"/>
              <w:rPr>
                <w:sz w:val="20"/>
                <w:szCs w:val="20"/>
                <w:color w:val="auto"/>
              </w:rPr>
            </w:pPr>
            <w:r>
              <w:rPr>
                <w:rFonts w:ascii="Arial" w:cs="Arial" w:eastAsia="Arial" w:hAnsi="Arial"/>
                <w:sz w:val="15"/>
                <w:szCs w:val="15"/>
                <w:color w:val="auto"/>
              </w:rPr>
              <w:t xml:space="preserve">Chengdu, China </w:t>
            </w:r>
            <w:r>
              <w:rPr>
                <w:rFonts w:ascii="Arial" w:cs="Arial" w:eastAsia="Arial" w:hAnsi="Arial"/>
                <w:sz w:val="25"/>
                <w:szCs w:val="25"/>
                <w:color w:val="auto"/>
                <w:vertAlign w:val="superscript"/>
              </w:rPr>
              <w:t>†</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16"/>
        </w:trPr>
        <w:tc>
          <w:tcPr>
            <w:tcW w:w="8520" w:type="dxa"/>
            <w:vAlign w:val="bottom"/>
          </w:tcPr>
          <w:p>
            <w:pPr>
              <w:spacing w:after="0" w:line="216" w:lineRule="exact"/>
              <w:rPr>
                <w:sz w:val="20"/>
                <w:szCs w:val="20"/>
                <w:color w:val="auto"/>
              </w:rPr>
            </w:pPr>
            <w:r>
              <w:rPr>
                <w:rFonts w:ascii="Arial" w:cs="Arial" w:eastAsia="Arial" w:hAnsi="Arial"/>
                <w:sz w:val="15"/>
                <w:szCs w:val="15"/>
                <w:color w:val="auto"/>
              </w:rPr>
              <w:t xml:space="preserve">Shanghai, China </w:t>
            </w:r>
            <w:r>
              <w:rPr>
                <w:rFonts w:ascii="Arial" w:cs="Arial" w:eastAsia="Arial" w:hAnsi="Arial"/>
                <w:sz w:val="25"/>
                <w:szCs w:val="25"/>
                <w:color w:val="auto"/>
                <w:vertAlign w:val="superscript"/>
              </w:rPr>
              <w:t>*</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6"/>
                <w:szCs w:val="16"/>
                <w:color w:val="auto"/>
              </w:rPr>
              <w:t>Freising, Germany</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16"/>
        </w:trPr>
        <w:tc>
          <w:tcPr>
            <w:tcW w:w="8520" w:type="dxa"/>
            <w:vAlign w:val="bottom"/>
          </w:tcPr>
          <w:p>
            <w:pPr>
              <w:spacing w:after="0" w:line="216" w:lineRule="exact"/>
              <w:rPr>
                <w:sz w:val="20"/>
                <w:szCs w:val="20"/>
                <w:color w:val="auto"/>
              </w:rPr>
            </w:pPr>
            <w:r>
              <w:rPr>
                <w:rFonts w:ascii="Arial" w:cs="Arial" w:eastAsia="Arial" w:hAnsi="Arial"/>
                <w:sz w:val="15"/>
                <w:szCs w:val="15"/>
                <w:color w:val="auto"/>
              </w:rPr>
              <w:t xml:space="preserve">Bangalore, India </w:t>
            </w:r>
            <w:r>
              <w:rPr>
                <w:rFonts w:ascii="Arial" w:cs="Arial" w:eastAsia="Arial" w:hAnsi="Arial"/>
                <w:sz w:val="25"/>
                <w:szCs w:val="25"/>
                <w:color w:val="auto"/>
                <w:vertAlign w:val="superscript"/>
              </w:rPr>
              <w:t>†</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6"/>
                <w:szCs w:val="16"/>
                <w:color w:val="auto"/>
              </w:rPr>
              <w:t>Aizu, Japan</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13"/>
        </w:trPr>
        <w:tc>
          <w:tcPr>
            <w:tcW w:w="8520" w:type="dxa"/>
            <w:vAlign w:val="bottom"/>
          </w:tcPr>
          <w:p>
            <w:pPr>
              <w:spacing w:after="0"/>
              <w:rPr>
                <w:sz w:val="20"/>
                <w:szCs w:val="20"/>
                <w:color w:val="auto"/>
              </w:rPr>
            </w:pPr>
            <w:r>
              <w:rPr>
                <w:rFonts w:ascii="Arial" w:cs="Arial" w:eastAsia="Arial" w:hAnsi="Arial"/>
                <w:sz w:val="16"/>
                <w:szCs w:val="16"/>
                <w:color w:val="auto"/>
              </w:rPr>
              <w:t>Miho, Japan</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19"/>
        </w:trPr>
        <w:tc>
          <w:tcPr>
            <w:tcW w:w="8520" w:type="dxa"/>
            <w:vAlign w:val="bottom"/>
            <w:shd w:val="clear" w:color="auto" w:fill="CCEEFF"/>
          </w:tcPr>
          <w:p>
            <w:pPr>
              <w:spacing w:after="0" w:line="218" w:lineRule="exact"/>
              <w:rPr>
                <w:sz w:val="20"/>
                <w:szCs w:val="20"/>
                <w:color w:val="auto"/>
              </w:rPr>
            </w:pPr>
            <w:r>
              <w:rPr>
                <w:rFonts w:ascii="Arial" w:cs="Arial" w:eastAsia="Arial" w:hAnsi="Arial"/>
                <w:sz w:val="15"/>
                <w:szCs w:val="15"/>
                <w:color w:val="auto"/>
              </w:rPr>
              <w:t xml:space="preserve">Kuala Lumpur, Malaysia </w:t>
            </w:r>
            <w:r>
              <w:rPr>
                <w:rFonts w:ascii="Arial" w:cs="Arial" w:eastAsia="Arial" w:hAnsi="Arial"/>
                <w:sz w:val="25"/>
                <w:szCs w:val="25"/>
                <w:color w:val="auto"/>
                <w:vertAlign w:val="superscript"/>
              </w:rPr>
              <w:t>†</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16"/>
        </w:trPr>
        <w:tc>
          <w:tcPr>
            <w:tcW w:w="8520" w:type="dxa"/>
            <w:vAlign w:val="bottom"/>
          </w:tcPr>
          <w:p>
            <w:pPr>
              <w:spacing w:after="0" w:line="216" w:lineRule="exact"/>
              <w:rPr>
                <w:sz w:val="20"/>
                <w:szCs w:val="20"/>
                <w:color w:val="auto"/>
              </w:rPr>
            </w:pPr>
            <w:r>
              <w:rPr>
                <w:rFonts w:ascii="Arial" w:cs="Arial" w:eastAsia="Arial" w:hAnsi="Arial"/>
                <w:sz w:val="15"/>
                <w:szCs w:val="15"/>
                <w:color w:val="auto"/>
              </w:rPr>
              <w:t xml:space="preserve">Melaka, Malaysia </w:t>
            </w:r>
            <w:r>
              <w:rPr>
                <w:rFonts w:ascii="Arial" w:cs="Arial" w:eastAsia="Arial" w:hAnsi="Arial"/>
                <w:sz w:val="25"/>
                <w:szCs w:val="25"/>
                <w:color w:val="auto"/>
                <w:vertAlign w:val="superscript"/>
              </w:rPr>
              <w:t>†</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 xml:space="preserve">Aguascalientes, Mexico </w:t>
            </w:r>
            <w:r>
              <w:rPr>
                <w:rFonts w:ascii="Arial" w:cs="Arial" w:eastAsia="Arial" w:hAnsi="Arial"/>
                <w:sz w:val="25"/>
                <w:szCs w:val="25"/>
                <w:color w:val="auto"/>
                <w:vertAlign w:val="superscript"/>
              </w:rPr>
              <w:t>*</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line="216" w:lineRule="exact"/>
              <w:rPr>
                <w:sz w:val="20"/>
                <w:szCs w:val="20"/>
                <w:color w:val="auto"/>
              </w:rPr>
            </w:pPr>
            <w:r>
              <w:rPr>
                <w:rFonts w:ascii="Arial" w:cs="Arial" w:eastAsia="Arial" w:hAnsi="Arial"/>
                <w:sz w:val="15"/>
                <w:szCs w:val="15"/>
                <w:color w:val="auto"/>
              </w:rPr>
              <w:t xml:space="preserve">Baguio, Philippines </w:t>
            </w:r>
            <w:r>
              <w:rPr>
                <w:rFonts w:ascii="Arial" w:cs="Arial" w:eastAsia="Arial" w:hAnsi="Arial"/>
                <w:sz w:val="25"/>
                <w:szCs w:val="25"/>
                <w:color w:val="auto"/>
                <w:vertAlign w:val="superscript"/>
              </w:rPr>
              <w:t>†</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16"/>
        </w:trPr>
        <w:tc>
          <w:tcPr>
            <w:tcW w:w="852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 xml:space="preserve">Pampanga (Clark), Philippines </w:t>
            </w:r>
            <w:r>
              <w:rPr>
                <w:rFonts w:ascii="Arial" w:cs="Arial" w:eastAsia="Arial" w:hAnsi="Arial"/>
                <w:sz w:val="25"/>
                <w:szCs w:val="25"/>
                <w:color w:val="auto"/>
                <w:vertAlign w:val="superscript"/>
              </w:rPr>
              <w:t>†</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16"/>
        </w:trPr>
        <w:tc>
          <w:tcPr>
            <w:tcW w:w="8520" w:type="dxa"/>
            <w:vAlign w:val="bottom"/>
          </w:tcPr>
          <w:p>
            <w:pPr>
              <w:spacing w:after="0" w:line="216" w:lineRule="exact"/>
              <w:rPr>
                <w:sz w:val="20"/>
                <w:szCs w:val="20"/>
                <w:color w:val="auto"/>
              </w:rPr>
            </w:pPr>
            <w:r>
              <w:rPr>
                <w:rFonts w:ascii="Arial" w:cs="Arial" w:eastAsia="Arial" w:hAnsi="Arial"/>
                <w:sz w:val="15"/>
                <w:szCs w:val="15"/>
                <w:color w:val="auto"/>
              </w:rPr>
              <w:t xml:space="preserve">Greenock, Scotland </w:t>
            </w:r>
            <w:r>
              <w:rPr>
                <w:rFonts w:ascii="Arial" w:cs="Arial" w:eastAsia="Arial" w:hAnsi="Arial"/>
                <w:sz w:val="25"/>
                <w:szCs w:val="25"/>
                <w:color w:val="auto"/>
                <w:vertAlign w:val="superscript"/>
              </w:rPr>
              <w:t>#</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 xml:space="preserve">Taipei, Taiwan </w:t>
            </w:r>
            <w:r>
              <w:rPr>
                <w:rFonts w:ascii="Arial" w:cs="Arial" w:eastAsia="Arial" w:hAnsi="Arial"/>
                <w:sz w:val="25"/>
                <w:szCs w:val="25"/>
                <w:color w:val="auto"/>
                <w:vertAlign w:val="superscript"/>
              </w:rPr>
              <w:t>†</w:t>
            </w: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bl>
    <w:p>
      <w:pPr>
        <w:spacing w:after="0" w:line="10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Leased.</w:t>
      </w:r>
    </w:p>
    <w:p>
      <w:pPr>
        <w:spacing w:after="0" w:line="23"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Portions of the facilities are leased and owned. This may include land leases.</w:t>
      </w:r>
    </w:p>
    <w:p>
      <w:pPr>
        <w:spacing w:after="0" w:line="9" w:lineRule="exact"/>
        <w:rPr>
          <w:sz w:val="20"/>
          <w:szCs w:val="20"/>
          <w:color w:val="auto"/>
        </w:rPr>
      </w:pPr>
    </w:p>
    <w:p>
      <w:pPr>
        <w:ind w:left="520" w:right="120" w:hanging="512"/>
        <w:spacing w:after="0" w:line="261"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2019, we entered into an agreement to sell our manufacturing facility in Greenock, Scotland. The sale is expected to close during the first quarter of 2019.</w:t>
      </w:r>
    </w:p>
    <w:p>
      <w:pPr>
        <w:spacing w:after="0" w:line="18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facilities in the United States contained approximately 13.0 million square feet at December 31, 2018, of which approximately 0.6 million square feet were leased. Our facilities outside the United States contained approximately 10.0 million square feet at December 31, 2018, of which approximately 1.5 million square feet were leased.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2018, we occupied substantially all of the space in our facilities.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their intended purpose.</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concerning the number of stockholders of record at December 31, 2018, is contained in Item 6, “Summary of Selected Financial Data.”</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TI common stock is quoted on The Nasdaq Global Select Market under the ticker symbol TXN. The following table contains information regarding our purchases of our common stock during the fourth quarter of 2018.</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1"/>
              </w:rPr>
              <w:t>Average Price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Arial" w:cs="Arial" w:eastAsia="Arial" w:hAnsi="Arial"/>
                <w:sz w:val="16"/>
                <w:szCs w:val="16"/>
                <w:b w:val="1"/>
                <w:bCs w:val="1"/>
                <w:color w:val="auto"/>
                <w:w w:val="92"/>
              </w:rPr>
              <w:t>Under the Plans or</w:t>
            </w:r>
          </w:p>
        </w:tc>
      </w:tr>
      <w:tr>
        <w:trPr>
          <w:trHeight w:val="216"/>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 Purchased</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Paid per Share</w:t>
            </w:r>
          </w:p>
        </w:tc>
        <w:tc>
          <w:tcPr>
            <w:tcW w:w="12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93"/>
              </w:rPr>
              <w:t xml:space="preserve">Plans or Programs </w:t>
            </w:r>
            <w:r>
              <w:rPr>
                <w:rFonts w:ascii="Arial" w:cs="Arial" w:eastAsia="Arial" w:hAnsi="Arial"/>
                <w:sz w:val="25"/>
                <w:szCs w:val="25"/>
                <w:color w:val="auto"/>
                <w:w w:val="93"/>
                <w:vertAlign w:val="superscript"/>
              </w:rPr>
              <w:t>(a)</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220"/>
              <w:spacing w:after="0" w:line="216" w:lineRule="exact"/>
              <w:rPr>
                <w:sz w:val="20"/>
                <w:szCs w:val="20"/>
                <w:color w:val="auto"/>
              </w:rPr>
            </w:pPr>
            <w:r>
              <w:rPr>
                <w:rFonts w:ascii="Arial" w:cs="Arial" w:eastAsia="Arial" w:hAnsi="Arial"/>
                <w:sz w:val="15"/>
                <w:szCs w:val="15"/>
                <w:b w:val="1"/>
                <w:bCs w:val="1"/>
                <w:color w:val="auto"/>
              </w:rPr>
              <w:t xml:space="preserve">Programs </w:t>
            </w:r>
            <w:r>
              <w:rPr>
                <w:rFonts w:ascii="Arial" w:cs="Arial" w:eastAsia="Arial" w:hAnsi="Arial"/>
                <w:sz w:val="25"/>
                <w:szCs w:val="25"/>
                <w:color w:val="auto"/>
                <w:vertAlign w:val="superscript"/>
              </w:rPr>
              <w:t>(a)</w:t>
            </w:r>
          </w:p>
        </w:tc>
      </w:tr>
      <w:tr>
        <w:trPr>
          <w:trHeight w:val="210"/>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October 1, 2018 through October 31, 2018</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10,869,754</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220"/>
              <w:spacing w:after="0"/>
              <w:rPr>
                <w:sz w:val="20"/>
                <w:szCs w:val="20"/>
                <w:color w:val="auto"/>
              </w:rPr>
            </w:pPr>
            <w:r>
              <w:rPr>
                <w:rFonts w:ascii="Arial" w:cs="Arial" w:eastAsia="Arial" w:hAnsi="Arial"/>
                <w:sz w:val="16"/>
                <w:szCs w:val="16"/>
                <w:color w:val="auto"/>
              </w:rPr>
              <w:t>10,823,353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9"/>
              </w:rPr>
              <w:t>17.10</w:t>
            </w:r>
          </w:p>
        </w:tc>
        <w:tc>
          <w:tcPr>
            <w:tcW w:w="900" w:type="dxa"/>
            <w:vAlign w:val="bottom"/>
            <w:shd w:val="clear" w:color="auto" w:fill="CFF0FC"/>
          </w:tcPr>
          <w:p>
            <w:pPr>
              <w:ind w:left="60"/>
              <w:spacing w:after="0"/>
              <w:rPr>
                <w:sz w:val="20"/>
                <w:szCs w:val="20"/>
                <w:color w:val="auto"/>
              </w:rPr>
            </w:pPr>
            <w:r>
              <w:rPr>
                <w:rFonts w:ascii="Arial" w:cs="Arial" w:eastAsia="Arial" w:hAnsi="Arial"/>
                <w:sz w:val="16"/>
                <w:szCs w:val="16"/>
                <w:color w:val="auto"/>
              </w:rPr>
              <w:t>billion</w:t>
            </w:r>
          </w:p>
        </w:tc>
      </w:tr>
      <w:tr>
        <w:trPr>
          <w:trHeight w:val="213"/>
        </w:trPr>
        <w:tc>
          <w:tcPr>
            <w:tcW w:w="4700" w:type="dxa"/>
            <w:vAlign w:val="bottom"/>
            <w:gridSpan w:val="2"/>
          </w:tcPr>
          <w:p>
            <w:pPr>
              <w:spacing w:after="0"/>
              <w:rPr>
                <w:sz w:val="20"/>
                <w:szCs w:val="20"/>
                <w:color w:val="auto"/>
              </w:rPr>
            </w:pPr>
            <w:r>
              <w:rPr>
                <w:rFonts w:ascii="Arial" w:cs="Arial" w:eastAsia="Arial" w:hAnsi="Arial"/>
                <w:sz w:val="16"/>
                <w:szCs w:val="16"/>
                <w:color w:val="auto"/>
              </w:rPr>
              <w:t>November 1, 2018 through November 30, 2018</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5,992,830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220"/>
              <w:spacing w:after="0"/>
              <w:rPr>
                <w:sz w:val="20"/>
                <w:szCs w:val="20"/>
                <w:color w:val="auto"/>
              </w:rPr>
            </w:pPr>
            <w:r>
              <w:rPr>
                <w:rFonts w:ascii="Arial" w:cs="Arial" w:eastAsia="Arial" w:hAnsi="Arial"/>
                <w:sz w:val="16"/>
                <w:szCs w:val="16"/>
                <w:color w:val="auto"/>
              </w:rPr>
              <w:t>5,992,830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6"/>
                <w:szCs w:val="16"/>
                <w:color w:val="auto"/>
                <w:w w:val="99"/>
              </w:rPr>
              <w:t>16.53</w:t>
            </w:r>
          </w:p>
        </w:tc>
        <w:tc>
          <w:tcPr>
            <w:tcW w:w="900" w:type="dxa"/>
            <w:vAlign w:val="bottom"/>
          </w:tcPr>
          <w:p>
            <w:pPr>
              <w:ind w:left="60"/>
              <w:spacing w:after="0"/>
              <w:rPr>
                <w:sz w:val="20"/>
                <w:szCs w:val="20"/>
                <w:color w:val="auto"/>
              </w:rPr>
            </w:pPr>
            <w:r>
              <w:rPr>
                <w:rFonts w:ascii="Arial" w:cs="Arial" w:eastAsia="Arial" w:hAnsi="Arial"/>
                <w:sz w:val="16"/>
                <w:szCs w:val="16"/>
                <w:color w:val="auto"/>
              </w:rPr>
              <w:t>billion</w:t>
            </w:r>
          </w:p>
        </w:tc>
      </w:tr>
      <w:tr>
        <w:trPr>
          <w:trHeight w:val="21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December 1, 2018 through December 31, 2018</w:t>
            </w: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4,062,116</w:t>
            </w: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220"/>
              <w:spacing w:after="0"/>
              <w:rPr>
                <w:sz w:val="20"/>
                <w:szCs w:val="20"/>
                <w:color w:val="auto"/>
              </w:rPr>
            </w:pPr>
            <w:r>
              <w:rPr>
                <w:rFonts w:ascii="Arial" w:cs="Arial" w:eastAsia="Arial" w:hAnsi="Arial"/>
                <w:sz w:val="16"/>
                <w:szCs w:val="16"/>
                <w:color w:val="auto"/>
              </w:rPr>
              <w:t>4,062,116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9"/>
              </w:rPr>
              <w:t>16.14</w:t>
            </w:r>
          </w:p>
        </w:tc>
        <w:tc>
          <w:tcPr>
            <w:tcW w:w="900" w:type="dxa"/>
            <w:vAlign w:val="bottom"/>
            <w:shd w:val="clear" w:color="auto" w:fill="CFF0FC"/>
          </w:tcPr>
          <w:p>
            <w:pPr>
              <w:ind w:left="60"/>
              <w:spacing w:after="0"/>
              <w:rPr>
                <w:sz w:val="20"/>
                <w:szCs w:val="20"/>
                <w:color w:val="auto"/>
              </w:rPr>
            </w:pPr>
            <w:r>
              <w:rPr>
                <w:rFonts w:ascii="Arial" w:cs="Arial" w:eastAsia="Arial" w:hAnsi="Arial"/>
                <w:sz w:val="16"/>
                <w:szCs w:val="16"/>
                <w:color w:val="auto"/>
              </w:rPr>
              <w:t>billion</w:t>
            </w:r>
          </w:p>
        </w:tc>
      </w:tr>
      <w:tr>
        <w:trPr>
          <w:trHeight w:val="210"/>
        </w:trPr>
        <w:tc>
          <w:tcPr>
            <w:tcW w:w="4700" w:type="dxa"/>
            <w:vAlign w:val="bottom"/>
            <w:gridSpan w:val="2"/>
          </w:tcPr>
          <w:p>
            <w:pPr>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20,924,700</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w:t>
            </w:r>
          </w:p>
        </w:tc>
        <w:tc>
          <w:tcPr>
            <w:tcW w:w="5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96.22</w:t>
            </w: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(b)</w:t>
            </w:r>
          </w:p>
        </w:tc>
        <w:tc>
          <w:tcPr>
            <w:tcW w:w="16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20,878,299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ind w:left="220"/>
              <w:spacing w:after="0"/>
              <w:rPr>
                <w:sz w:val="20"/>
                <w:szCs w:val="20"/>
                <w:color w:val="auto"/>
              </w:rPr>
            </w:pPr>
            <w:r>
              <w:rPr>
                <w:rFonts w:ascii="Arial" w:cs="Arial" w:eastAsia="Arial" w:hAnsi="Arial"/>
                <w:sz w:val="16"/>
                <w:szCs w:val="16"/>
                <w:color w:val="auto"/>
                <w:w w:val="99"/>
              </w:rPr>
              <w:t>16.14</w:t>
            </w:r>
          </w:p>
        </w:tc>
        <w:tc>
          <w:tcPr>
            <w:tcW w:w="900" w:type="dxa"/>
            <w:vAlign w:val="bottom"/>
          </w:tcPr>
          <w:p>
            <w:pPr>
              <w:ind w:left="60"/>
              <w:spacing w:after="0" w:line="210" w:lineRule="exact"/>
              <w:rPr>
                <w:sz w:val="20"/>
                <w:szCs w:val="20"/>
                <w:color w:val="auto"/>
              </w:rPr>
            </w:pPr>
            <w:r>
              <w:rPr>
                <w:rFonts w:ascii="Arial" w:cs="Arial" w:eastAsia="Arial" w:hAnsi="Arial"/>
                <w:sz w:val="15"/>
                <w:szCs w:val="15"/>
                <w:color w:val="auto"/>
              </w:rPr>
              <w:t xml:space="preserve">billion </w:t>
            </w:r>
            <w:r>
              <w:rPr>
                <w:rFonts w:ascii="Arial" w:cs="Arial" w:eastAsia="Arial" w:hAnsi="Arial"/>
                <w:sz w:val="24"/>
                <w:szCs w:val="24"/>
                <w:color w:val="auto"/>
                <w:vertAlign w:val="superscript"/>
              </w:rPr>
              <w:t>(c)</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right="220" w:hanging="472"/>
        <w:spacing w:after="0" w:line="264"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authorizations from our board of directors to purchase up to $7.5 billion and $6.0 billion of additional shares of TI common stock announced September 17, 2015 and September 21, 2017, respectively. On September 20, 2018, our board of directors authorized the purchase of an additional $12.0 billion of our common stock.</w:t>
      </w:r>
    </w:p>
    <w:p>
      <w:pPr>
        <w:spacing w:after="0" w:line="73"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open-market purchases, 46,401 shares of common stock were surrendered by employees to satisfy tax withholding obligations in connection with the vesting of restricted stock units.</w:t>
      </w:r>
    </w:p>
    <w:p>
      <w:pPr>
        <w:spacing w:after="0" w:line="62" w:lineRule="exact"/>
        <w:rPr>
          <w:rFonts w:ascii="Arial" w:cs="Arial" w:eastAsia="Arial" w:hAnsi="Arial"/>
          <w:sz w:val="18"/>
          <w:szCs w:val="18"/>
          <w:color w:val="auto"/>
        </w:rPr>
      </w:pPr>
    </w:p>
    <w:p>
      <w:pPr>
        <w:ind w:left="460" w:right="5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2018, this amount consisted of the remaining portion of the $6.0 billion authorized in September 2017 and the $12.0 billion authorized in September 2018. No expiration date has been specified for these authorizations.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Selected Financial Data.</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6"/>
                <w:szCs w:val="16"/>
                <w:b w:val="1"/>
                <w:bCs w:val="1"/>
                <w:color w:val="auto"/>
                <w:w w:val="99"/>
              </w:rPr>
              <w:t>For Years Ended December 31,</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 data:</w:t>
            </w: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7,189</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5,363</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4,614</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4,397</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Free cash flow (a)</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6,058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6"/>
                <w:szCs w:val="16"/>
                <w:color w:val="auto"/>
                <w:w w:val="93"/>
              </w:rPr>
              <w:t>Dividends paid</w:t>
            </w:r>
          </w:p>
        </w:tc>
        <w:tc>
          <w:tcPr>
            <w:tcW w:w="4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Stock repurchases</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5,100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980" w:type="dxa"/>
            <w:vAlign w:val="bottom"/>
            <w:gridSpan w:val="2"/>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Income statement data:</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 by segment: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Analog</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10,801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4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Operating expenses (R&amp;D and SG&amp;A)</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3,243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charges</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Restructuring charges/other</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Operating profit</w:t>
            </w: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4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5,580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 portion of net income is allocated to unvested restricted stock units (RSUs) on which we pay dividend equivalents. Diluted earnings per share (EPS) is calculated using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5,580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w:t>
            </w:r>
          </w:p>
        </w:tc>
        <w:tc>
          <w:tcPr>
            <w:tcW w:w="60" w:type="dxa"/>
            <w:vAlign w:val="bottom"/>
            <w:shd w:val="clear" w:color="auto" w:fill="CCEEFF"/>
          </w:tcPr>
          <w:p>
            <w:pPr>
              <w:spacing w:after="0"/>
              <w:rPr>
                <w:sz w:val="18"/>
                <w:szCs w:val="18"/>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(42)</w:t>
            </w:r>
          </w:p>
        </w:tc>
        <w:tc>
          <w:tcPr>
            <w:tcW w:w="3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21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shares for diluted EPS</w:t>
            </w:r>
          </w:p>
        </w:tc>
        <w:tc>
          <w:tcPr>
            <w:tcW w:w="3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6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Average diluted shares outstanding (millions)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60" w:type="dxa"/>
            <w:vAlign w:val="bottom"/>
            <w:shd w:val="clear" w:color="auto" w:fill="CCEEFF"/>
          </w:tcPr>
          <w:p>
            <w:pPr>
              <w:spacing w:after="0"/>
              <w:rPr>
                <w:sz w:val="18"/>
                <w:szCs w:val="18"/>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Diluted EPS</w:t>
            </w:r>
          </w:p>
        </w:tc>
        <w:tc>
          <w:tcPr>
            <w:tcW w:w="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5.59</w:t>
            </w:r>
          </w:p>
        </w:tc>
        <w:tc>
          <w:tcPr>
            <w:tcW w:w="240" w:type="dxa"/>
            <w:vAlign w:val="bottom"/>
          </w:tcPr>
          <w:p>
            <w:pPr>
              <w:spacing w:after="0"/>
              <w:rPr>
                <w:sz w:val="18"/>
                <w:szCs w:val="18"/>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18"/>
                <w:szCs w:val="18"/>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3.48</w:t>
            </w:r>
          </w:p>
        </w:tc>
        <w:tc>
          <w:tcPr>
            <w:tcW w:w="220" w:type="dxa"/>
            <w:vAlign w:val="bottom"/>
          </w:tcPr>
          <w:p>
            <w:pPr>
              <w:spacing w:after="0"/>
              <w:rPr>
                <w:sz w:val="18"/>
                <w:szCs w:val="18"/>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2.82</w:t>
            </w:r>
          </w:p>
        </w:tc>
        <w:tc>
          <w:tcPr>
            <w:tcW w:w="220" w:type="dxa"/>
            <w:vAlign w:val="bottom"/>
          </w:tcPr>
          <w:p>
            <w:pPr>
              <w:spacing w:after="0"/>
              <w:rPr>
                <w:sz w:val="18"/>
                <w:szCs w:val="18"/>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2.57</w:t>
            </w:r>
          </w:p>
        </w:tc>
        <w:tc>
          <w:tcPr>
            <w:tcW w:w="60" w:type="dxa"/>
            <w:vAlign w:val="bottom"/>
          </w:tcPr>
          <w:p>
            <w:pPr>
              <w:spacing w:after="0"/>
              <w:rPr>
                <w:sz w:val="18"/>
                <w:szCs w:val="18"/>
                <w:color w:val="auto"/>
              </w:rPr>
            </w:pPr>
          </w:p>
        </w:tc>
      </w:tr>
      <w:tr>
        <w:trPr>
          <w:trHeight w:val="219"/>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60" w:type="dxa"/>
            <w:vAlign w:val="bottom"/>
            <w:shd w:val="clear" w:color="auto" w:fill="CCEEFF"/>
          </w:tcPr>
          <w:p>
            <w:pPr>
              <w:spacing w:after="0"/>
              <w:rPr>
                <w:sz w:val="19"/>
                <w:szCs w:val="19"/>
                <w:color w:val="auto"/>
              </w:rPr>
            </w:pPr>
          </w:p>
        </w:tc>
      </w:tr>
    </w:tbl>
    <w:p>
      <w:pPr>
        <w:spacing w:after="0" w:line="26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Free cash flow is a non-GAAP measure derived by subtracting capital expenditures from cash flows from operating activities.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(Millions of dollars, except other data items)</w:t>
            </w:r>
          </w:p>
        </w:tc>
        <w:tc>
          <w:tcPr>
            <w:tcW w:w="24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Cash, cash equivalents and short-term investments</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4,233</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4,469</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3,490</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3,218</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17,137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4,319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 - Number of:</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Employees</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29,888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29,714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29,865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29,977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Stockholders of record</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13,825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See Management’s Discussion and Analysis of Financial Condition and Results of Operations and Financial Statements and Supplementary Data.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designed around the following four sustainable competitive advantages that we believe, in combination, put us in a unique class of companies:</w:t>
      </w:r>
    </w:p>
    <w:p>
      <w:pPr>
        <w:spacing w:after="0" w:line="170" w:lineRule="exact"/>
        <w:rPr>
          <w:sz w:val="20"/>
          <w:szCs w:val="20"/>
          <w:color w:val="auto"/>
        </w:rPr>
      </w:pPr>
    </w:p>
    <w:p>
      <w:pPr>
        <w:ind w:left="1040" w:hanging="519"/>
        <w:spacing w:after="0" w:line="255"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 strong foundation of manufacturing and technology. </w:t>
      </w:r>
      <w:r>
        <w:rPr>
          <w:rFonts w:ascii="Arial" w:cs="Arial" w:eastAsia="Arial" w:hAnsi="Arial"/>
          <w:sz w:val="18"/>
          <w:szCs w:val="18"/>
          <w:color w:val="auto"/>
        </w:rPr>
        <w:t>We invest in manufacturing technologies and do most of our manufacturing in-house.</w:t>
      </w:r>
      <w:r>
        <w:rPr>
          <w:rFonts w:ascii="Arial" w:cs="Arial" w:eastAsia="Arial" w:hAnsi="Arial"/>
          <w:sz w:val="18"/>
          <w:szCs w:val="18"/>
          <w:i w:val="1"/>
          <w:iCs w:val="1"/>
          <w:color w:val="auto"/>
        </w:rPr>
        <w:t xml:space="preserve"> </w:t>
      </w:r>
      <w:r>
        <w:rPr>
          <w:rFonts w:ascii="Arial" w:cs="Arial" w:eastAsia="Arial" w:hAnsi="Arial"/>
          <w:sz w:val="18"/>
          <w:szCs w:val="18"/>
          <w:color w:val="auto"/>
        </w:rPr>
        <w:t>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percent cost advantage per unpackaged chip over 200-millimeter. To strengthen this advantage, we are planning our next phase of 300-millimeter capacity expansion as 300-millimeter wafers will continue to support the majority of our Analog growth.</w:t>
      </w:r>
    </w:p>
    <w:p>
      <w:pPr>
        <w:spacing w:after="0" w:line="85" w:lineRule="exact"/>
        <w:rPr>
          <w:rFonts w:ascii="Arial" w:cs="Arial" w:eastAsia="Arial" w:hAnsi="Arial"/>
          <w:sz w:val="18"/>
          <w:szCs w:val="18"/>
          <w:color w:val="auto"/>
        </w:rPr>
      </w:pPr>
    </w:p>
    <w:p>
      <w:pPr>
        <w:ind w:left="1040" w:right="22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semiconductors. </w:t>
      </w:r>
      <w:r>
        <w:rPr>
          <w:rFonts w:ascii="Arial" w:cs="Arial" w:eastAsia="Arial" w:hAnsi="Arial"/>
          <w:sz w:val="18"/>
          <w:szCs w:val="18"/>
          <w:color w:val="auto"/>
        </w:rPr>
        <w:t>Our customers need multiple chips for their systems.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means we can meet more of these needs than our competitors can,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ind w:left="1040" w:right="10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Broadest reach of market channels. </w:t>
      </w:r>
      <w:r>
        <w:rPr>
          <w:rFonts w:ascii="Arial" w:cs="Arial" w:eastAsia="Arial" w:hAnsi="Arial"/>
          <w:sz w:val="18"/>
          <w:szCs w:val="18"/>
          <w:color w:val="auto"/>
        </w:rPr>
        <w:t>Customers often begin their initial product selection process and design-in journey on our website,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attracts more customers to our website than any of our competitors’ websites. Our web presence, combined with our global sales force that is also greater in size than those of our competitors, are advantages that give us unique access to about 100,000 customers designing TI semiconductors into their end products.</w:t>
      </w:r>
    </w:p>
    <w:p>
      <w:pPr>
        <w:spacing w:after="0" w:line="78" w:lineRule="exact"/>
        <w:rPr>
          <w:rFonts w:ascii="Arial" w:cs="Arial" w:eastAsia="Arial" w:hAnsi="Arial"/>
          <w:sz w:val="18"/>
          <w:szCs w:val="18"/>
          <w:color w:val="auto"/>
        </w:rPr>
      </w:pPr>
    </w:p>
    <w:p>
      <w:pPr>
        <w:ind w:left="1040" w:right="60" w:hanging="519"/>
        <w:spacing w:after="0" w:line="31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Diversity and longevity of our products, markets and customer positions. </w:t>
      </w:r>
      <w:r>
        <w:rPr>
          <w:rFonts w:ascii="Arial" w:cs="Arial" w:eastAsia="Arial" w:hAnsi="Arial"/>
          <w:sz w:val="16"/>
          <w:szCs w:val="16"/>
          <w:color w:val="auto"/>
        </w:rPr>
        <w:t>Together, the attributes above result in diverse and long-lived</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that deliver high terminal value to our shareholders. Because of the breadth of our portfolio, we are not dependent on any single product, customer, technology or market. Some of our products generate revenue for decades, which strengthens the return on our investments.</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free cash flow. Our business model puts us in a unique class of companies with the ability to grow, generate cash and return that cash to shareholders.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1040" w:right="12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122" w:lineRule="exact"/>
        <w:rPr>
          <w:rFonts w:ascii="Arial" w:cs="Arial" w:eastAsia="Arial" w:hAnsi="Arial"/>
          <w:sz w:val="18"/>
          <w:szCs w:val="18"/>
          <w:color w:val="auto"/>
        </w:rPr>
      </w:pPr>
    </w:p>
    <w:p>
      <w:pPr>
        <w:ind w:left="1540" w:right="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ind w:left="1540" w:right="140" w:hanging="506"/>
        <w:spacing w:after="0" w:line="272" w:lineRule="auto"/>
        <w:tabs>
          <w:tab w:leader="none" w:pos="1540" w:val="left"/>
        </w:tabs>
        <w:numPr>
          <w:ilvl w:val="1"/>
          <w:numId w:val="11"/>
        </w:numPr>
        <w:rPr>
          <w:rFonts w:ascii="Courier New" w:cs="Courier New" w:eastAsia="Courier New" w:hAnsi="Courier New"/>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9" w:lineRule="exact"/>
        <w:rPr>
          <w:rFonts w:ascii="Courier New" w:cs="Courier New" w:eastAsia="Courier New" w:hAnsi="Courier New"/>
          <w:sz w:val="17"/>
          <w:szCs w:val="17"/>
          <w:color w:val="auto"/>
        </w:rPr>
      </w:pPr>
    </w:p>
    <w:p>
      <w:pPr>
        <w:ind w:left="1040" w:right="100" w:hanging="519"/>
        <w:spacing w:after="0" w:line="259"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2017 enactment of the U.S. Tax Cuts and Jobs Act (the Tax Act) reduces our annual operating tax rate, which does not include discrete tax items, from 31 percent in 2017 to an ongoing rate of about 16 percent starting in 2019. In 2018, our annual operating tax rate was 20 percent, 4 percentage points higher, primarily due to a transitional non-cash expense. For an explanation of the term “annual operating tax rate,” see the Non-GAAP financial information section.</w:t>
      </w:r>
    </w:p>
    <w:p>
      <w:pPr>
        <w:spacing w:after="0" w:line="78"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a sustained period of growth, in late 2018 the semiconductor market entered a downturn. As a result, demand for our products weakened, and we expect this weakness to continue in 2019. During this time, we will continue to be disciplined with our operating plan and expenses, while focusing on long-term investments to strengthen our competitive advantages.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continued to perform well in 2018, even as the year ended with a semiconductor market slowdown. We focus on Analog and Embedded Processing, with an emphasis on the industrial and automotive markets, because these products serve highly diverse markets with thousands of applications and have long-term growth opportunities. Gross margin of 65.1 percent reflected the quality of our product portfolio, as well as the efficiency of our manufacturing strategy, including the benefit of 300-millimeter Analog production.</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focus on Analog and Embedded Processing allows us to generate strong cash flow from operations. Our cash flow from operations of $7.19 billion underscored the strength of our business model. Free cash flow was $6.06 billion and represented 38.4 percent of revenue, up from 31.2 percent a year ago. During 2018, we returned $7.66 billion to shareholders through a combination of stock repurchases and dividends. Our strategy is to return all free cash flow to shareholders. Our dividends represented 42 percent of free cash flow, underscoring their sustainability. Free cash flow is a non-GAAP financial measure. See the Non-GAAP financial information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2018 compared with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$15.78 billion increased $823 million, or 6 percent, primarily due to higher revenue from Analog. Embedded Processing also grew.</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Gross profit of $10.28 billion was up $663 million, or 7 percent, due to higher revenue and lower manufacturing costs. As a percentage of revenue, gross profit increased to 65.1 percent from 64.3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$3.24 billion compared with $3.20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$318 million were non-cash. See Note 8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$6.71 billion, or 42.5 percent of revenue, compared with $6.08 billion, or 40.7 percent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(OI&amp;E) was $98 million of income compared with $75 million of income. See Note 13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$125 million increased $47 million due to the issuance of additional long-term debt.</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provision for income taxes was $1.11 billion compared with $2.40 billion, which includes a discrete tax benefit of $198 million in 2018 and a discrete tax expense of $540 million in 2017. The decrease in our tax provision was due to the enactment of the Tax Act in 2017, which included a reduction in the statutory tax rate in 2018 and the tax on indefinitely reinvested earnings recorded in 2017. The benefits of the Tax Act in 2018 were partially offset by higher income before income taxes. Our effective tax rate, which includes discrete tax items, was 17 percent in 2018 compared with 39 percent in 2017. See Note 5 to the financial statements for a reconciliation of the U.S. statutory income tax rate to our effective tax 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$5.58 billion compared with $3.68 billion. EPS was $5.59 compared with $3.61.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auto"/>
        </w:rPr>
        <w:t>Segment results – 2018 compared with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18"/>
                <w:szCs w:val="18"/>
                <w:color w:val="auto"/>
              </w:rPr>
            </w:pPr>
          </w:p>
        </w:tc>
      </w:tr>
      <w:tr>
        <w:trPr>
          <w:trHeight w:val="212"/>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10,801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Operating profit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5,109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4,468</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219"/>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47.3%</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45.1%</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Analog revenue increased due to Power and, to a lesser extent, Signal Chain, partially offset by a decline in High Volume. Operating profit increased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18"/>
                <w:szCs w:val="18"/>
                <w:color w:val="auto"/>
              </w:rPr>
            </w:pPr>
          </w:p>
        </w:tc>
      </w:tr>
      <w:tr>
        <w:trPr>
          <w:trHeight w:val="212"/>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1,205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1,143</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219"/>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33.9%</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32.7%</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Embedded Processing revenue increased due to Connected Microcontrollers. Processors revenue was about even. Operating profit increased primarily due to higher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CEEFF"/>
            </w:tcBorders>
          </w:tcPr>
          <w:p>
            <w:pPr>
              <w:spacing w:after="0"/>
              <w:rPr>
                <w:sz w:val="18"/>
                <w:szCs w:val="18"/>
                <w:color w:val="auto"/>
              </w:rPr>
            </w:pPr>
          </w:p>
        </w:tc>
      </w:tr>
      <w:tr>
        <w:trPr>
          <w:trHeight w:val="212"/>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Operating profit *</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399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472</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19"/>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27.9%</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30.2%</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Includes acquisition charges and restructuring charges/other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$134 million, and operating profit decreased by $73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2017 compared with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$14.96 billion was up $1.59 billion, or 12 percent, from 2016 due to higher revenue from Analog and Embedded Processing.</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of $9.61 billion was up $1.36 billion, or 16 percent, primarily due to higher revenue. As a percentage of revenue, gross profit increased to 64.3 percent from 61.8 percent.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were $3.20 billion compared with $3.10 billion, as we allocated resources from manufacturing support and SG&amp;A into R&amp;D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$318 million were non-cash.</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Restructuring charges/other was a charge of $11 million compared with a credit of $15 million in 2016. These amounts are included in Other for segment reporting purposes. See Note 12 to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$6.08 billion, or 40.7 percent of revenue, compared with $4.86 billion, or 36.3 percent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$75 million of income compared with $155 million of income in 2016.</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provision for income taxes was $2.40 billion compared with $1.34 billion. The increase was due to the enactment of the Tax Act and, to a lesser extent, higher income before income taxes. Our effective tax rate, which includes discrete tax items, was 39 percent in 2017 compared with 27 percent in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$3.68 billion compared with $3.60 billion. EPS was $3.61 compared with $3.48.</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Segment results – 2017 compared with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18"/>
                <w:szCs w:val="18"/>
                <w:color w:val="auto"/>
              </w:rPr>
            </w:pPr>
          </w:p>
        </w:tc>
      </w:tr>
      <w:tr>
        <w:trPr>
          <w:trHeight w:val="212"/>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13"/>
        </w:trPr>
        <w:tc>
          <w:tcPr>
            <w:tcW w:w="7840" w:type="dxa"/>
            <w:vAlign w:val="bottom"/>
          </w:tcPr>
          <w:p>
            <w:pPr>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4,468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3,416</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r>
      <w:tr>
        <w:trPr>
          <w:trHeight w:val="219"/>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45.1%</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40.0%</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Analog revenue increased due to Power and Signal Chain. High Volume also grew, but to a lesser extent.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18"/>
                <w:szCs w:val="18"/>
                <w:color w:val="auto"/>
              </w:rPr>
            </w:pPr>
          </w:p>
        </w:tc>
      </w:tr>
      <w:tr>
        <w:trPr>
          <w:trHeight w:val="212"/>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13"/>
        </w:trPr>
        <w:tc>
          <w:tcPr>
            <w:tcW w:w="7840" w:type="dxa"/>
            <w:vAlign w:val="bottom"/>
          </w:tcPr>
          <w:p>
            <w:pPr>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817</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r>
      <w:tr>
        <w:trPr>
          <w:trHeight w:val="219"/>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32.7%</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27.0%</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Embedded Processing revenue increased due to growth in both product lines, led by Processors.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CEEFF"/>
            </w:tcBorders>
          </w:tcPr>
          <w:p>
            <w:pPr>
              <w:spacing w:after="0"/>
              <w:rPr>
                <w:sz w:val="18"/>
                <w:szCs w:val="18"/>
                <w:color w:val="auto"/>
              </w:rPr>
            </w:pPr>
          </w:p>
        </w:tc>
      </w:tr>
      <w:tr>
        <w:trPr>
          <w:trHeight w:val="212"/>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Operating profit *</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622</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19"/>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30.2%</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34.3%</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Includes acquisition charges and restructuring charges/other</w:t>
      </w:r>
    </w:p>
    <w:p>
      <w:pPr>
        <w:spacing w:after="0" w:line="2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revenue decreased by $248 million primarily due to custom ASIC products and the recognition of royalties in OI&amp;E instead of revenue, which began in the first quarter of 2017. Operating profit decreased by $150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2018, total cash (cash and cash equivalents plus short-term investments) was $4.23 billion, a decrease of $236 million from the end of 2017.</w:t>
      </w:r>
    </w:p>
    <w:p>
      <w:pPr>
        <w:spacing w:after="0" w:line="24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Accounts receivable were $1.21 billion, a decrease of $71 million compared with the end of 2017. Days sales outstanding at the end of 2018 were 29 compared with 31 at the end of 2017.</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Inventory was $2.22 billion, an increase of $260 million from the end of 2017. Days of inventory at the end of 2018 were 152 compared with 134 at the end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 rate, revolving credit facility. Cash flows from operating activities for 2018 were $7.19 billion, an increase of $1.83 billion from 2017. This increase was due to higher net income, which benefited from a lower effective tax rate.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2023. This credit facility also serves as support for the issuance of commercial paper. As of December 31, 2018, our credit facility was undrawn, and we had no commercial paper outstanding.</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Investing activities for 2018 used $78 million compared with $1.13 billion in 2017. Capital expenditures were $1.13 billion compared with $695 million in 2017 and were primarily for semiconductor manufacturing equipment in both periods. We had sales of short-term investments, net of purchases, that provided cash proceeds of $1.07 billion compared with purchases of short-term investments, net of sales, that used cash of $460 million in 2017. We received $9 million from asset sales compared with $40 million in 2017.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60"/>
        <w:spacing w:after="0" w:line="255" w:lineRule="auto"/>
        <w:rPr>
          <w:sz w:val="20"/>
          <w:szCs w:val="20"/>
          <w:color w:val="auto"/>
        </w:rPr>
      </w:pPr>
      <w:r>
        <w:rPr>
          <w:rFonts w:ascii="Arial" w:cs="Arial" w:eastAsia="Arial" w:hAnsi="Arial"/>
          <w:sz w:val="18"/>
          <w:szCs w:val="18"/>
          <w:color w:val="auto"/>
        </w:rPr>
        <w:t>Financing activities for 2018 used $6.33 billion compared with $3.73 billion in 2017. In 2018, we received net proceeds of $1.50 billion from the issuance of fixed-rate, long-term debt and retired maturing debt of $500 million. In 2017, we received net proceeds of $1.10 billion from the issuance of fixed-rate, long-term debt and retired maturing debt of $625 million. Dividends paid in 2018 were $2.56 billion compared with $2.10 billion in 2017, reflecting an increase in the dividend rate, partially offset by fewer shares outstanding. We used $5.10 billion to repurchase 49.5 million shares of our common stock compared with $2.56 billion used in 2017 to repurchase 30.6 million shares. Employee exercises of stock options provided cash proceeds of $373 million compared with $483 million in 2017.</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had $2.44 billion of cash and cash equivalents and $1.80 billion of short-term investments as of December 31, 2018.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CCEEFF"/>
            </w:tcBorders>
          </w:tcPr>
          <w:p>
            <w:pPr>
              <w:spacing w:after="0"/>
              <w:rPr>
                <w:sz w:val="18"/>
                <w:szCs w:val="18"/>
                <w:color w:val="auto"/>
              </w:rPr>
            </w:pPr>
          </w:p>
        </w:tc>
      </w:tr>
      <w:tr>
        <w:trPr>
          <w:trHeight w:val="212"/>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(GAAP)</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7,189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w:t>
            </w:r>
          </w:p>
        </w:tc>
        <w:tc>
          <w:tcPr>
            <w:tcW w:w="140" w:type="dxa"/>
            <w:vAlign w:val="bottom"/>
            <w:shd w:val="clear" w:color="auto" w:fill="CCEEFF"/>
          </w:tcPr>
          <w:p>
            <w:pPr>
              <w:spacing w:after="0"/>
              <w:rPr>
                <w:sz w:val="18"/>
                <w:szCs w:val="18"/>
                <w:color w:val="auto"/>
              </w:rPr>
            </w:pP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(1,131)</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(695)</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(531)</w:t>
            </w:r>
          </w:p>
        </w:tc>
      </w:tr>
      <w:tr>
        <w:trPr>
          <w:trHeight w:val="210"/>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Free cash flow (non-GAAP)</w:t>
            </w:r>
          </w:p>
        </w:tc>
        <w:tc>
          <w:tcPr>
            <w:tcW w:w="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6,058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r>
      <w:tr>
        <w:trPr>
          <w:trHeight w:val="207"/>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15,784</w:t>
            </w:r>
          </w:p>
        </w:tc>
        <w:tc>
          <w:tcPr>
            <w:tcW w:w="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14,961</w:t>
            </w: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13,370</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as a percent of revenue (GAAP)</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45.5%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r>
      <w:tr>
        <w:trPr>
          <w:trHeight w:val="210"/>
        </w:trPr>
        <w:tc>
          <w:tcPr>
            <w:tcW w:w="7400" w:type="dxa"/>
            <w:vAlign w:val="bottom"/>
          </w:tcPr>
          <w:p>
            <w:pPr>
              <w:spacing w:after="0"/>
              <w:rPr>
                <w:sz w:val="20"/>
                <w:szCs w:val="20"/>
                <w:color w:val="auto"/>
              </w:rPr>
            </w:pPr>
            <w:r>
              <w:rPr>
                <w:rFonts w:ascii="Arial" w:cs="Arial" w:eastAsia="Arial" w:hAnsi="Arial"/>
                <w:sz w:val="16"/>
                <w:szCs w:val="16"/>
                <w:color w:val="auto"/>
              </w:rPr>
              <w:t>Free cash flow as a percent of revenue (non-GAAP)</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38.4%</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30.5%</w:t>
            </w:r>
          </w:p>
        </w:tc>
      </w:tr>
    </w:tbl>
    <w:p>
      <w:pPr>
        <w:spacing w:after="0" w:line="20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0"/>
              </w:rPr>
              <w:t>Payments Due by Period</w:t>
            </w: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Contractual Obligations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2020/2021</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2022/2023</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Thereafter</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8"/>
                <w:szCs w:val="18"/>
                <w:color w:val="auto"/>
              </w:rPr>
            </w:pPr>
          </w:p>
        </w:tc>
      </w:tr>
      <w:tr>
        <w:trPr>
          <w:trHeight w:val="212"/>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(a)</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7,231</w:t>
            </w:r>
          </w:p>
        </w:tc>
        <w:tc>
          <w:tcPr>
            <w:tcW w:w="120" w:type="dxa"/>
            <w:vAlign w:val="bottom"/>
            <w:shd w:val="clear" w:color="auto" w:fill="CCEEFF"/>
          </w:tcPr>
          <w:p>
            <w:pPr>
              <w:spacing w:after="0"/>
              <w:rPr>
                <w:sz w:val="18"/>
                <w:szCs w:val="18"/>
                <w:color w:val="auto"/>
              </w:rPr>
            </w:pPr>
          </w:p>
        </w:tc>
      </w:tr>
      <w:tr>
        <w:trPr>
          <w:trHeight w:val="213"/>
        </w:trPr>
        <w:tc>
          <w:tcPr>
            <w:tcW w:w="5160" w:type="dxa"/>
            <w:vAlign w:val="bottom"/>
            <w:gridSpan w:val="2"/>
          </w:tcPr>
          <w:p>
            <w:pPr>
              <w:spacing w:after="0"/>
              <w:rPr>
                <w:sz w:val="20"/>
                <w:szCs w:val="20"/>
                <w:color w:val="auto"/>
              </w:rPr>
            </w:pPr>
            <w:r>
              <w:rPr>
                <w:rFonts w:ascii="Arial" w:cs="Arial" w:eastAsia="Arial" w:hAnsi="Arial"/>
                <w:sz w:val="16"/>
                <w:szCs w:val="16"/>
                <w:color w:val="auto"/>
              </w:rPr>
              <w:t>Purchase commitments (b)</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8"/>
                <w:szCs w:val="18"/>
                <w:color w:val="auto"/>
              </w:rPr>
            </w:pPr>
          </w:p>
        </w:tc>
      </w:tr>
      <w:tr>
        <w:trPr>
          <w:trHeight w:val="219"/>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on indefinitely reinvested earnings (c)</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9"/>
                <w:szCs w:val="19"/>
                <w:color w:val="auto"/>
              </w:rPr>
            </w:pPr>
          </w:p>
        </w:tc>
      </w:tr>
      <w:tr>
        <w:trPr>
          <w:trHeight w:val="213"/>
        </w:trPr>
        <w:tc>
          <w:tcPr>
            <w:tcW w:w="5160" w:type="dxa"/>
            <w:vAlign w:val="bottom"/>
            <w:gridSpan w:val="2"/>
          </w:tcPr>
          <w:p>
            <w:pPr>
              <w:spacing w:after="0"/>
              <w:rPr>
                <w:sz w:val="20"/>
                <w:szCs w:val="20"/>
                <w:color w:val="auto"/>
              </w:rPr>
            </w:pPr>
            <w:r>
              <w:rPr>
                <w:rFonts w:ascii="Arial" w:cs="Arial" w:eastAsia="Arial" w:hAnsi="Arial"/>
                <w:sz w:val="16"/>
                <w:szCs w:val="16"/>
                <w:color w:val="auto"/>
              </w:rPr>
              <w:t>Operating leases (d)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r>
      <w:tr>
        <w:trPr>
          <w:trHeight w:val="219"/>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compensation plans (e)</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3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r>
      <w:tr>
        <w:trPr>
          <w:trHeight w:val="207"/>
        </w:trPr>
        <w:tc>
          <w:tcPr>
            <w:tcW w:w="5160" w:type="dxa"/>
            <w:vAlign w:val="bottom"/>
            <w:gridSpan w:val="2"/>
          </w:tcPr>
          <w:p>
            <w:pPr>
              <w:spacing w:after="0"/>
              <w:rPr>
                <w:sz w:val="20"/>
                <w:szCs w:val="20"/>
                <w:color w:val="auto"/>
              </w:rPr>
            </w:pPr>
            <w:r>
              <w:rPr>
                <w:rFonts w:ascii="Arial" w:cs="Arial" w:eastAsia="Arial" w:hAnsi="Arial"/>
                <w:sz w:val="16"/>
                <w:szCs w:val="16"/>
                <w:color w:val="auto"/>
              </w:rPr>
              <w:t>Total (f)</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1,348</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1,924</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1,476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4,345</w:t>
            </w:r>
          </w:p>
        </w:tc>
        <w:tc>
          <w:tcPr>
            <w:tcW w:w="3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9,093</w:t>
            </w:r>
          </w:p>
        </w:tc>
        <w:tc>
          <w:tcPr>
            <w:tcW w:w="12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Principal and related interest payments for our long-term debt obligations, including amounts classified as the current portion of long-term debt.</w:t>
      </w:r>
    </w:p>
    <w:p>
      <w:pPr>
        <w:spacing w:after="0" w:line="128" w:lineRule="exact"/>
        <w:rPr>
          <w:rFonts w:ascii="Arial" w:cs="Arial" w:eastAsia="Arial" w:hAnsi="Arial"/>
          <w:sz w:val="17"/>
          <w:szCs w:val="17"/>
          <w:color w:val="auto"/>
        </w:rPr>
      </w:pPr>
    </w:p>
    <w:p>
      <w:pPr>
        <w:ind w:left="460" w:right="1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payments for software licenses and contractual arrangements with suppliers when there is a fixed, non-cancellable payment schedule or when minimum payments are due with a reduced delivery schedule. Excludes cancellable arrangements.</w:t>
      </w:r>
    </w:p>
    <w:p>
      <w:pPr>
        <w:spacing w:after="0" w:line="62" w:lineRule="exact"/>
        <w:rPr>
          <w:rFonts w:ascii="Arial" w:cs="Arial" w:eastAsia="Arial" w:hAnsi="Arial"/>
          <w:sz w:val="18"/>
          <w:szCs w:val="18"/>
          <w:color w:val="auto"/>
        </w:rPr>
      </w:pPr>
    </w:p>
    <w:p>
      <w:pPr>
        <w:ind w:left="480" w:right="540" w:hanging="472"/>
        <w:spacing w:after="0" w:line="277"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payments for the one-time transition tax on our indefinitely reinvested earnings related to the enactment of the Tax Act. See Note 5 to the financial statements for more details.</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minimum payments for leased facilities and equipment and purchases of industrial gases under contracts accounted for as operating leases.</w:t>
      </w:r>
    </w:p>
    <w:p>
      <w:pPr>
        <w:spacing w:after="0" w:line="140" w:lineRule="exact"/>
        <w:rPr>
          <w:rFonts w:ascii="Arial" w:cs="Arial" w:eastAsia="Arial" w:hAnsi="Arial"/>
          <w:sz w:val="16"/>
          <w:szCs w:val="16"/>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Estimated payments for certain liabilities that existed as of December 31, 2018.</w:t>
      </w:r>
    </w:p>
    <w:p>
      <w:pPr>
        <w:spacing w:after="0" w:line="117" w:lineRule="exact"/>
        <w:rPr>
          <w:rFonts w:ascii="Arial" w:cs="Arial" w:eastAsia="Arial" w:hAnsi="Arial"/>
          <w:sz w:val="18"/>
          <w:szCs w:val="18"/>
          <w:color w:val="auto"/>
        </w:rPr>
      </w:pPr>
    </w:p>
    <w:p>
      <w:pPr>
        <w:ind w:left="480" w:right="60" w:hanging="472"/>
        <w:spacing w:after="0" w:line="276"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Excludes $286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$50 million in 2019, but funding projections beyond 2019 are not practical to estimate due to the rules affecting tax-deductible contributions and the impact from the plans’ asset performance, interest rates and potential U.S. and non-U.S. legislation.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accounting policies are more fully described in Note 2 of the consolidated financial statements. As disclosed in Note 2, the preparation of consolidated financial statements in conformity with accounting principles generally accepted in the United States requires management to make estimates and assumptions about future events that affect the amounts reported in the financial statements and accompanying notes. However, based on facts and circumstances inherent in developing estimates and assumptions,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management’s assessment of the revenue recognition criteria, we usually recognize revenue from sales of our products to distributors upon shipment or delivery to the distributors. For our consignment arrangements with distributors, delivery occurs when the distributor pulls product from consignment inventory that we store at designated locations. Recognition is not contingent upon resale of the products to the distributors’ customers in either scenario.</w:t>
      </w:r>
    </w:p>
    <w:p>
      <w:pPr>
        <w:spacing w:after="0" w:line="14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Revenue is recognized net of allowances, which are management’s estimates of future credits to be granted to distributors under programs common in the semiconductor industry. These allowances are not material and generally include special pricing arrangements, product returns due to quality issues, and incentives designed to maximize growth opportunities.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Allowances are based on analysis of historical data and contractual terms and are recorded when revenue is recognized. We believe we can reasonably and reliably estimate allowances for credits to distributors in a timely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right="20"/>
        <w:spacing w:after="0" w:line="257"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United States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impact on our assessment of taxable income in future periods. These changes, if any, may require material adjustments to the deferred tax assets and an accompanying reduction or increase in net income in the period when such determinations are made. Also, our plans for the permanent reinvestment or eventual repatriation of the accumulated earnings of certain non-U.S. operations could change. Such changes could have a material effect on tax expense in future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Statistical allowances are determined quarterly for raw materials and work-in-process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judged unlikely to be sold. A specific allowance for each material type will be carried if there is a significant event not captured by the statistical allowance. Examples are an end-of-life part or demand with imminent risk of cancellation. Allowances are also calculated quarterly for instances where inventoried costs for individual products are in excess of the net realizable value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information on new accounting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no significant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for a discussion of our commitments and contingencies.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U.S. dollar is our functional currency for financial reporting. Our non-U.S. entities own assets or liabilities denominated in U.S. dollars or other currencies. Exchange rate fluctuations impact taxable income in those jurisdictions, and consequently impact our effective tax rate.</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balance sheet also reflects amounts remeasured from non-U.S. dollar currencies. Because most of the aggregate non-U.S. dollar balance sheet exposure is hedged by forward currency exchange contracts, based on year-end 2018 balances and currency exchange rates, a hypothetical 10 percent plus or minus fluctuation in non-U.S. currency exchange rates relative to the U.S. dollar would result in a pre-tax currency exchange gain or loss of about $3 million.</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use these forward currency exchange contracts to reduce the earnings impact that exchange rate fluctuations may have on our non-U.S. dollar net balance sheet exposures. For example, at year-end 2018, we had forward currency exchange contracts outstanding with a notional value of $525 million to hedge net balance sheet exposures (including $160 million to sell Japanese yen, $99 million to sell euros and $94 million to sell Indian rupees). Similar hedging activities existed at year-end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have the following potential exposure to changes in interest rates: (1) the effect of changes in interest rates on the fair value of our investments in cash equivalents and short-term investments, which could produce a gain or a loss; and (2) the effect of changes in interest rates on the fair value of our debt.</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2018, a hypothetical 100 basis point increase in interest rates would decrease the fair value of our investments in cash equivalents and short-term investments by about $4 million and decrease the fair value of our long-term debt by $330 million. Because interest rates on our long-term debt are fixed, changes in interest rates would not affect the cash flows associated with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Long-term investments at year-end 2018 include the following:</w:t>
      </w:r>
    </w:p>
    <w:p>
      <w:pPr>
        <w:spacing w:after="0" w:line="225" w:lineRule="exact"/>
        <w:rPr>
          <w:sz w:val="20"/>
          <w:szCs w:val="20"/>
          <w:color w:val="auto"/>
        </w:rPr>
      </w:pPr>
    </w:p>
    <w:p>
      <w:pPr>
        <w:ind w:left="1040" w:right="3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mutual funds </w:t>
      </w:r>
      <w:r>
        <w:rPr>
          <w:rFonts w:ascii="Arial" w:cs="Arial" w:eastAsia="Arial" w:hAnsi="Arial"/>
          <w:sz w:val="18"/>
          <w:szCs w:val="18"/>
          <w:color w:val="auto"/>
        </w:rPr>
        <w:t>– includes mutual funds that were selected to generate returns that offset changes in certain liabilities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arrangements. The mutual funds hold a variety of debt and equity investments.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venture capital funds </w:t>
      </w:r>
      <w:r>
        <w:rPr>
          <w:rFonts w:ascii="Arial" w:cs="Arial" w:eastAsia="Arial" w:hAnsi="Arial"/>
          <w:sz w:val="18"/>
          <w:szCs w:val="18"/>
          <w:color w:val="auto"/>
        </w:rPr>
        <w:t>– includes investments in limited partnerships (accounted for under either the equity method or at cost as</w:t>
      </w:r>
      <w:r>
        <w:rPr>
          <w:rFonts w:ascii="Arial" w:cs="Arial" w:eastAsia="Arial" w:hAnsi="Arial"/>
          <w:sz w:val="18"/>
          <w:szCs w:val="18"/>
          <w:i w:val="1"/>
          <w:iCs w:val="1"/>
          <w:color w:val="auto"/>
        </w:rPr>
        <w:t xml:space="preserve"> </w:t>
      </w:r>
      <w:r>
        <w:rPr>
          <w:rFonts w:ascii="Arial" w:cs="Arial" w:eastAsia="Arial" w:hAnsi="Arial"/>
          <w:sz w:val="18"/>
          <w:szCs w:val="18"/>
          <w:color w:val="auto"/>
        </w:rPr>
        <w:t>non-marketable equity securities).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 includes non-marketable (non-publicly traded) equity securities.</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Non-marketable equity securities and certain venture capital funds are stated at cost minus impairment, if any, plus or minus changes resulting from qualifying observable price changes. Investments in the remaining venture capital funds are stated using the equity method. See Note 7 to the financial statements for details of equity and other long-term investments.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 of Financial Statements (Item 15(a))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for each of the three years in the period ended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each of the three years in the period ended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Balance sheets as of December 31,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each of the three years in the period ended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for each of the three years in the period ended December 31, 2018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3"/>
        </w:trPr>
        <w:tc>
          <w:tcPr>
            <w:tcW w:w="780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180" w:type="dxa"/>
            <w:vAlign w:val="bottom"/>
          </w:tcPr>
          <w:p>
            <w:pPr>
              <w:spacing w:after="0"/>
              <w:rPr>
                <w:sz w:val="18"/>
                <w:szCs w:val="18"/>
                <w:color w:val="auto"/>
              </w:rPr>
            </w:pPr>
          </w:p>
        </w:tc>
        <w:tc>
          <w:tcPr>
            <w:tcW w:w="266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15,784</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5,507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5,347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10,277</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9,614</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1,559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318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7"/>
        </w:trPr>
        <w:tc>
          <w:tcPr>
            <w:tcW w:w="780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6,713</w:t>
            </w: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6,083</w:t>
            </w:r>
          </w:p>
        </w:tc>
        <w:tc>
          <w:tcPr>
            <w:tcW w:w="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6,686</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1,106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5,580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5.71</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3.68</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970</w:t>
            </w:r>
          </w:p>
        </w:tc>
        <w:tc>
          <w:tcPr>
            <w:tcW w:w="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w:t>
            </w:r>
          </w:p>
        </w:tc>
        <w:tc>
          <w:tcPr>
            <w:tcW w:w="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w:t>
            </w: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3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5,580</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3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78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5,538</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3"/>
        </w:trPr>
        <w:tc>
          <w:tcPr>
            <w:tcW w:w="780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00" w:type="dxa"/>
            <w:vAlign w:val="bottom"/>
          </w:tcPr>
          <w:p>
            <w:pPr>
              <w:spacing w:after="0"/>
              <w:rPr>
                <w:sz w:val="18"/>
                <w:szCs w:val="18"/>
                <w:color w:val="auto"/>
              </w:rPr>
            </w:pPr>
          </w:p>
        </w:tc>
        <w:tc>
          <w:tcPr>
            <w:tcW w:w="264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5,580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120" w:type="dxa"/>
            <w:vAlign w:val="bottom"/>
            <w:shd w:val="clear" w:color="auto" w:fill="CCEEFF"/>
          </w:tcPr>
          <w:p>
            <w:pPr>
              <w:spacing w:after="0"/>
              <w:rPr>
                <w:sz w:val="18"/>
                <w:szCs w:val="18"/>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losses of defined benefit plans: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Adjustment, net of tax effect of $35, ($26) and $6</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(98)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 net of tax effect of ($15), ($27) and ($25)</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Prior service credit of defined benefit plans: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Adjustment, net of tax effect of $1, $1 and $0</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Recognized within net income, net of tax effect of $1, $1 and $2</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Change in fair value, net of tax effect of $1, $0 and $0</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 net of tax effect of $0, $0 and $0</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7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3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3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5,521</w:t>
            </w: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380" w:type="dxa"/>
            <w:vAlign w:val="bottom"/>
          </w:tcPr>
          <w:p>
            <w:pPr>
              <w:spacing w:after="0"/>
              <w:rPr>
                <w:sz w:val="18"/>
                <w:szCs w:val="18"/>
                <w:color w:val="auto"/>
              </w:rPr>
            </w:pPr>
          </w:p>
        </w:tc>
        <w:tc>
          <w:tcPr>
            <w:tcW w:w="2100" w:type="dxa"/>
            <w:vAlign w:val="bottom"/>
            <w:gridSpan w:val="3"/>
          </w:tcPr>
          <w:p>
            <w:pPr>
              <w:jc w:val="right"/>
              <w:ind w:right="104"/>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18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2,438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1,795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Accounts receivable, net of allowances of ($19) and ($8)</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1,207</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Work in process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1,070</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tcBorders>
              <w:bottom w:val="single" w:sz="8" w:color="CFF0FC"/>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966</w:t>
            </w:r>
          </w:p>
        </w:tc>
        <w:tc>
          <w:tcPr>
            <w:tcW w:w="2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Inventories</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2,217</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w:t>
            </w:r>
          </w:p>
        </w:tc>
        <w:tc>
          <w:tcPr>
            <w:tcW w:w="28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8,097</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5,425</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Accumulated depreciation</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(2,242)</w:t>
            </w: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3,183</w:t>
            </w:r>
          </w:p>
        </w:tc>
        <w:tc>
          <w:tcPr>
            <w:tcW w:w="280" w:type="dxa"/>
            <w:vAlign w:val="bottom"/>
            <w:tcBorders>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251</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Acquisition-related intangibles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628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Deferred tax assets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Capitalized software licenses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140</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2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17,137</w:t>
            </w:r>
          </w:p>
        </w:tc>
        <w:tc>
          <w:tcPr>
            <w:tcW w:w="280" w:type="dxa"/>
            <w:vAlign w:val="bottom"/>
          </w:tcPr>
          <w:p>
            <w:pPr>
              <w:spacing w:after="0"/>
              <w:rPr>
                <w:sz w:val="21"/>
                <w:szCs w:val="21"/>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380" w:type="dxa"/>
            <w:vAlign w:val="bottom"/>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280" w:type="dxa"/>
            <w:vAlign w:val="bottom"/>
          </w:tcPr>
          <w:p>
            <w:pPr>
              <w:spacing w:after="0"/>
              <w:rPr>
                <w:sz w:val="18"/>
                <w:szCs w:val="18"/>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724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103</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w:t>
            </w:r>
          </w:p>
        </w:tc>
        <w:tc>
          <w:tcPr>
            <w:tcW w:w="2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2,474</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4,319</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Underfunded retirement plans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Deferred tax liabilities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1,190</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8,143</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3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Participating cumulative preferred – None issued</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Shares issued – 1,740,815,939</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1,741</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1,950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37,906</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Shares: 2018 – 795,665,646; 2017 – 757,657,217</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(32,130)</w:t>
            </w: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(473)</w:t>
            </w:r>
          </w:p>
        </w:tc>
        <w:tc>
          <w:tcPr>
            <w:tcW w:w="5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8,994</w:t>
            </w:r>
          </w:p>
        </w:tc>
        <w:tc>
          <w:tcPr>
            <w:tcW w:w="2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10,337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17,137</w:t>
            </w:r>
          </w:p>
        </w:tc>
        <w:tc>
          <w:tcPr>
            <w:tcW w:w="280" w:type="dxa"/>
            <w:vAlign w:val="bottom"/>
          </w:tcPr>
          <w:p>
            <w:pPr>
              <w:spacing w:after="0"/>
              <w:rPr>
                <w:sz w:val="17"/>
                <w:szCs w:val="17"/>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3"/>
        </w:trPr>
        <w:tc>
          <w:tcPr>
            <w:tcW w:w="780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8"/>
                <w:szCs w:val="18"/>
                <w:color w:val="auto"/>
              </w:rPr>
            </w:pPr>
          </w:p>
        </w:tc>
        <w:tc>
          <w:tcPr>
            <w:tcW w:w="2660" w:type="dxa"/>
            <w:vAlign w:val="bottom"/>
            <w:gridSpan w:val="7"/>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5,580</w:t>
            </w: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3,682</w:t>
            </w:r>
          </w:p>
        </w:tc>
        <w:tc>
          <w:tcPr>
            <w:tcW w:w="3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Gains on sales of assets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Deferred taxes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(167)</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(1,131)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(695)</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(5,641)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(4,555)</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(1,127)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(625)</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(2,555)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(2,104)</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(5,100)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(2,556)</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(6,329)</w:t>
            </w:r>
          </w:p>
        </w:tc>
        <w:tc>
          <w:tcPr>
            <w:tcW w:w="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(3,734)</w:t>
            </w:r>
          </w:p>
        </w:tc>
        <w:tc>
          <w:tcPr>
            <w:tcW w:w="2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(3,810)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3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00" w:type="dxa"/>
            <w:vAlign w:val="bottom"/>
            <w:gridSpan w:val="3"/>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2,438</w:t>
            </w:r>
          </w:p>
        </w:tc>
        <w:tc>
          <w:tcPr>
            <w:tcW w:w="20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1,656</w:t>
            </w:r>
          </w:p>
        </w:tc>
        <w:tc>
          <w:tcPr>
            <w:tcW w:w="36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7"/>
              </w:rPr>
              <w:t>Retained</w:t>
            </w:r>
          </w:p>
        </w:tc>
        <w:tc>
          <w:tcPr>
            <w:tcW w:w="14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Common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Stockholders’ Equity</w:t>
            </w:r>
          </w:p>
        </w:tc>
        <w:tc>
          <w:tcPr>
            <w:tcW w:w="140" w:type="dxa"/>
            <w:vAlign w:val="bottom"/>
          </w:tcPr>
          <w:p>
            <w:pPr>
              <w:spacing w:after="0"/>
              <w:rPr>
                <w:sz w:val="19"/>
                <w:szCs w:val="19"/>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6"/>
              </w:rPr>
              <w:t>Earnings</w:t>
            </w:r>
          </w:p>
        </w:tc>
        <w:tc>
          <w:tcPr>
            <w:tcW w:w="14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Stock</w:t>
            </w: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per-share amounts)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(24,068)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Dividends declared and paid ($1.64 per share)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(1,646)</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(2,132)</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Stock compensation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Dividend equivalents paid on restricted stock units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6"/>
                <w:szCs w:val="16"/>
                <w:color w:val="auto"/>
              </w:rPr>
              <w:t>Balance, December 31, 2016</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33,107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(25,523)</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gridSpan w:val="2"/>
          </w:tcPr>
          <w:p>
            <w:pPr>
              <w:spacing w:after="0"/>
              <w:rPr>
                <w:sz w:val="20"/>
                <w:szCs w:val="20"/>
                <w:color w:val="auto"/>
              </w:rPr>
            </w:pPr>
            <w:r>
              <w:rPr>
                <w:rFonts w:ascii="Arial" w:cs="Arial" w:eastAsia="Arial" w:hAnsi="Arial"/>
                <w:sz w:val="16"/>
                <w:szCs w:val="16"/>
                <w:color w:val="auto"/>
              </w:rPr>
              <w:t>2017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Dividends declared and paid ($2.12 per share)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(2,104)</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(2,556)</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compensation</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Dividend equivalents paid on restricted stock units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Balance, December 31, 2017</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(27,458)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5,580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Dividends declared and paid ($2.63 per share)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(2,555)</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b w:val="1"/>
                <w:bCs w:val="1"/>
                <w:color w:val="auto"/>
              </w:rPr>
              <w:t>Common stock issued for stock-based awards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(55)</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Stock repurchases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(5,100)</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 compensation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Other comprehensive income (loss), net of taxes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b w:val="1"/>
                <w:bCs w:val="1"/>
                <w:color w:val="auto"/>
              </w:rPr>
              <w:t>Dividend equivalents paid on restricted stock units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(17)</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Cumulative effect of accounting changes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Balance,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37,906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(32,130)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5280" w:type="dxa"/>
            <w:vAlign w:val="bottom"/>
            <w:gridSpan w:val="3"/>
          </w:tcPr>
          <w:p>
            <w:pPr>
              <w:spacing w:after="0"/>
              <w:rPr>
                <w:sz w:val="20"/>
                <w:szCs w:val="20"/>
                <w:color w:val="auto"/>
              </w:rPr>
            </w:pPr>
            <w:r>
              <w:rPr>
                <w:rFonts w:ascii="Arial" w:cs="Arial" w:eastAsia="Arial" w:hAnsi="Arial"/>
                <w:sz w:val="16"/>
                <w:szCs w:val="16"/>
                <w:color w:val="auto"/>
              </w:rPr>
              <w:t>See accompanying notes.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5"/>
          <w:szCs w:val="15"/>
          <w:color w:val="auto"/>
        </w:rPr>
        <w:t>®</w:t>
      </w:r>
      <w:r>
        <w:rPr>
          <w:rFonts w:ascii="Arial" w:cs="Arial" w:eastAsia="Arial" w:hAnsi="Arial"/>
          <w:sz w:val="18"/>
          <w:szCs w:val="18"/>
          <w:color w:val="auto"/>
        </w:rPr>
        <w:t xml:space="preserve"> products, calculators and custom ASIC products.</w:t>
      </w:r>
    </w:p>
    <w:p>
      <w:pPr>
        <w:spacing w:after="0" w:line="181"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In Other, we also include items that are not used in evaluating the results of or in allocating resources to our segments. Examples of these items include acquisition charges (see Note 8); restructuring charges (see Note 12);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5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consistent with those described below in the summary of significant accounting policies and practices.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rPr>
              <w:t>Analog</w:t>
            </w:r>
          </w:p>
        </w:tc>
        <w:tc>
          <w:tcPr>
            <w:tcW w:w="33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10,801</w:t>
            </w:r>
          </w:p>
        </w:tc>
        <w:tc>
          <w:tcPr>
            <w:tcW w:w="3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9,900</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3,554</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3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1,429</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w:t>
            </w: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15,784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rPr>
              <w:t>Analog</w:t>
            </w:r>
          </w:p>
        </w:tc>
        <w:tc>
          <w:tcPr>
            <w:tcW w:w="33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5,109</w:t>
            </w:r>
          </w:p>
        </w:tc>
        <w:tc>
          <w:tcPr>
            <w:tcW w:w="3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4,468</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1,205</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3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399</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6,713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following geographic area information includes revenue, based on product shipment destination, and property, plant and equipment, based on physical location.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00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CEEFF"/>
            </w:tcBorders>
          </w:tcPr>
          <w:p>
            <w:pPr>
              <w:spacing w:after="0"/>
              <w:rPr>
                <w:sz w:val="18"/>
                <w:szCs w:val="18"/>
                <w:color w:val="auto"/>
              </w:rPr>
            </w:pPr>
          </w:p>
        </w:tc>
      </w:tr>
      <w:tr>
        <w:trPr>
          <w:trHeight w:val="212"/>
        </w:trPr>
        <w:tc>
          <w:tcPr>
            <w:tcW w:w="5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50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30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2,288</w:t>
            </w:r>
          </w:p>
        </w:tc>
        <w:tc>
          <w:tcPr>
            <w:tcW w:w="3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1,901</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1,682</w:t>
            </w:r>
          </w:p>
        </w:tc>
        <w:tc>
          <w:tcPr>
            <w:tcW w:w="120" w:type="dxa"/>
            <w:vAlign w:val="bottom"/>
          </w:tcPr>
          <w:p>
            <w:pPr>
              <w:spacing w:after="0"/>
              <w:rPr>
                <w:sz w:val="18"/>
                <w:szCs w:val="18"/>
                <w:color w:val="auto"/>
              </w:rPr>
            </w:pPr>
          </w:p>
        </w:tc>
      </w:tr>
      <w:tr>
        <w:trPr>
          <w:trHeight w:val="219"/>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2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9,240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8,824</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8,024</w:t>
            </w:r>
          </w:p>
        </w:tc>
        <w:tc>
          <w:tcPr>
            <w:tcW w:w="120" w:type="dxa"/>
            <w:vAlign w:val="bottom"/>
            <w:shd w:val="clear" w:color="auto" w:fill="CCEEFF"/>
          </w:tcPr>
          <w:p>
            <w:pPr>
              <w:spacing w:after="0"/>
              <w:rPr>
                <w:sz w:val="19"/>
                <w:szCs w:val="19"/>
                <w:color w:val="auto"/>
              </w:rPr>
            </w:pPr>
          </w:p>
        </w:tc>
      </w:tr>
      <w:tr>
        <w:trPr>
          <w:trHeight w:val="213"/>
        </w:trPr>
        <w:tc>
          <w:tcPr>
            <w:tcW w:w="50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3,047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2,393</w:t>
            </w:r>
          </w:p>
        </w:tc>
        <w:tc>
          <w:tcPr>
            <w:tcW w:w="120" w:type="dxa"/>
            <w:vAlign w:val="bottom"/>
          </w:tcPr>
          <w:p>
            <w:pPr>
              <w:spacing w:after="0"/>
              <w:rPr>
                <w:sz w:val="18"/>
                <w:szCs w:val="18"/>
                <w:color w:val="auto"/>
              </w:rPr>
            </w:pPr>
          </w:p>
        </w:tc>
      </w:tr>
      <w:tr>
        <w:trPr>
          <w:trHeight w:val="219"/>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2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869</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20" w:type="dxa"/>
            <w:vAlign w:val="bottom"/>
            <w:shd w:val="clear" w:color="auto" w:fill="CCEEFF"/>
          </w:tcPr>
          <w:p>
            <w:pPr>
              <w:spacing w:after="0"/>
              <w:rPr>
                <w:sz w:val="19"/>
                <w:szCs w:val="19"/>
                <w:color w:val="auto"/>
              </w:rPr>
            </w:pPr>
          </w:p>
        </w:tc>
      </w:tr>
      <w:tr>
        <w:trPr>
          <w:trHeight w:val="213"/>
        </w:trPr>
        <w:tc>
          <w:tcPr>
            <w:tcW w:w="5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2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15,784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13,370</w:t>
            </w:r>
          </w:p>
        </w:tc>
        <w:tc>
          <w:tcPr>
            <w:tcW w:w="120" w:type="dxa"/>
            <w:vAlign w:val="bottom"/>
            <w:shd w:val="clear" w:color="auto" w:fill="CCEEFF"/>
          </w:tcPr>
          <w:p>
            <w:pPr>
              <w:spacing w:after="0"/>
              <w:rPr>
                <w:sz w:val="18"/>
                <w:szCs w:val="18"/>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from products shipped into China was $7.0 billion, $6.6 billion and $6.0 billion in 2018, 2017 and 2016, respectively.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ind w:left="52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9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91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1,812</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r>
      <w:tr>
        <w:trPr>
          <w:trHeight w:val="219"/>
        </w:trPr>
        <w:tc>
          <w:tcPr>
            <w:tcW w:w="9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9"/>
                <w:szCs w:val="19"/>
                <w:color w:val="auto"/>
              </w:rPr>
            </w:pPr>
          </w:p>
        </w:tc>
      </w:tr>
      <w:tr>
        <w:trPr>
          <w:trHeight w:val="213"/>
        </w:trPr>
        <w:tc>
          <w:tcPr>
            <w:tcW w:w="912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r>
      <w:tr>
        <w:trPr>
          <w:trHeight w:val="219"/>
        </w:trPr>
        <w:tc>
          <w:tcPr>
            <w:tcW w:w="9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r>
      <w:tr>
        <w:trPr>
          <w:trHeight w:val="213"/>
        </w:trPr>
        <w:tc>
          <w:tcPr>
            <w:tcW w:w="9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Total property, plant and equipment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00" w:type="dxa"/>
            <w:vAlign w:val="bottom"/>
            <w:shd w:val="clear" w:color="auto" w:fill="CCEEFF"/>
          </w:tcPr>
          <w:p>
            <w:pPr>
              <w:spacing w:after="0"/>
              <w:rPr>
                <w:sz w:val="18"/>
                <w:szCs w:val="18"/>
                <w:color w:val="auto"/>
              </w:rPr>
            </w:pP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520" w:right="18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plant and equipment at our two sites in the Philippines was $437 million as of December 31, 2018 and 2017. Property, plant and equipment at our sites in China was $313 million and $236 million as of December 31, 2018 and 2017, respectively.</w:t>
      </w:r>
    </w:p>
    <w:p>
      <w:pPr>
        <w:spacing w:after="0" w:line="373"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The basis of these financial statements is comparable for all periods presented herein, except for the effects of adopting a new accounting standard in 2018 related to revenue recognition.</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2018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generate revenue primarily from the sale of semiconductor products, either directly to a customer or to a distributor, or at the conclusion of a consignment process. We have a variety of types of contracts with our customers and distributors. In determining whether a contract exists, we evaluate the terms of the arrangement, the relationship with the customer or distributor and their ability to pay.</w:t>
      </w:r>
    </w:p>
    <w:p>
      <w:pPr>
        <w:spacing w:after="0" w:line="190"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We recognize revenue from sales of our products, including sales to our distributors, when control is transferred. Control is considered transferred when title and risk of loss pass, when the customer becomes obligated to pay and, where required, when the customer has accepted the products. This transfer generally occurs at a point in time upon shipment or delivery to the customer or distributor, depending upon the terms of the sales order. Payment for sales to customers and distributors is generally due on our standard commercial terms. For sales to distributors, payment is not contingent upon resale of the products.</w:t>
      </w:r>
    </w:p>
    <w:p>
      <w:pPr>
        <w:spacing w:after="0" w:line="15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Revenue from sales of our products that are subject to inventory consignment agreements is recognized at a point in time, when the customer or distributor pulls product from consignment inventory that we store at designated locations. Transfer of control occurs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revenue recognized is adjusted based on allowances, which are prepared on a portfolio basis using a most likely amount methodology based on analysis of historical data and contractual terms. These allowances, which are not material, generally include adjustments for pricing arrangements, product returns and incentives. The length of time between invoicing and payment is not significant under any of our payment terms. In instances where the timing of revenue recognition differs from the timing of invoicing, we have determined our contracts generally do not include a significant financing component.</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accounts receivable aging. When collection is at risk, we assess the impact on amounts recorded for bad debts and, if necessary, record a charge in the period such determination is made.</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recognize shipping fees, if any, received from customers in revenue. We include the related shipping and handling costs in cost of revenue. The majority of our customers pay these fees directly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expense advertising and other promotional costs as incurred. This expense was $34 million, $39 million and $44 million in 2018, 2017 and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or all of the deferred tax assets will not be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assessed taxes</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rPr>
              <w:t>For Years Ended December 31,</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Net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Net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2"/>
              </w:rPr>
              <w:t>Income</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EPS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2"/>
              </w:rPr>
              <w:t>Income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3"/>
              </w:rPr>
              <w:t>Shares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Income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7"/>
              </w:rPr>
              <w:t>Shares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5,580</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3,682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3,595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Income allocated to RSUs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(43)</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3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5,537</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970</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5.71</w:t>
            </w:r>
          </w:p>
        </w:tc>
        <w:tc>
          <w:tcPr>
            <w:tcW w:w="2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3,648</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991</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3.68</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3,550</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1,003</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Dilutive effect of stock compensation plans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5,580</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3,682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3,595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Income allocated to RSUs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(42)</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3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5,538</w:t>
            </w:r>
          </w:p>
        </w:tc>
        <w:tc>
          <w:tcPr>
            <w:tcW w:w="2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990</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5.59</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3,649</w:t>
            </w:r>
          </w:p>
        </w:tc>
        <w:tc>
          <w:tcPr>
            <w:tcW w:w="2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3,551</w:t>
            </w:r>
          </w:p>
        </w:tc>
        <w:tc>
          <w:tcPr>
            <w:tcW w:w="2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Potentially dilutive securities representing 4 million and 6 million shares of common stock that were outstanding in 2018 and 2017, respectively, were excluded from the computation of diluted earnings per common share during these periods because their effect would have been anti-dilutive. No potentially dilutive securities were excluded from the computation of diluted earnings per common share during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present investments on our Consolidated Balance Sheets as cash equivalents, short-term investments or long-term investments, which are detailed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additional information.</w:t>
      </w:r>
    </w:p>
    <w:p>
      <w:pPr>
        <w:spacing w:after="0" w:line="211" w:lineRule="exact"/>
        <w:rPr>
          <w:sz w:val="20"/>
          <w:szCs w:val="20"/>
          <w:color w:val="auto"/>
        </w:rPr>
      </w:pPr>
    </w:p>
    <w:p>
      <w:pPr>
        <w:ind w:left="1040" w:hanging="519"/>
        <w:spacing w:after="0" w:line="25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We consider investments in available-for-sale debt securities with maturities of 90 days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date of our investment to be cash equivalents. We consider investments in available-for-sale debt securities with maturities beyond 90 days from the date of our investment as being available for use in current operations and include them in short-term investments. The primary objectives of our cash equivalent and short-term investment activities are to preserve capital and maintain liquidity while generating appropriate returns.</w:t>
      </w:r>
    </w:p>
    <w:p>
      <w:pPr>
        <w:spacing w:after="0" w:line="80"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Long-term investments </w:t>
      </w:r>
      <w:r>
        <w:rPr>
          <w:rFonts w:ascii="Arial" w:cs="Arial" w:eastAsia="Arial" w:hAnsi="Arial"/>
          <w:sz w:val="17"/>
          <w:szCs w:val="17"/>
          <w:color w:val="auto"/>
        </w:rPr>
        <w:t>– Long-term investments consist of mutual funds, venture capital funds and non-marketable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 Consigned inventory was $314 million and $303 million as of December 31, 2018 and 2017, respectively.</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acquisition-related intangibles; and other capitalized costs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Impairments of long-lived assets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Goodwill is reviewed for impairment annually or more frequently if certain impairment indicators arise. We perform our annual goodwill impairment test as of October 1 for our reporting units, which compares the fair value for each reporting unit to its associated carrying value, including goodwill. See Note 8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functional currency for our non-U.S. subsidiaries is the U.S. dollar. Accounts recorded in currencies other than the U.S. dollar are remeasured into the functional currency. Current assets (except inventories), deferred taxes, other assets,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remeasured at the appropriate daily rate of exchange. Currency exchange gains and losses from remeasurement are credited or charged to OI&amp;E.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 Update (ASU) No. 2014-09, Revenue from Contracts with Customers (Topic 606)</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This standard provides a single set of guidelines for revenue recognition to be used across all industries and requires additional disclosures. We adopted Accounting Standards Codification Topic 606 (ASC 606) as of January 1, 2018, using the modified retrospective transition method applied only to contracts that were not completed as of the adoption date. The reported results for 2018 reflect the application of the new accounting guidance, while the reported results for prior period amounts are not adjusted and continue to be reported in accordance with our historical accounting under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most significant impact from adopting the standard relates to our accounting for royalty income on licenses of intellectual property; however, the effect of such change during any individual reporting period will not materially impact our results of operations and financial position. Although royalty income is recorded within OI&amp;E, the new revenue guidance applies to these agreements by analogy, and therefore, such agreements have been evaluated for ASC 606 transition considerations. Under ASC 606, royalty income for our fixed-rate royalty agreements is bifurcated between two performance obligations: providing a right to use our initial patent portfolio and the right to access our future patents when those patents are developed. We have determined that the value of these agreements is allocated more heavily to the initial performance obligation. As a result, income from these agreements is recognized predominately at the time of contract execution rather than ratably over the life of the agreements, accelerating the timing of when we recognize royalty income in OI&amp;E.</w:t>
      </w:r>
    </w:p>
    <w:p>
      <w:pPr>
        <w:spacing w:after="0" w:line="16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timing of revenue recognition, billings and cash collections may result in billed accounts receivable, unbilled receivables (contract assets), and customer advances and deposits (contract liabilities). These items are included in other current and non-current assets and liabilities on the Consolidated Balance Sheets. Generally, we invoice customers for payment upon shipment or when goods are pulled from consignment inventory, which results in an unconditional right to consideration. The time frame between when the customer places an order for products and when it is shipped is less than 12 months.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right="80"/>
        <w:spacing w:after="0" w:line="259" w:lineRule="auto"/>
        <w:rPr>
          <w:sz w:val="20"/>
          <w:szCs w:val="20"/>
          <w:color w:val="auto"/>
        </w:rPr>
      </w:pPr>
      <w:r>
        <w:rPr>
          <w:rFonts w:ascii="Arial" w:cs="Arial" w:eastAsia="Arial" w:hAnsi="Arial"/>
          <w:sz w:val="18"/>
          <w:szCs w:val="18"/>
          <w:color w:val="auto"/>
        </w:rPr>
        <w:t>Occasionally, as of the end of a reporting period, some performance obligations associated with contracts are unsatisfied or only partially satisfied. In accordance with the practical expedients available in the guidance, we do not disclose the value of unsatisfied performance obligations for contracts with an original expected duration of one year or less. Additionally, sales commissions are expensed when incurred because the amortization period would have been one year or less.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recognized an increase to opening retained earnings of $206 million, net of taxes, as of January 1, 2018, due to the cumulative impact of adopting ASC</w:t>
      </w:r>
    </w:p>
    <w:p>
      <w:pPr>
        <w:spacing w:after="0" w:line="46" w:lineRule="exact"/>
        <w:rPr>
          <w:sz w:val="20"/>
          <w:szCs w:val="20"/>
          <w:color w:val="auto"/>
        </w:rPr>
      </w:pPr>
    </w:p>
    <w:p>
      <w:pPr>
        <w:ind w:right="820" w:firstLine="8"/>
        <w:spacing w:after="0" w:line="261"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contract asset of $283 million and deferred tax liabilities of $55 million were recorded as of January 1, 2018, related to the transition period adjustments.</w:t>
      </w:r>
    </w:p>
    <w:p>
      <w:pPr>
        <w:spacing w:after="0" w:line="184"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i w:val="1"/>
          <w:iCs w:val="1"/>
          <w:u w:val="single" w:color="auto"/>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This standard allows a reclassification of stranded tax effects as a result of the U.S. Tax Cuts and Jobs Act (the Tax Act) from AOCI to retained earnings. The provisions from this guidance are effective for interim and annual periods beginning after January 1, 2019. This standard should be applied either in the period of adoption or retrospectively to each period (or periods) in which the effects of the Tax Act are recognized.</w:t>
      </w:r>
    </w:p>
    <w:p>
      <w:pPr>
        <w:spacing w:after="0" w:line="13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elected to early adopt this standard during the fourth quarter of 2018 concurrent with the completion of our accounting for the tax effects of the enactment of the Tax Act, applying the guidance to the period of adoption. As a result, we reclassified stranded tax effects of $30 million from the 2018 opening balance of AOCI into retained earnings. See Note 5 for additional information related to our accounting for the effects of the Tax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standards were also adopted: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ASU</w:t>
            </w:r>
          </w:p>
        </w:tc>
        <w:tc>
          <w:tcPr>
            <w:tcW w:w="6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ASU No. 2016-01</w:t>
            </w:r>
          </w:p>
        </w:tc>
        <w:tc>
          <w:tcPr>
            <w:tcW w:w="7920" w:type="dxa"/>
            <w:vAlign w:val="bottom"/>
            <w:gridSpan w:val="3"/>
            <w:shd w:val="clear" w:color="auto" w:fill="CCEEFF"/>
          </w:tcPr>
          <w:p>
            <w:pPr>
              <w:ind w:left="60"/>
              <w:spacing w:after="0"/>
              <w:rPr>
                <w:sz w:val="20"/>
                <w:szCs w:val="20"/>
                <w:color w:val="auto"/>
              </w:rPr>
            </w:pPr>
            <w:r>
              <w:rPr>
                <w:rFonts w:ascii="Arial" w:cs="Arial" w:eastAsia="Arial" w:hAnsi="Arial"/>
                <w:sz w:val="16"/>
                <w:szCs w:val="16"/>
                <w:i w:val="1"/>
                <w:iCs w:val="1"/>
                <w:color w:val="auto"/>
                <w:w w:val="95"/>
              </w:rPr>
              <w:t>Financial Instruments – Overall (Subtopic 825-10): Recognition and Measurement of Financial Assets and Financial</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1, 2018</w:t>
            </w:r>
          </w:p>
        </w:tc>
      </w:tr>
      <w:tr>
        <w:trPr>
          <w:trHeight w:val="212"/>
        </w:trPr>
        <w:tc>
          <w:tcPr>
            <w:tcW w:w="1780" w:type="dxa"/>
            <w:vAlign w:val="bottom"/>
            <w:shd w:val="clear" w:color="auto" w:fill="CCEEFF"/>
          </w:tcPr>
          <w:p>
            <w:pPr>
              <w:spacing w:after="0"/>
              <w:rPr>
                <w:sz w:val="18"/>
                <w:szCs w:val="18"/>
                <w:color w:val="auto"/>
              </w:rPr>
            </w:pPr>
          </w:p>
        </w:tc>
        <w:tc>
          <w:tcPr>
            <w:tcW w:w="7920" w:type="dxa"/>
            <w:vAlign w:val="bottom"/>
            <w:gridSpan w:val="3"/>
            <w:shd w:val="clear" w:color="auto" w:fill="CCEEFF"/>
          </w:tcPr>
          <w:p>
            <w:pPr>
              <w:ind w:left="60"/>
              <w:spacing w:after="0"/>
              <w:rPr>
                <w:sz w:val="20"/>
                <w:szCs w:val="20"/>
                <w:color w:val="auto"/>
              </w:rPr>
            </w:pPr>
            <w:r>
              <w:rPr>
                <w:rFonts w:ascii="Arial" w:cs="Arial" w:eastAsia="Arial" w:hAnsi="Arial"/>
                <w:sz w:val="16"/>
                <w:szCs w:val="16"/>
                <w:i w:val="1"/>
                <w:iCs w:val="1"/>
                <w:color w:val="auto"/>
              </w:rPr>
              <w:t>Liabilities</w:t>
            </w:r>
          </w:p>
        </w:tc>
        <w:tc>
          <w:tcPr>
            <w:tcW w:w="1720" w:type="dxa"/>
            <w:vAlign w:val="bottom"/>
            <w:shd w:val="clear" w:color="auto" w:fill="CCEEFF"/>
          </w:tcPr>
          <w:p>
            <w:pPr>
              <w:spacing w:after="0"/>
              <w:rPr>
                <w:sz w:val="18"/>
                <w:szCs w:val="18"/>
                <w:color w:val="auto"/>
              </w:rPr>
            </w:pPr>
          </w:p>
        </w:tc>
      </w:tr>
      <w:tr>
        <w:trPr>
          <w:trHeight w:val="213"/>
        </w:trPr>
        <w:tc>
          <w:tcPr>
            <w:tcW w:w="1780" w:type="dxa"/>
            <w:vAlign w:val="bottom"/>
          </w:tcPr>
          <w:p>
            <w:pPr>
              <w:spacing w:after="0"/>
              <w:rPr>
                <w:sz w:val="20"/>
                <w:szCs w:val="20"/>
                <w:color w:val="auto"/>
              </w:rPr>
            </w:pPr>
            <w:r>
              <w:rPr>
                <w:rFonts w:ascii="Arial" w:cs="Arial" w:eastAsia="Arial" w:hAnsi="Arial"/>
                <w:sz w:val="16"/>
                <w:szCs w:val="16"/>
                <w:color w:val="auto"/>
              </w:rPr>
              <w:t>ASU No. 2017-01</w:t>
            </w: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rPr>
              <w:t>Business Combinations (Topic 805): Clarifying the Definition of a Business</w:t>
            </w:r>
          </w:p>
        </w:tc>
        <w:tc>
          <w:tcPr>
            <w:tcW w:w="1720" w:type="dxa"/>
            <w:vAlign w:val="bottom"/>
          </w:tcPr>
          <w:p>
            <w:pPr>
              <w:jc w:val="center"/>
              <w:spacing w:after="0"/>
              <w:rPr>
                <w:sz w:val="20"/>
                <w:szCs w:val="20"/>
                <w:color w:val="auto"/>
              </w:rPr>
            </w:pPr>
            <w:r>
              <w:rPr>
                <w:rFonts w:ascii="Arial" w:cs="Arial" w:eastAsia="Arial" w:hAnsi="Arial"/>
                <w:sz w:val="16"/>
                <w:szCs w:val="16"/>
                <w:color w:val="auto"/>
                <w:w w:val="88"/>
              </w:rPr>
              <w:t>January 1, 2018</w:t>
            </w:r>
          </w:p>
        </w:tc>
      </w:tr>
      <w:tr>
        <w:trPr>
          <w:trHeight w:val="219"/>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ASU No. 2017-04</w:t>
            </w:r>
          </w:p>
        </w:tc>
        <w:tc>
          <w:tcPr>
            <w:tcW w:w="7920" w:type="dxa"/>
            <w:vAlign w:val="bottom"/>
            <w:gridSpan w:val="3"/>
            <w:shd w:val="clear" w:color="auto" w:fill="CCEEFF"/>
          </w:tcPr>
          <w:p>
            <w:pPr>
              <w:ind w:left="60"/>
              <w:spacing w:after="0"/>
              <w:rPr>
                <w:sz w:val="20"/>
                <w:szCs w:val="20"/>
                <w:color w:val="auto"/>
              </w:rPr>
            </w:pPr>
            <w:r>
              <w:rPr>
                <w:rFonts w:ascii="Arial" w:cs="Arial" w:eastAsia="Arial" w:hAnsi="Arial"/>
                <w:sz w:val="16"/>
                <w:szCs w:val="16"/>
                <w:i w:val="1"/>
                <w:iCs w:val="1"/>
                <w:color w:val="auto"/>
              </w:rPr>
              <w:t>Intangibles – Goodwill and Other (Topic 350): Simplifying the Test for Goodwill Impairment</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October 1, 2018</w:t>
            </w:r>
          </w:p>
        </w:tc>
      </w:tr>
      <w:tr>
        <w:trPr>
          <w:trHeight w:val="206"/>
        </w:trPr>
        <w:tc>
          <w:tcPr>
            <w:tcW w:w="1780" w:type="dxa"/>
            <w:vAlign w:val="bottom"/>
          </w:tcPr>
          <w:p>
            <w:pPr>
              <w:spacing w:after="0"/>
              <w:rPr>
                <w:sz w:val="20"/>
                <w:szCs w:val="20"/>
                <w:color w:val="auto"/>
              </w:rPr>
            </w:pPr>
            <w:r>
              <w:rPr>
                <w:rFonts w:ascii="Arial" w:cs="Arial" w:eastAsia="Arial" w:hAnsi="Arial"/>
                <w:sz w:val="16"/>
                <w:szCs w:val="16"/>
                <w:color w:val="auto"/>
              </w:rPr>
              <w:t>ASU No. 2017-05</w:t>
            </w: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w w:val="97"/>
              </w:rPr>
              <w:t>Other Income – Gains and Losses from the Derecognition of Nonfinancial Assets (Subtopic 610-20): Clarifying the</w:t>
            </w:r>
          </w:p>
        </w:tc>
        <w:tc>
          <w:tcPr>
            <w:tcW w:w="1720" w:type="dxa"/>
            <w:vAlign w:val="bottom"/>
          </w:tcPr>
          <w:p>
            <w:pPr>
              <w:jc w:val="center"/>
              <w:spacing w:after="0"/>
              <w:rPr>
                <w:sz w:val="20"/>
                <w:szCs w:val="20"/>
                <w:color w:val="auto"/>
              </w:rPr>
            </w:pPr>
            <w:r>
              <w:rPr>
                <w:rFonts w:ascii="Arial" w:cs="Arial" w:eastAsia="Arial" w:hAnsi="Arial"/>
                <w:sz w:val="16"/>
                <w:szCs w:val="16"/>
                <w:color w:val="auto"/>
                <w:w w:val="88"/>
              </w:rPr>
              <w:t>January 1, 2018</w:t>
            </w:r>
          </w:p>
        </w:tc>
      </w:tr>
      <w:tr>
        <w:trPr>
          <w:trHeight w:val="206"/>
        </w:trPr>
        <w:tc>
          <w:tcPr>
            <w:tcW w:w="1780" w:type="dxa"/>
            <w:vAlign w:val="bottom"/>
          </w:tcPr>
          <w:p>
            <w:pPr>
              <w:spacing w:after="0"/>
              <w:rPr>
                <w:sz w:val="17"/>
                <w:szCs w:val="17"/>
                <w:color w:val="auto"/>
              </w:rPr>
            </w:pP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rPr>
              <w:t>Scope of Asset Derecognition Guidance and Accounting for Partial Sales of Nonfinancial Assets</w:t>
            </w:r>
          </w:p>
        </w:tc>
        <w:tc>
          <w:tcPr>
            <w:tcW w:w="1720" w:type="dxa"/>
            <w:vAlign w:val="bottom"/>
          </w:tcPr>
          <w:p>
            <w:pPr>
              <w:spacing w:after="0"/>
              <w:rPr>
                <w:sz w:val="17"/>
                <w:szCs w:val="17"/>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2016-02, Leases (Topic 842)</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finance lease. This standard is effective for interim and annual periods beginning January 1, 2019.</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adopting this standard effective January 1, 2019, using the optional transition method, applying the guidance to leases existing at, or entered into after, the beginning of the period of adoption. We are also electing certain practical expedients permitted under the transition guidance. In preparation for adoption of the standard, we have implemented system functionality to enable the preparation of financial information. The most significant impact from adopting the standard will be the recognition of right-of-use assets and lease liabilities for operating leases on our Consolidated Balance Sheets, which will increase total assets by about 2 percent.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January 1, 2020, with early adoption permitted beginning January 1, 2019, and must be applied on a modified retrospective basis. We are evaluating the potential impact of this standard, but we do not expect it to have a material impact on our financial position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We are evaluating the impact of the following standards, but we do not expect them to have a material impact on our financial position and results of operations. We plan to adopt these standards as of their effective dates.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ASU</w:t>
            </w:r>
          </w:p>
        </w:tc>
        <w:tc>
          <w:tcPr>
            <w:tcW w:w="12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Effective Date</w:t>
            </w: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2017-12</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Derivatives and Hedging (Topic 815): Targeted Improvements to Accounting for Hedging Activities</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2019</w:t>
            </w:r>
          </w:p>
        </w:tc>
      </w:tr>
      <w:tr>
        <w:trPr>
          <w:trHeight w:val="206"/>
        </w:trPr>
        <w:tc>
          <w:tcPr>
            <w:tcW w:w="1800" w:type="dxa"/>
            <w:vAlign w:val="bottom"/>
          </w:tcPr>
          <w:p>
            <w:pPr>
              <w:spacing w:after="0"/>
              <w:rPr>
                <w:sz w:val="20"/>
                <w:szCs w:val="20"/>
                <w:color w:val="auto"/>
              </w:rPr>
            </w:pPr>
            <w:r>
              <w:rPr>
                <w:rFonts w:ascii="Arial" w:cs="Arial" w:eastAsia="Arial" w:hAnsi="Arial"/>
                <w:sz w:val="16"/>
                <w:szCs w:val="16"/>
                <w:color w:val="auto"/>
              </w:rPr>
              <w:t>ASU No. 2018-13</w:t>
            </w: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w w:val="93"/>
              </w:rPr>
              <w:t>Fair Value Measurement (Topic 820): Disclosure Framework – Changes to the Disclosure Requirements for Fair Value</w:t>
            </w: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January 1, 2020</w:t>
            </w:r>
          </w:p>
        </w:tc>
      </w:tr>
      <w:tr>
        <w:trPr>
          <w:trHeight w:val="209"/>
        </w:trPr>
        <w:tc>
          <w:tcPr>
            <w:tcW w:w="1800" w:type="dxa"/>
            <w:vAlign w:val="bottom"/>
          </w:tcPr>
          <w:p>
            <w:pPr>
              <w:spacing w:after="0"/>
              <w:rPr>
                <w:sz w:val="18"/>
                <w:szCs w:val="18"/>
                <w:color w:val="auto"/>
              </w:rPr>
            </w:pP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rPr>
              <w:t>Measurement</w:t>
            </w:r>
          </w:p>
        </w:tc>
        <w:tc>
          <w:tcPr>
            <w:tcW w:w="1600" w:type="dxa"/>
            <w:vAlign w:val="bottom"/>
          </w:tcPr>
          <w:p>
            <w:pPr>
              <w:spacing w:after="0"/>
              <w:rPr>
                <w:sz w:val="18"/>
                <w:szCs w:val="18"/>
                <w:color w:val="auto"/>
              </w:rPr>
            </w:pPr>
          </w:p>
        </w:tc>
      </w:tr>
      <w:tr>
        <w:trPr>
          <w:trHeight w:val="209"/>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2018-14</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w w:val="96"/>
              </w:rPr>
              <w:t>Compensation – Retirement Benefits – Defined Benefit Plans – General (Subtopic 715-20): Disclosure Framework –</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2020</w:t>
            </w:r>
          </w:p>
        </w:tc>
      </w:tr>
      <w:tr>
        <w:trPr>
          <w:trHeight w:val="212"/>
        </w:trPr>
        <w:tc>
          <w:tcPr>
            <w:tcW w:w="18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Changes to the Disclosure Requirements for Defined Benefit Plans</w:t>
            </w:r>
          </w:p>
        </w:tc>
        <w:tc>
          <w:tcPr>
            <w:tcW w:w="1600" w:type="dxa"/>
            <w:vAlign w:val="bottom"/>
            <w:shd w:val="clear" w:color="auto" w:fill="CCEEFF"/>
          </w:tcPr>
          <w:p>
            <w:pPr>
              <w:spacing w:after="0"/>
              <w:rPr>
                <w:sz w:val="18"/>
                <w:szCs w:val="18"/>
                <w:color w:val="auto"/>
              </w:rPr>
            </w:pPr>
          </w:p>
        </w:tc>
      </w:tr>
      <w:tr>
        <w:trPr>
          <w:trHeight w:val="206"/>
        </w:trPr>
        <w:tc>
          <w:tcPr>
            <w:tcW w:w="1800" w:type="dxa"/>
            <w:vAlign w:val="bottom"/>
          </w:tcPr>
          <w:p>
            <w:pPr>
              <w:spacing w:after="0"/>
              <w:rPr>
                <w:sz w:val="20"/>
                <w:szCs w:val="20"/>
                <w:color w:val="auto"/>
              </w:rPr>
            </w:pPr>
            <w:r>
              <w:rPr>
                <w:rFonts w:ascii="Arial" w:cs="Arial" w:eastAsia="Arial" w:hAnsi="Arial"/>
                <w:sz w:val="16"/>
                <w:szCs w:val="16"/>
                <w:color w:val="auto"/>
              </w:rPr>
              <w:t>ASU No. 2018-15</w:t>
            </w: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rPr>
              <w:t>Intangibles – Goodwill and Other – Internal-Use Software (Subtopic 350-40): Customer’s Accounting for</w:t>
            </w: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January 1, 2020</w:t>
            </w:r>
          </w:p>
        </w:tc>
      </w:tr>
      <w:tr>
        <w:trPr>
          <w:trHeight w:val="206"/>
        </w:trPr>
        <w:tc>
          <w:tcPr>
            <w:tcW w:w="1800" w:type="dxa"/>
            <w:vAlign w:val="bottom"/>
          </w:tcPr>
          <w:p>
            <w:pPr>
              <w:spacing w:after="0"/>
              <w:rPr>
                <w:sz w:val="17"/>
                <w:szCs w:val="17"/>
                <w:color w:val="auto"/>
              </w:rPr>
            </w:pP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rPr>
              <w:t>Implementation Costs Incurred in a Cloud Computing Arrangement That Is a Service Contract</w:t>
            </w:r>
          </w:p>
        </w:tc>
        <w:tc>
          <w:tcPr>
            <w:tcW w:w="1600" w:type="dxa"/>
            <w:vAlign w:val="bottom"/>
          </w:tcPr>
          <w:p>
            <w:pPr>
              <w:spacing w:after="0"/>
              <w:rPr>
                <w:sz w:val="17"/>
                <w:szCs w:val="17"/>
                <w:color w:val="auto"/>
              </w:rPr>
            </w:pPr>
          </w:p>
        </w:tc>
      </w:tr>
    </w:tbl>
    <w:p>
      <w:pPr>
        <w:spacing w:after="0" w:line="200" w:lineRule="exact"/>
        <w:rPr>
          <w:sz w:val="20"/>
          <w:szCs w:val="20"/>
          <w:color w:val="auto"/>
        </w:rPr>
      </w:pPr>
    </w:p>
    <w:p>
      <w:pPr>
        <w:spacing w:after="0" w:line="25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Stock compensation</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stock options outstanding to participants under long-term incentive plans. The option price per share may not be less than the fair market value of our common stock on the date of the grant. The options have a 10-year term, generally vest ratably over four years, and continue to vest after the option recipient retires.</w:t>
      </w:r>
    </w:p>
    <w:p>
      <w:pPr>
        <w:spacing w:after="0" w:line="18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also have RSUs outstanding to participants under long-term incentive plans. Each RSU represents the right to receive one share of TI common stock on the vesting date, which is generally four years after the date of grant. Upon vesting, the shares are issued without payment by the grantee. RSUs continue to vest after the recipient retires. Holders of RSUs receive an annual cash payment equivalent to the dividends paid on our common stock.</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deferred compensation accounts established for such directors.</w:t>
      </w:r>
    </w:p>
    <w:p>
      <w:pPr>
        <w:spacing w:after="0" w:line="16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also have an employee stock purchase plan (ESPP) under which options are offered to all eligible employees in amounts based on a percentage of the employee’s compensation, subject to a cap. Under the plan, the option price per share is 85 percent of the fair market value on the exercise date.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Total stock compensation expense recognized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0"/>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14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CEEFF"/>
            </w:tcBorders>
          </w:tcPr>
          <w:p>
            <w:pPr>
              <w:spacing w:after="0"/>
              <w:rPr>
                <w:sz w:val="18"/>
                <w:szCs w:val="18"/>
                <w:color w:val="auto"/>
              </w:rPr>
            </w:pPr>
          </w:p>
        </w:tc>
      </w:tr>
      <w:tr>
        <w:trPr>
          <w:trHeight w:val="212"/>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COR</w:t>
            </w: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R&amp;D</w:t>
            </w:r>
          </w:p>
        </w:tc>
        <w:tc>
          <w:tcPr>
            <w:tcW w:w="3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r>
      <w:tr>
        <w:trPr>
          <w:trHeight w:val="21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SG&amp;A</w:t>
            </w:r>
          </w:p>
        </w:tc>
        <w:tc>
          <w:tcPr>
            <w:tcW w:w="36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138</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3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r>
      <w:tr>
        <w:trPr>
          <w:trHeight w:val="207"/>
        </w:trPr>
        <w:tc>
          <w:tcPr>
            <w:tcW w:w="4140" w:type="dxa"/>
            <w:vAlign w:val="bottom"/>
          </w:tcPr>
          <w:p>
            <w:pPr>
              <w:spacing w:after="0"/>
              <w:rPr>
                <w:sz w:val="20"/>
                <w:szCs w:val="20"/>
                <w:color w:val="auto"/>
              </w:rPr>
            </w:pPr>
            <w:r>
              <w:rPr>
                <w:rFonts w:ascii="Arial" w:cs="Arial" w:eastAsia="Arial" w:hAnsi="Arial"/>
                <w:sz w:val="16"/>
                <w:szCs w:val="16"/>
                <w:color w:val="auto"/>
              </w:rPr>
              <w:t>Total</w:t>
            </w:r>
          </w:p>
        </w:tc>
        <w:tc>
          <w:tcPr>
            <w:tcW w:w="3680" w:type="dxa"/>
            <w:vAlign w:val="bottom"/>
          </w:tcPr>
          <w:p>
            <w:pPr>
              <w:spacing w:after="0"/>
              <w:rPr>
                <w:sz w:val="17"/>
                <w:szCs w:val="17"/>
                <w:color w:val="auto"/>
              </w:rPr>
            </w:pPr>
          </w:p>
        </w:tc>
        <w:tc>
          <w:tcPr>
            <w:tcW w:w="640" w:type="dxa"/>
            <w:vAlign w:val="bottom"/>
            <w:tcBorders>
              <w:bottom w:val="single" w:sz="8" w:color="auto"/>
            </w:tcBorders>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232</w:t>
            </w:r>
          </w:p>
        </w:tc>
        <w:tc>
          <w:tcPr>
            <w:tcW w:w="3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36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7"/>
                <w:szCs w:val="17"/>
                <w:color w:val="auto"/>
              </w:rPr>
            </w:pPr>
          </w:p>
        </w:tc>
      </w:tr>
      <w:tr>
        <w:trPr>
          <w:trHeight w:val="20"/>
        </w:trPr>
        <w:tc>
          <w:tcPr>
            <w:tcW w:w="4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These amounts include expenses related to non-qualified stock options, RSUs and stock options offered under our ESPP and are net of estimated forfeitures.</w:t>
      </w:r>
    </w:p>
    <w:p>
      <w:pPr>
        <w:spacing w:after="0" w:line="24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ESPP are expensed over a three-month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Fair-value methods and assumptions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account for all awards granted under our various stock compensation plans at fair value. We estimate the fair values for non-qualified stock options using the Black-Scholes-Merton option-pricing model with the following weighted average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6"/>
                <w:szCs w:val="16"/>
                <w:b w:val="1"/>
                <w:bCs w:val="1"/>
                <w:color w:val="auto"/>
              </w:rPr>
              <w:t>For Years Ended December 31,</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7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2016</w:t>
            </w:r>
          </w:p>
        </w:tc>
        <w:tc>
          <w:tcPr>
            <w:tcW w:w="140" w:type="dxa"/>
            <w:vAlign w:val="bottom"/>
            <w:tcBorders>
              <w:bottom w:val="single" w:sz="8" w:color="CFF0FC"/>
            </w:tcBorders>
          </w:tcPr>
          <w:p>
            <w:pPr>
              <w:spacing w:after="0"/>
              <w:rPr>
                <w:sz w:val="18"/>
                <w:szCs w:val="18"/>
                <w:color w:val="auto"/>
              </w:rPr>
            </w:pPr>
          </w:p>
        </w:tc>
      </w:tr>
      <w:tr>
        <w:trPr>
          <w:trHeight w:val="212"/>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grant date fair value, per share</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23.20</w:t>
            </w:r>
          </w:p>
        </w:tc>
        <w:tc>
          <w:tcPr>
            <w:tcW w:w="3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w:t>
            </w:r>
          </w:p>
        </w:tc>
        <w:tc>
          <w:tcPr>
            <w:tcW w:w="2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140" w:type="dxa"/>
            <w:vAlign w:val="bottom"/>
            <w:shd w:val="clear" w:color="auto" w:fill="CFF0FC"/>
          </w:tcPr>
          <w:p>
            <w:pPr>
              <w:spacing w:after="0"/>
              <w:rPr>
                <w:sz w:val="18"/>
                <w:szCs w:val="18"/>
                <w:color w:val="auto"/>
              </w:rPr>
            </w:pPr>
          </w:p>
        </w:tc>
      </w:tr>
      <w:tr>
        <w:trPr>
          <w:trHeight w:val="213"/>
        </w:trPr>
        <w:tc>
          <w:tcPr>
            <w:tcW w:w="7700" w:type="dxa"/>
            <w:vAlign w:val="bottom"/>
          </w:tcPr>
          <w:p>
            <w:pPr>
              <w:spacing w:after="0"/>
              <w:rPr>
                <w:sz w:val="20"/>
                <w:szCs w:val="20"/>
                <w:color w:val="auto"/>
              </w:rPr>
            </w:pPr>
            <w:r>
              <w:rPr>
                <w:rFonts w:ascii="Arial" w:cs="Arial" w:eastAsia="Arial" w:hAnsi="Arial"/>
                <w:sz w:val="16"/>
                <w:szCs w:val="16"/>
                <w:color w:val="auto"/>
              </w:rPr>
              <w:t>Weighted average assumptions used: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Expected volatility</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w:t>
            </w: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Expected lives (in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r>
      <w:tr>
        <w:trPr>
          <w:trHeight w:val="21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Risk-free interest rates</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2.57%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1.72%</w:t>
            </w:r>
          </w:p>
        </w:tc>
      </w:tr>
      <w:tr>
        <w:trPr>
          <w:trHeight w:val="210"/>
        </w:trPr>
        <w:tc>
          <w:tcPr>
            <w:tcW w:w="7700" w:type="dxa"/>
            <w:vAlign w:val="bottom"/>
          </w:tcPr>
          <w:p>
            <w:pPr>
              <w:ind w:left="140"/>
              <w:spacing w:after="0"/>
              <w:rPr>
                <w:sz w:val="20"/>
                <w:szCs w:val="20"/>
                <w:color w:val="auto"/>
              </w:rPr>
            </w:pPr>
            <w:r>
              <w:rPr>
                <w:rFonts w:ascii="Arial" w:cs="Arial" w:eastAsia="Arial" w:hAnsi="Arial"/>
                <w:sz w:val="16"/>
                <w:szCs w:val="16"/>
                <w:color w:val="auto"/>
              </w:rPr>
              <w:t>Expected dividend yields</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2.87%</w:t>
            </w:r>
          </w:p>
        </w:tc>
      </w:tr>
    </w:tbl>
    <w:p>
      <w:pPr>
        <w:spacing w:after="0" w:line="2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determine expected volatility on all options granted using available implied volatility rates. We believe that market-based measures of implied volatility are currently the best available indicators of the expected volatility used in these estimates.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10-year average. We believe the historical experience method is the best estimate of future exercise patterns currently available.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Expected dividend yields are based on the annualized approved quarterly dividend rate and the current market price of our common stock at the time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assumption for a future dividend rate change is included unless there is an approved plan to change the dividend in the near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per share of RSUs is determined based on the closing price of our common stock on the date of grant.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ESPP is a discount-purchase plan and consequently the Black-Scholes-Merton option-pricing model is not used to determine the fair value per share of these awards. The fair value per share under this plan equals the amount of the discount.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and director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62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Stock Options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3"/>
              </w:rPr>
              <w:t>RSUs</w:t>
            </w:r>
          </w:p>
        </w:tc>
      </w:tr>
      <w:tr>
        <w:trPr>
          <w:trHeight w:val="207"/>
        </w:trPr>
        <w:tc>
          <w:tcPr>
            <w:tcW w:w="43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Weighted Average</w:t>
            </w:r>
          </w:p>
        </w:tc>
        <w:tc>
          <w:tcPr>
            <w:tcW w:w="3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Weighted Average</w:t>
            </w:r>
          </w:p>
        </w:tc>
        <w:tc>
          <w:tcPr>
            <w:tcW w:w="120" w:type="dxa"/>
            <w:vAlign w:val="bottom"/>
          </w:tcPr>
          <w:p>
            <w:pPr>
              <w:spacing w:after="0"/>
              <w:rPr>
                <w:sz w:val="17"/>
                <w:szCs w:val="17"/>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Exercise Price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Grant Date Fair</w:t>
            </w:r>
          </w:p>
        </w:tc>
      </w:tr>
      <w:tr>
        <w:trPr>
          <w:trHeight w:val="219"/>
        </w:trPr>
        <w:tc>
          <w:tcPr>
            <w:tcW w:w="43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per Share</w:t>
            </w:r>
          </w:p>
        </w:tc>
        <w:tc>
          <w:tcPr>
            <w:tcW w:w="3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Value per Share</w:t>
            </w:r>
          </w:p>
        </w:tc>
        <w:tc>
          <w:tcPr>
            <w:tcW w:w="120" w:type="dxa"/>
            <w:vAlign w:val="bottom"/>
            <w:tcBorders>
              <w:bottom w:val="single" w:sz="8" w:color="CFF0FC"/>
            </w:tcBorders>
          </w:tcPr>
          <w:p>
            <w:pPr>
              <w:spacing w:after="0"/>
              <w:rPr>
                <w:sz w:val="19"/>
                <w:szCs w:val="19"/>
                <w:color w:val="auto"/>
              </w:rPr>
            </w:pPr>
          </w:p>
        </w:tc>
      </w:tr>
      <w:tr>
        <w:trPr>
          <w:trHeight w:val="21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Outstanding grants, December 31, 2017</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44,754,593</w:t>
            </w:r>
          </w:p>
        </w:tc>
        <w:tc>
          <w:tcPr>
            <w:tcW w:w="2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48.49</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9,225,643</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55.40</w:t>
            </w:r>
          </w:p>
        </w:tc>
        <w:tc>
          <w:tcPr>
            <w:tcW w:w="120" w:type="dxa"/>
            <w:vAlign w:val="bottom"/>
            <w:shd w:val="clear" w:color="auto" w:fill="CFF0FC"/>
          </w:tcPr>
          <w:p>
            <w:pPr>
              <w:spacing w:after="0"/>
              <w:rPr>
                <w:sz w:val="18"/>
                <w:szCs w:val="18"/>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6"/>
                <w:szCs w:val="16"/>
                <w:b w:val="1"/>
                <w:bCs w:val="1"/>
                <w:color w:val="auto"/>
              </w:rPr>
              <w:t>Granted</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4,617,486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110.07</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1,247,239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110.05</w:t>
            </w:r>
          </w:p>
        </w:tc>
        <w:tc>
          <w:tcPr>
            <w:tcW w:w="120" w:type="dxa"/>
            <w:vAlign w:val="bottom"/>
          </w:tcPr>
          <w:p>
            <w:pPr>
              <w:spacing w:after="0"/>
              <w:rPr>
                <w:sz w:val="18"/>
                <w:szCs w:val="18"/>
                <w:color w:val="auto"/>
              </w:rPr>
            </w:pPr>
          </w:p>
        </w:tc>
      </w:tr>
      <w:tr>
        <w:trPr>
          <w:trHeight w:val="222"/>
        </w:trPr>
        <w:tc>
          <w:tcPr>
            <w:tcW w:w="4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Stock options exercised/RSUs vested</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(8,432,458)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42.63</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(2,769,994)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44.50</w:t>
            </w:r>
          </w:p>
        </w:tc>
        <w:tc>
          <w:tcPr>
            <w:tcW w:w="120" w:type="dxa"/>
            <w:vAlign w:val="bottom"/>
            <w:shd w:val="clear" w:color="auto" w:fill="CFF0FC"/>
          </w:tcPr>
          <w:p>
            <w:pPr>
              <w:spacing w:after="0"/>
              <w:rPr>
                <w:sz w:val="19"/>
                <w:szCs w:val="19"/>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b w:val="1"/>
                <w:bCs w:val="1"/>
                <w:color w:val="auto"/>
              </w:rPr>
              <w:t>Forfeited and expired</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(1,034,167)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77.30</w:t>
            </w:r>
          </w:p>
        </w:tc>
        <w:tc>
          <w:tcPr>
            <w:tcW w:w="3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(397,345)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70.34</w:t>
            </w:r>
          </w:p>
        </w:tc>
        <w:tc>
          <w:tcPr>
            <w:tcW w:w="120" w:type="dxa"/>
            <w:vAlign w:val="bottom"/>
          </w:tcPr>
          <w:p>
            <w:pPr>
              <w:spacing w:after="0"/>
              <w:rPr>
                <w:sz w:val="18"/>
                <w:szCs w:val="18"/>
                <w:color w:val="auto"/>
              </w:rPr>
            </w:pPr>
          </w:p>
        </w:tc>
      </w:tr>
      <w:tr>
        <w:trPr>
          <w:trHeight w:val="210"/>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Outstanding grants, December 31,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39,905,454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5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56.10</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7,305,543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66.72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weighted average grant date fair values per share of RSUs granted in 2018, 2017 and 2016 were $110.05, $79.52 and $53.98, respectively. In 2018, 2017 and 2016, the total grant date fair values of shares vested from RSU grants were $123 million, $149 million and $178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number of shares remaining available for future issuance under these plans was 50,167,414.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Summarized information about stock options outstanding as of December 31, 2018,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2"/>
          </w:tcPr>
          <w:p>
            <w:pPr>
              <w:ind w:left="280"/>
              <w:spacing w:after="0"/>
              <w:rPr>
                <w:sz w:val="20"/>
                <w:szCs w:val="20"/>
                <w:color w:val="auto"/>
              </w:rPr>
            </w:pPr>
            <w:r>
              <w:rPr>
                <w:rFonts w:ascii="Arial" w:cs="Arial" w:eastAsia="Arial" w:hAnsi="Arial"/>
                <w:sz w:val="16"/>
                <w:szCs w:val="16"/>
                <w:b w:val="1"/>
                <w:bCs w:val="1"/>
                <w:color w:val="auto"/>
                <w:w w:val="96"/>
              </w:rPr>
              <w:t>Stock Options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gridSpan w:val="5"/>
          </w:tcPr>
          <w:p>
            <w:pPr>
              <w:ind w:left="980"/>
              <w:spacing w:after="0"/>
              <w:rPr>
                <w:sz w:val="20"/>
                <w:szCs w:val="20"/>
                <w:color w:val="auto"/>
              </w:rPr>
            </w:pPr>
            <w:r>
              <w:rPr>
                <w:rFonts w:ascii="Arial" w:cs="Arial" w:eastAsia="Arial" w:hAnsi="Arial"/>
                <w:sz w:val="16"/>
                <w:szCs w:val="16"/>
                <w:b w:val="1"/>
                <w:bCs w:val="1"/>
                <w:color w:val="auto"/>
              </w:rPr>
              <w:t>Options Exercisable</w:t>
            </w:r>
          </w:p>
        </w:tc>
      </w:tr>
      <w:tr>
        <w:trPr>
          <w:trHeight w:val="207"/>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3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Weighted Average</w:t>
            </w:r>
          </w:p>
        </w:tc>
        <w:tc>
          <w:tcPr>
            <w:tcW w:w="30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7"/>
                <w:szCs w:val="17"/>
                <w:color w:val="auto"/>
              </w:rPr>
            </w:pPr>
          </w:p>
        </w:tc>
      </w:tr>
      <w:tr>
        <w:trPr>
          <w:trHeight w:val="216"/>
        </w:trPr>
        <w:tc>
          <w:tcPr>
            <w:tcW w:w="18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Exercise Price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300" w:type="dxa"/>
            <w:vAlign w:val="bottom"/>
          </w:tcPr>
          <w:p>
            <w:pPr>
              <w:spacing w:after="0"/>
              <w:rPr>
                <w:sz w:val="18"/>
                <w:szCs w:val="18"/>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Remaining 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Exercise Price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r>
      <w:tr>
        <w:trPr>
          <w:trHeight w:val="219"/>
        </w:trPr>
        <w:tc>
          <w:tcPr>
            <w:tcW w:w="170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Range</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w:t>
            </w:r>
          </w:p>
        </w:tc>
        <w:tc>
          <w:tcPr>
            <w:tcW w:w="3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 (Years)</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per Share</w:t>
            </w:r>
          </w:p>
        </w:tc>
        <w:tc>
          <w:tcPr>
            <w:tcW w:w="3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w:t>
            </w: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per Share</w:t>
            </w:r>
          </w:p>
        </w:tc>
        <w:tc>
          <w:tcPr>
            <w:tcW w:w="100" w:type="dxa"/>
            <w:vAlign w:val="bottom"/>
            <w:tcBorders>
              <w:bottom w:val="single" w:sz="8" w:color="CCEEFF"/>
            </w:tcBorders>
          </w:tcPr>
          <w:p>
            <w:pPr>
              <w:spacing w:after="0"/>
              <w:rPr>
                <w:sz w:val="19"/>
                <w:szCs w:val="19"/>
                <w:color w:val="auto"/>
              </w:rPr>
            </w:pPr>
          </w:p>
        </w:tc>
      </w:tr>
      <w:tr>
        <w:trPr>
          <w:trHeight w:val="213"/>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14.47 to 20.00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573,629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573,629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CCEEFF"/>
          </w:tcPr>
          <w:p>
            <w:pPr>
              <w:spacing w:after="0"/>
              <w:rPr>
                <w:sz w:val="18"/>
                <w:szCs w:val="18"/>
                <w:color w:val="auto"/>
              </w:rPr>
            </w:pPr>
          </w:p>
        </w:tc>
      </w:tr>
      <w:tr>
        <w:trPr>
          <w:trHeight w:val="213"/>
        </w:trPr>
        <w:tc>
          <w:tcPr>
            <w:tcW w:w="1880" w:type="dxa"/>
            <w:vAlign w:val="bottom"/>
            <w:gridSpan w:val="2"/>
          </w:tcPr>
          <w:p>
            <w:pPr>
              <w:ind w:left="220"/>
              <w:spacing w:after="0"/>
              <w:rPr>
                <w:sz w:val="20"/>
                <w:szCs w:val="20"/>
                <w:color w:val="auto"/>
              </w:rPr>
            </w:pPr>
            <w:r>
              <w:rPr>
                <w:rFonts w:ascii="Arial" w:cs="Arial" w:eastAsia="Arial" w:hAnsi="Arial"/>
                <w:sz w:val="16"/>
                <w:szCs w:val="16"/>
                <w:color w:val="auto"/>
              </w:rPr>
              <w:t>20.01 to 40.00</w:t>
            </w:r>
          </w:p>
        </w:tc>
        <w:tc>
          <w:tcPr>
            <w:tcW w:w="1360" w:type="dxa"/>
            <w:vAlign w:val="bottom"/>
          </w:tcPr>
          <w:p>
            <w:pPr>
              <w:jc w:val="right"/>
              <w:spacing w:after="0"/>
              <w:rPr>
                <w:sz w:val="20"/>
                <w:szCs w:val="20"/>
                <w:color w:val="auto"/>
              </w:rPr>
            </w:pPr>
            <w:r>
              <w:rPr>
                <w:rFonts w:ascii="Arial" w:cs="Arial" w:eastAsia="Arial" w:hAnsi="Arial"/>
                <w:sz w:val="16"/>
                <w:szCs w:val="16"/>
                <w:color w:val="auto"/>
              </w:rPr>
              <w:t>9,508,056</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31.21</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9,508,056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Pr>
          <w:p>
            <w:pPr>
              <w:spacing w:after="0"/>
              <w:rPr>
                <w:sz w:val="18"/>
                <w:szCs w:val="18"/>
                <w:color w:val="auto"/>
              </w:rPr>
            </w:pPr>
          </w:p>
        </w:tc>
      </w:tr>
      <w:tr>
        <w:trPr>
          <w:trHeight w:val="219"/>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40.01 to 60.00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19,883,804</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12,397,285</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100" w:type="dxa"/>
            <w:vAlign w:val="bottom"/>
            <w:shd w:val="clear" w:color="auto" w:fill="CCEEFF"/>
          </w:tcPr>
          <w:p>
            <w:pPr>
              <w:spacing w:after="0"/>
              <w:rPr>
                <w:sz w:val="19"/>
                <w:szCs w:val="19"/>
                <w:color w:val="auto"/>
              </w:rPr>
            </w:pPr>
          </w:p>
        </w:tc>
      </w:tr>
      <w:tr>
        <w:trPr>
          <w:trHeight w:val="213"/>
        </w:trPr>
        <w:tc>
          <w:tcPr>
            <w:tcW w:w="1880" w:type="dxa"/>
            <w:vAlign w:val="bottom"/>
            <w:gridSpan w:val="2"/>
          </w:tcPr>
          <w:p>
            <w:pPr>
              <w:ind w:left="220"/>
              <w:spacing w:after="0"/>
              <w:rPr>
                <w:sz w:val="20"/>
                <w:szCs w:val="20"/>
                <w:color w:val="auto"/>
              </w:rPr>
            </w:pPr>
            <w:r>
              <w:rPr>
                <w:rFonts w:ascii="Arial" w:cs="Arial" w:eastAsia="Arial" w:hAnsi="Arial"/>
                <w:sz w:val="16"/>
                <w:szCs w:val="16"/>
                <w:color w:val="auto"/>
              </w:rPr>
              <w:t>60.01 to 80.00</w:t>
            </w:r>
          </w:p>
        </w:tc>
        <w:tc>
          <w:tcPr>
            <w:tcW w:w="1360" w:type="dxa"/>
            <w:vAlign w:val="bottom"/>
          </w:tcPr>
          <w:p>
            <w:pPr>
              <w:jc w:val="right"/>
              <w:spacing w:after="0"/>
              <w:rPr>
                <w:sz w:val="20"/>
                <w:szCs w:val="20"/>
                <w:color w:val="auto"/>
              </w:rPr>
            </w:pPr>
            <w:r>
              <w:rPr>
                <w:rFonts w:ascii="Arial" w:cs="Arial" w:eastAsia="Arial" w:hAnsi="Arial"/>
                <w:sz w:val="16"/>
                <w:szCs w:val="16"/>
                <w:color w:val="auto"/>
              </w:rPr>
              <w:t>5,612,386</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79.21</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1,143,118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79.20</w:t>
            </w:r>
          </w:p>
        </w:tc>
        <w:tc>
          <w:tcPr>
            <w:tcW w:w="100" w:type="dxa"/>
            <w:vAlign w:val="bottom"/>
          </w:tcPr>
          <w:p>
            <w:pPr>
              <w:spacing w:after="0"/>
              <w:rPr>
                <w:sz w:val="18"/>
                <w:szCs w:val="18"/>
                <w:color w:val="auto"/>
              </w:rPr>
            </w:pPr>
          </w:p>
        </w:tc>
      </w:tr>
      <w:tr>
        <w:trPr>
          <w:trHeight w:val="219"/>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80.01 to 100.00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91.16</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91.54</w:t>
            </w:r>
          </w:p>
        </w:tc>
        <w:tc>
          <w:tcPr>
            <w:tcW w:w="100" w:type="dxa"/>
            <w:vAlign w:val="bottom"/>
            <w:shd w:val="clear" w:color="auto" w:fill="CCEEFF"/>
          </w:tcPr>
          <w:p>
            <w:pPr>
              <w:spacing w:after="0"/>
              <w:rPr>
                <w:sz w:val="19"/>
                <w:szCs w:val="19"/>
                <w:color w:val="auto"/>
              </w:rPr>
            </w:pPr>
          </w:p>
        </w:tc>
      </w:tr>
      <w:tr>
        <w:trPr>
          <w:trHeight w:val="213"/>
        </w:trPr>
        <w:tc>
          <w:tcPr>
            <w:tcW w:w="1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100.01 to 113.30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4,289,662</w:t>
            </w:r>
          </w:p>
        </w:tc>
        <w:tc>
          <w:tcPr>
            <w:tcW w:w="2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110.15</w:t>
            </w:r>
          </w:p>
        </w:tc>
        <w:tc>
          <w:tcPr>
            <w:tcW w:w="3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1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14.47 to 113.30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39,905,454</w:t>
            </w:r>
          </w:p>
        </w:tc>
        <w:tc>
          <w:tcPr>
            <w:tcW w:w="2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56.10</w:t>
            </w: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23,625,802</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2018, 2017 and 2016, the aggregate intrinsic values (i.e., the difference in the closing market price on the date of exercise and the exercise price paid by the optionee) of options exercised were $561 million, $632 million and $424 million, respectively.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2018, about outstanding stock options that are vested and expected to vest, as well as stock options that are currently exercisable,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Outstanding Stock Options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(Fully Vested and</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Options</w:t>
            </w:r>
          </w:p>
        </w:tc>
      </w:tr>
      <w:tr>
        <w:trPr>
          <w:trHeight w:val="219"/>
        </w:trPr>
        <w:tc>
          <w:tcPr>
            <w:tcW w:w="4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Expected to Vest) (a)</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Exercisable</w:t>
            </w:r>
          </w:p>
        </w:tc>
      </w:tr>
      <w:tr>
        <w:trPr>
          <w:trHeight w:val="21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Number of outstanding (shares)</w:t>
            </w:r>
          </w:p>
        </w:tc>
        <w:tc>
          <w:tcPr>
            <w:tcW w:w="14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39,274,492</w:t>
            </w:r>
          </w:p>
        </w:tc>
        <w:tc>
          <w:tcPr>
            <w:tcW w:w="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23,625,802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Weighted average remaining contractual life (in years)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5.9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exercise price per share</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55.60</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42.76</w:t>
            </w:r>
          </w:p>
        </w:tc>
        <w:tc>
          <w:tcPr>
            <w:tcW w:w="100" w:type="dxa"/>
            <w:vAlign w:val="bottom"/>
            <w:shd w:val="clear" w:color="auto" w:fill="CFF0FC"/>
          </w:tcPr>
          <w:p>
            <w:pPr>
              <w:spacing w:after="0"/>
              <w:rPr>
                <w:sz w:val="19"/>
                <w:szCs w:val="19"/>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6"/>
                <w:szCs w:val="16"/>
                <w:color w:val="auto"/>
              </w:rPr>
              <w:t>Intrinsic value (millions of dollars)</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1,591</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18"/>
                <w:szCs w:val="18"/>
                <w:color w:val="auto"/>
              </w:rPr>
            </w:pPr>
          </w:p>
        </w:tc>
      </w:tr>
    </w:tbl>
    <w:p>
      <w:pPr>
        <w:spacing w:after="0" w:line="208" w:lineRule="exact"/>
        <w:rPr>
          <w:sz w:val="20"/>
          <w:szCs w:val="20"/>
          <w:color w:val="auto"/>
        </w:rPr>
      </w:pPr>
    </w:p>
    <w:p>
      <w:pPr>
        <w:ind w:left="52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effects of expected forfeitures of approximately 1 million shares. Excluding the effects of expected forfeitures, the aggregate intrinsic value of stock options outstanding was $1.60 billion.</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2018, total future compensation related to equity awards not yet recognized in our Consolidated Statements of Income was $224 million, consisting of $97 million related to unvested stock options and $127 million related to unvested RSUs. The $224 million is expected to be recognized as follows: $110 million in 2019, $72 million in 2020, $37 million in 2021 and $5 million in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Options outstanding under the ESPP as of December 31, 2018, had an exercise price equal to 85 percent of the fair market value of TI common stock on the date of automatic exercise. The automatic exercise occurred on January 2, 2019, resulting in an exercise price of $80.29 per share. Of the total outstanding options, none were exercisable as of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ESPP transactions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182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rPr>
              <w:t>ESPP</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800" w:type="dxa"/>
            <w:vAlign w:val="bottom"/>
          </w:tcPr>
          <w:p>
            <w:pPr>
              <w:spacing w:after="0"/>
              <w:rPr>
                <w:sz w:val="19"/>
                <w:szCs w:val="19"/>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Exercise Price</w:t>
            </w:r>
          </w:p>
        </w:tc>
      </w:tr>
      <w:tr>
        <w:trPr>
          <w:trHeight w:val="213"/>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grants, December 31, 2017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202,179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6"/>
                <w:szCs w:val="16"/>
                <w:b w:val="1"/>
                <w:bCs w:val="1"/>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847,535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87.48</w:t>
            </w:r>
          </w:p>
        </w:tc>
        <w:tc>
          <w:tcPr>
            <w:tcW w:w="120" w:type="dxa"/>
            <w:vAlign w:val="bottom"/>
          </w:tcPr>
          <w:p>
            <w:pPr>
              <w:spacing w:after="0"/>
              <w:rPr>
                <w:sz w:val="18"/>
                <w:szCs w:val="18"/>
                <w:color w:val="auto"/>
              </w:rPr>
            </w:pPr>
          </w:p>
        </w:tc>
      </w:tr>
      <w:tr>
        <w:trPr>
          <w:trHeight w:val="222"/>
        </w:trPr>
        <w:tc>
          <w:tcPr>
            <w:tcW w:w="7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Exercised</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(819,878)</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90.06</w:t>
            </w:r>
          </w:p>
        </w:tc>
        <w:tc>
          <w:tcPr>
            <w:tcW w:w="120" w:type="dxa"/>
            <w:vAlign w:val="bottom"/>
            <w:shd w:val="clear" w:color="auto" w:fill="CCEEFF"/>
          </w:tcPr>
          <w:p>
            <w:pPr>
              <w:spacing w:after="0"/>
              <w:rPr>
                <w:sz w:val="19"/>
                <w:szCs w:val="19"/>
                <w:color w:val="auto"/>
              </w:rPr>
            </w:pPr>
          </w:p>
        </w:tc>
      </w:tr>
      <w:tr>
        <w:trPr>
          <w:trHeight w:val="207"/>
        </w:trPr>
        <w:tc>
          <w:tcPr>
            <w:tcW w:w="7800" w:type="dxa"/>
            <w:vAlign w:val="bottom"/>
          </w:tcPr>
          <w:p>
            <w:pPr>
              <w:spacing w:after="0"/>
              <w:rPr>
                <w:sz w:val="20"/>
                <w:szCs w:val="20"/>
                <w:color w:val="auto"/>
              </w:rPr>
            </w:pPr>
            <w:r>
              <w:rPr>
                <w:rFonts w:ascii="Arial" w:cs="Arial" w:eastAsia="Arial" w:hAnsi="Arial"/>
                <w:sz w:val="16"/>
                <w:szCs w:val="16"/>
                <w:b w:val="1"/>
                <w:bCs w:val="1"/>
                <w:color w:val="auto"/>
              </w:rPr>
              <w:t>Outstanding grants, December 31, 2018</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229,836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80.29</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 date fair values per share of options granted under the ESPP in 2018, 2017 and 2016 were $15.43, $12.99 and $9.79,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2018, 2017 and 2016, the total intrinsic value of options exercised under these plans was $13 million, $13 million and $12 million,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number of shares remaining available for future issuance under this plan was 34,555,101.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Effect on shares outstanding and treasury shares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2018, $16.14 billion of stock repurchase authorizations remain, and no expiration date has been specified.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current practice is to issue shares of common stock from treasury shares upon exercise of stock options, distribution of director deferred compensation and vesting of RSUs. The following table reflects the changes in our treasury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Stock Options</w:t>
            </w:r>
          </w:p>
        </w:tc>
        <w:tc>
          <w:tcPr>
            <w:tcW w:w="1840" w:type="dxa"/>
            <w:vAlign w:val="bottom"/>
            <w:gridSpan w:val="2"/>
          </w:tcPr>
          <w:p>
            <w:pPr>
              <w:jc w:val="right"/>
              <w:ind w:right="920"/>
              <w:spacing w:after="0"/>
              <w:rPr>
                <w:sz w:val="20"/>
                <w:szCs w:val="20"/>
                <w:color w:val="auto"/>
              </w:rPr>
            </w:pPr>
            <w:r>
              <w:rPr>
                <w:rFonts w:ascii="Arial" w:cs="Arial" w:eastAsia="Arial" w:hAnsi="Arial"/>
                <w:sz w:val="16"/>
                <w:szCs w:val="16"/>
                <w:b w:val="1"/>
                <w:bCs w:val="1"/>
                <w:color w:val="auto"/>
              </w:rPr>
              <w:t>RSUs</w:t>
            </w:r>
          </w:p>
        </w:tc>
        <w:tc>
          <w:tcPr>
            <w:tcW w:w="16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Treasury 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2015</w:t>
            </w:r>
          </w:p>
        </w:tc>
        <w:tc>
          <w:tcPr>
            <w:tcW w:w="14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729,547,527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gridSpan w:val="2"/>
          </w:tcPr>
          <w:p>
            <w:pPr>
              <w:spacing w:after="0"/>
              <w:rPr>
                <w:sz w:val="20"/>
                <w:szCs w:val="20"/>
                <w:color w:val="auto"/>
              </w:rPr>
            </w:pPr>
            <w:r>
              <w:rPr>
                <w:rFonts w:ascii="Arial" w:cs="Arial" w:eastAsia="Arial" w:hAnsi="Arial"/>
                <w:sz w:val="16"/>
                <w:szCs w:val="16"/>
                <w:color w:val="auto"/>
              </w:rPr>
              <w:t>Repurchases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35,480,036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Shares used for:</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Stock options/RSUs</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color w:val="auto"/>
              </w:rPr>
              <w:t>(14,516,606)</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color w:val="auto"/>
              </w:rPr>
              <w:t>(5,639,666)</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applied to taxes</w:t>
            </w:r>
          </w:p>
        </w:tc>
        <w:tc>
          <w:tcPr>
            <w:tcW w:w="18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1,336,476</w:t>
            </w: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ESPP</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color w:val="auto"/>
              </w:rPr>
              <w:t>(1,362,202)</w:t>
            </w:r>
          </w:p>
        </w:tc>
        <w:tc>
          <w:tcPr>
            <w:tcW w:w="18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Director deferred stock units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(13,587)</w:t>
            </w:r>
          </w:p>
        </w:tc>
        <w:tc>
          <w:tcPr>
            <w:tcW w:w="0" w:type="dxa"/>
            <w:vAlign w:val="bottom"/>
          </w:tcPr>
          <w:p>
            <w:pPr>
              <w:spacing w:after="0"/>
              <w:rPr>
                <w:sz w:val="1"/>
                <w:szCs w:val="1"/>
                <w:color w:val="auto"/>
              </w:rPr>
            </w:pPr>
          </w:p>
        </w:tc>
      </w:tr>
      <w:tr>
        <w:trPr>
          <w:trHeight w:val="250"/>
        </w:trPr>
        <w:tc>
          <w:tcPr>
            <w:tcW w:w="6160" w:type="dxa"/>
            <w:vAlign w:val="bottom"/>
            <w:gridSpan w:val="2"/>
          </w:tcPr>
          <w:p>
            <w:pPr>
              <w:spacing w:after="0"/>
              <w:rPr>
                <w:sz w:val="20"/>
                <w:szCs w:val="20"/>
                <w:color w:val="auto"/>
              </w:rPr>
            </w:pPr>
            <w:r>
              <w:rPr>
                <w:rFonts w:ascii="Arial" w:cs="Arial" w:eastAsia="Arial" w:hAnsi="Arial"/>
                <w:sz w:val="16"/>
                <w:szCs w:val="16"/>
                <w:color w:val="auto"/>
              </w:rPr>
              <w:t>Total issued</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color w:val="auto"/>
              </w:rPr>
              <w:t>(15,878,808)</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color w:val="auto"/>
              </w:rPr>
              <w:t>(4,303,190)</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(20,181,998)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2016</w:t>
            </w:r>
          </w:p>
        </w:tc>
        <w:tc>
          <w:tcPr>
            <w:tcW w:w="14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148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744,831,978</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Repurchases</w:t>
            </w: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30,570,129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gridSpan w:val="2"/>
          </w:tcPr>
          <w:p>
            <w:pPr>
              <w:spacing w:after="0"/>
              <w:rPr>
                <w:sz w:val="20"/>
                <w:szCs w:val="20"/>
                <w:color w:val="auto"/>
              </w:rPr>
            </w:pPr>
            <w:r>
              <w:rPr>
                <w:rFonts w:ascii="Arial" w:cs="Arial" w:eastAsia="Arial" w:hAnsi="Arial"/>
                <w:sz w:val="16"/>
                <w:szCs w:val="16"/>
                <w:color w:val="auto"/>
              </w:rPr>
              <w:t>Shares used for:</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options/RSUs</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(13,313,019)</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(4,419,464)</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Stock applied to taxes</w:t>
            </w: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1,058,100</w:t>
            </w: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ESPP</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(1,065,757)</w:t>
            </w: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Director deferred stock units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tcPr>
          <w:p>
            <w:pPr>
              <w:spacing w:after="0"/>
              <w:rPr>
                <w:sz w:val="18"/>
                <w:szCs w:val="18"/>
                <w:color w:val="auto"/>
              </w:rPr>
            </w:pPr>
          </w:p>
        </w:tc>
        <w:tc>
          <w:tcPr>
            <w:tcW w:w="16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(4,750)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Total issued</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(14,378,776)</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(3,361,364)</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(17,740,140)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60" w:type="dxa"/>
            <w:vAlign w:val="bottom"/>
            <w:gridSpan w:val="2"/>
          </w:tcPr>
          <w:p>
            <w:pPr>
              <w:spacing w:after="0"/>
              <w:rPr>
                <w:sz w:val="20"/>
                <w:szCs w:val="20"/>
                <w:color w:val="auto"/>
              </w:rPr>
            </w:pPr>
            <w:r>
              <w:rPr>
                <w:rFonts w:ascii="Arial" w:cs="Arial" w:eastAsia="Arial" w:hAnsi="Arial"/>
                <w:sz w:val="16"/>
                <w:szCs w:val="16"/>
                <w:color w:val="auto"/>
              </w:rPr>
              <w:t>Balance, December 31, 2017</w:t>
            </w: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757,657,217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1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6"/>
                <w:szCs w:val="16"/>
                <w:b w:val="1"/>
                <w:bCs w:val="1"/>
                <w:color w:val="auto"/>
              </w:rPr>
              <w:t>Repurchases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49,482,220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Shares used for:</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b w:val="1"/>
                <w:bCs w:val="1"/>
                <w:color w:val="auto"/>
              </w:rPr>
              <w:t>Stock options/RSUs</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(8,432,458)</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(2,769,994)</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Stock applied to taxes</w:t>
            </w:r>
          </w:p>
        </w:tc>
        <w:tc>
          <w:tcPr>
            <w:tcW w:w="18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553,720</w:t>
            </w: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b w:val="1"/>
                <w:bCs w:val="1"/>
                <w:color w:val="auto"/>
              </w:rPr>
              <w:t>ESPP</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(819,878)</w:t>
            </w:r>
          </w:p>
        </w:tc>
        <w:tc>
          <w:tcPr>
            <w:tcW w:w="1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Director deferred stock units</w:t>
            </w:r>
          </w:p>
        </w:tc>
        <w:tc>
          <w:tcPr>
            <w:tcW w:w="18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b w:val="1"/>
                <w:bCs w:val="1"/>
                <w:color w:val="auto"/>
              </w:rPr>
              <w:t>—</w:t>
            </w: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b w:val="1"/>
                <w:bCs w:val="1"/>
                <w:color w:val="auto"/>
              </w:rPr>
              <w:t>—</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(5,181)</w:t>
            </w:r>
          </w:p>
        </w:tc>
        <w:tc>
          <w:tcPr>
            <w:tcW w:w="0" w:type="dxa"/>
            <w:vAlign w:val="bottom"/>
          </w:tcPr>
          <w:p>
            <w:pPr>
              <w:spacing w:after="0"/>
              <w:rPr>
                <w:sz w:val="1"/>
                <w:szCs w:val="1"/>
                <w:color w:val="auto"/>
              </w:rPr>
            </w:pPr>
          </w:p>
        </w:tc>
      </w:tr>
      <w:tr>
        <w:trPr>
          <w:trHeight w:val="250"/>
        </w:trPr>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Total issued</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(9,252,336)</w:t>
            </w:r>
          </w:p>
        </w:tc>
        <w:tc>
          <w:tcPr>
            <w:tcW w:w="36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(2,216,274)</w:t>
            </w:r>
          </w:p>
        </w:tc>
        <w:tc>
          <w:tcPr>
            <w:tcW w:w="360" w:type="dxa"/>
            <w:vAlign w:val="bottom"/>
          </w:tcPr>
          <w:p>
            <w:pPr>
              <w:spacing w:after="0"/>
              <w:rPr>
                <w:sz w:val="21"/>
                <w:szCs w:val="21"/>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(11,468,610)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December 31, 2018</w:t>
            </w:r>
          </w:p>
        </w:tc>
        <w:tc>
          <w:tcPr>
            <w:tcW w:w="1460" w:type="dxa"/>
            <w:vAlign w:val="bottom"/>
            <w:tcBorders>
              <w:top w:val="single" w:sz="8" w:color="auto"/>
              <w:bottom w:val="single" w:sz="8" w:color="CFF0FC"/>
            </w:tcBorders>
            <w:shd w:val="clear" w:color="auto" w:fill="CFF0FC"/>
          </w:tcPr>
          <w:p>
            <w:pPr>
              <w:spacing w:after="0"/>
              <w:rPr>
                <w:sz w:val="16"/>
                <w:szCs w:val="16"/>
                <w:color w:val="auto"/>
              </w:rPr>
            </w:pPr>
          </w:p>
        </w:tc>
        <w:tc>
          <w:tcPr>
            <w:tcW w:w="360" w:type="dxa"/>
            <w:vAlign w:val="bottom"/>
            <w:tcBorders>
              <w:top w:val="single" w:sz="8" w:color="CFF0FC"/>
              <w:bottom w:val="single" w:sz="8" w:color="CFF0FC"/>
            </w:tcBorders>
            <w:shd w:val="clear" w:color="auto" w:fill="CFF0FC"/>
          </w:tcPr>
          <w:p>
            <w:pPr>
              <w:spacing w:after="0"/>
              <w:rPr>
                <w:sz w:val="16"/>
                <w:szCs w:val="16"/>
                <w:color w:val="auto"/>
              </w:rPr>
            </w:pPr>
          </w:p>
        </w:tc>
        <w:tc>
          <w:tcPr>
            <w:tcW w:w="1480" w:type="dxa"/>
            <w:vAlign w:val="bottom"/>
            <w:tcBorders>
              <w:top w:val="single" w:sz="8" w:color="auto"/>
              <w:bottom w:val="single" w:sz="8" w:color="CFF0FC"/>
            </w:tcBorders>
            <w:shd w:val="clear" w:color="auto" w:fill="CFF0FC"/>
          </w:tcPr>
          <w:p>
            <w:pPr>
              <w:spacing w:after="0"/>
              <w:rPr>
                <w:sz w:val="16"/>
                <w:szCs w:val="16"/>
                <w:color w:val="auto"/>
              </w:rPr>
            </w:pPr>
          </w:p>
        </w:tc>
        <w:tc>
          <w:tcPr>
            <w:tcW w:w="360" w:type="dxa"/>
            <w:vAlign w:val="bottom"/>
            <w:tcBorders>
              <w:top w:val="single" w:sz="8" w:color="CFF0FC"/>
              <w:bottom w:val="single" w:sz="8" w:color="CFF0FC"/>
            </w:tcBorders>
            <w:shd w:val="clear" w:color="auto" w:fill="CFF0FC"/>
          </w:tcPr>
          <w:p>
            <w:pPr>
              <w:spacing w:after="0"/>
              <w:rPr>
                <w:sz w:val="16"/>
                <w:szCs w:val="16"/>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795,665,646</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effects on cash flows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0"/>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tcPr>
          <w:p>
            <w:pPr>
              <w:spacing w:after="0"/>
              <w:rPr>
                <w:sz w:val="18"/>
                <w:szCs w:val="18"/>
                <w:color w:val="auto"/>
              </w:rPr>
            </w:pPr>
          </w:p>
        </w:tc>
        <w:tc>
          <w:tcPr>
            <w:tcW w:w="24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common stock transactions (a)</w:t>
            </w:r>
          </w:p>
        </w:tc>
        <w:tc>
          <w:tcPr>
            <w:tcW w:w="24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373</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Tax benefit realized from stock compensation</w:t>
            </w:r>
          </w:p>
        </w:tc>
        <w:tc>
          <w:tcPr>
            <w:tcW w:w="3060" w:type="dxa"/>
            <w:vAlign w:val="bottom"/>
            <w:gridSpan w:val="2"/>
            <w:shd w:val="clear" w:color="auto" w:fill="CFF0FC"/>
          </w:tcPr>
          <w:p>
            <w:pPr>
              <w:jc w:val="right"/>
              <w:ind w:right="48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179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Reduction to deferred tax asset</w:t>
            </w:r>
          </w:p>
        </w:tc>
        <w:tc>
          <w:tcPr>
            <w:tcW w:w="2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(43)</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Excess tax benefit for stock compensation</w:t>
            </w:r>
          </w:p>
        </w:tc>
        <w:tc>
          <w:tcPr>
            <w:tcW w:w="242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shd w:val="clear" w:color="auto" w:fill="CFF0FC"/>
          </w:tcPr>
          <w:p>
            <w:pPr>
              <w:spacing w:after="0"/>
              <w:rPr>
                <w:sz w:val="18"/>
                <w:szCs w:val="18"/>
                <w:color w:val="auto"/>
              </w:rPr>
            </w:pPr>
          </w:p>
        </w:tc>
        <w:tc>
          <w:tcPr>
            <w:tcW w:w="242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136</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580" w:hanging="5612"/>
        <w:spacing w:after="0" w:line="528" w:lineRule="auto"/>
        <w:tabs>
          <w:tab w:leader="none" w:pos="5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of taxes paid for employee shares withheld of $60 million, $83 million and $70 million in 2018, 2017 and 2016, respectively.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Profit sharing plans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recognized $354 million, $355 million and $346 million of profit sharing expense under the TI Employee Profit Sharing Plan in 2018, 2017 and 2016, respectively.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comprised of the following components: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8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FF0FC"/>
            </w:tcBorders>
          </w:tcPr>
          <w:p>
            <w:pPr>
              <w:spacing w:after="0"/>
              <w:rPr>
                <w:sz w:val="18"/>
                <w:szCs w:val="18"/>
                <w:color w:val="auto"/>
              </w:rPr>
            </w:pPr>
          </w:p>
        </w:tc>
      </w:tr>
      <w:tr>
        <w:trPr>
          <w:trHeight w:val="212"/>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U.S.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5,672</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5,130</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3,953</w:t>
            </w:r>
          </w:p>
        </w:tc>
        <w:tc>
          <w:tcPr>
            <w:tcW w:w="120" w:type="dxa"/>
            <w:vAlign w:val="bottom"/>
            <w:shd w:val="clear" w:color="auto" w:fill="CFF0FC"/>
          </w:tcPr>
          <w:p>
            <w:pPr>
              <w:spacing w:after="0"/>
              <w:rPr>
                <w:sz w:val="18"/>
                <w:szCs w:val="18"/>
                <w:color w:val="auto"/>
              </w:rPr>
            </w:pP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Non-U.S.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1,014</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6,686</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6,080</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4,930</w:t>
            </w:r>
          </w:p>
        </w:tc>
        <w:tc>
          <w:tcPr>
            <w:tcW w:w="120" w:type="dxa"/>
            <w:vAlign w:val="bottom"/>
            <w:shd w:val="clear" w:color="auto" w:fill="CFF0FC"/>
          </w:tcPr>
          <w:p>
            <w:pPr>
              <w:spacing w:after="0"/>
              <w:rPr>
                <w:sz w:val="18"/>
                <w:szCs w:val="18"/>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comprised of the following components: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360"/>
              <w:spacing w:after="0"/>
              <w:rPr>
                <w:sz w:val="20"/>
                <w:szCs w:val="20"/>
                <w:color w:val="auto"/>
              </w:rPr>
            </w:pPr>
            <w:r>
              <w:rPr>
                <w:rFonts w:ascii="Arial" w:cs="Arial" w:eastAsia="Arial" w:hAnsi="Arial"/>
                <w:sz w:val="16"/>
                <w:szCs w:val="16"/>
                <w:b w:val="1"/>
                <w:bCs w:val="1"/>
                <w:color w:val="auto"/>
              </w:rPr>
              <w:t>For Years Ended December 31,</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Current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1"/>
              </w:rPr>
              <w:t>Deferred</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Current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1"/>
              </w:rPr>
              <w:t>Deferred</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Current</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Deferred</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FF0FC"/>
            </w:tcBorders>
          </w:tcPr>
          <w:p>
            <w:pPr>
              <w:spacing w:after="0"/>
              <w:rPr>
                <w:sz w:val="18"/>
                <w:szCs w:val="18"/>
                <w:color w:val="auto"/>
              </w:rPr>
            </w:pPr>
          </w:p>
        </w:tc>
      </w:tr>
      <w:tr>
        <w:trPr>
          <w:trHeight w:val="212"/>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U.S. federal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881</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(122)</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CFF0FC"/>
          </w:tcPr>
          <w:p>
            <w:pPr>
              <w:spacing w:after="0"/>
              <w:rPr>
                <w:sz w:val="18"/>
                <w:szCs w:val="18"/>
                <w:color w:val="auto"/>
              </w:rPr>
            </w:pPr>
          </w:p>
        </w:tc>
      </w:tr>
      <w:tr>
        <w:trPr>
          <w:trHeight w:val="213"/>
        </w:trPr>
        <w:tc>
          <w:tcPr>
            <w:tcW w:w="1880" w:type="dxa"/>
            <w:vAlign w:val="bottom"/>
          </w:tcPr>
          <w:p>
            <w:pPr>
              <w:spacing w:after="0"/>
              <w:rPr>
                <w:sz w:val="20"/>
                <w:szCs w:val="20"/>
                <w:color w:val="auto"/>
              </w:rPr>
            </w:pPr>
            <w:r>
              <w:rPr>
                <w:rFonts w:ascii="Arial" w:cs="Arial" w:eastAsia="Arial" w:hAnsi="Arial"/>
                <w:sz w:val="16"/>
                <w:szCs w:val="16"/>
                <w:color w:val="auto"/>
              </w:rPr>
              <w:t>Non-U.S.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r>
      <w:tr>
        <w:trPr>
          <w:trHeight w:val="219"/>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U.S. state</w:t>
            </w: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9"/>
                <w:szCs w:val="19"/>
                <w:color w:val="auto"/>
              </w:rPr>
            </w:pPr>
          </w:p>
        </w:tc>
      </w:tr>
      <w:tr>
        <w:trPr>
          <w:trHeight w:val="207"/>
        </w:trPr>
        <w:tc>
          <w:tcPr>
            <w:tcW w:w="1880" w:type="dxa"/>
            <w:vAlign w:val="bottom"/>
          </w:tcPr>
          <w:p>
            <w:pPr>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1,211</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1,106</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2,286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112</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2,398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1,537</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(202)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Principal reconciling items from the U.S. statutory income tax rate to the effective tax rate (provision for income taxes as a percentage of income before income taxes) are as follows:</w:t>
      </w:r>
    </w:p>
    <w:p>
      <w:pPr>
        <w:spacing w:after="0" w:line="225"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For 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CCEEFF"/>
            </w:tcBorders>
          </w:tcPr>
          <w:p>
            <w:pPr>
              <w:spacing w:after="0"/>
              <w:rPr>
                <w:sz w:val="18"/>
                <w:szCs w:val="18"/>
                <w:color w:val="auto"/>
              </w:rPr>
            </w:pPr>
          </w:p>
        </w:tc>
      </w:tr>
      <w:tr>
        <w:trPr>
          <w:trHeight w:val="212"/>
        </w:trPr>
        <w:tc>
          <w:tcPr>
            <w:tcW w:w="8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U.S. statutory income tax rate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6"/>
              </w:rPr>
              <w:t>21.0%</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2"/>
              </w:rPr>
              <w:t>35.0%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35.0%</w:t>
            </w:r>
          </w:p>
        </w:tc>
      </w:tr>
      <w:tr>
        <w:trPr>
          <w:trHeight w:val="213"/>
        </w:trPr>
        <w:tc>
          <w:tcPr>
            <w:tcW w:w="8320" w:type="dxa"/>
            <w:vAlign w:val="bottom"/>
            <w:gridSpan w:val="3"/>
          </w:tcPr>
          <w:p>
            <w:pPr>
              <w:spacing w:after="0"/>
              <w:rPr>
                <w:sz w:val="20"/>
                <w:szCs w:val="20"/>
                <w:color w:val="auto"/>
              </w:rPr>
            </w:pPr>
            <w:r>
              <w:rPr>
                <w:rFonts w:ascii="Arial" w:cs="Arial" w:eastAsia="Arial" w:hAnsi="Arial"/>
                <w:sz w:val="16"/>
                <w:szCs w:val="16"/>
                <w:color w:val="auto"/>
              </w:rPr>
              <w:t>U.S. tax benefit for foreign derived intangible income</w:t>
            </w:r>
          </w:p>
        </w:tc>
        <w:tc>
          <w:tcPr>
            <w:tcW w:w="7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(5.3)</w:t>
            </w:r>
          </w:p>
        </w:tc>
        <w:tc>
          <w:tcPr>
            <w:tcW w:w="62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gridSpan w:val="2"/>
            <w:shd w:val="clear" w:color="auto" w:fill="D0EEFF"/>
          </w:tcPr>
          <w:p>
            <w:pPr>
              <w:spacing w:after="0"/>
              <w:rPr>
                <w:sz w:val="20"/>
                <w:szCs w:val="20"/>
                <w:color w:val="auto"/>
              </w:rPr>
            </w:pPr>
            <w:r>
              <w:rPr>
                <w:rFonts w:ascii="Arial" w:cs="Arial" w:eastAsia="Arial" w:hAnsi="Arial"/>
                <w:sz w:val="16"/>
                <w:szCs w:val="16"/>
                <w:color w:val="auto"/>
              </w:rPr>
              <w:t>U.S. Tax Act transitional non-cash expense</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gridSpan w:val="3"/>
          </w:tcPr>
          <w:p>
            <w:pPr>
              <w:spacing w:after="0"/>
              <w:rPr>
                <w:sz w:val="20"/>
                <w:szCs w:val="20"/>
                <w:color w:val="auto"/>
              </w:rPr>
            </w:pPr>
            <w:r>
              <w:rPr>
                <w:rFonts w:ascii="Arial" w:cs="Arial" w:eastAsia="Arial" w:hAnsi="Arial"/>
                <w:sz w:val="16"/>
                <w:szCs w:val="16"/>
                <w:color w:val="auto"/>
              </w:rPr>
              <w:t>U.S. Tax Act enactment-date effects and measurement period adjustments</w:t>
            </w:r>
          </w:p>
        </w:tc>
        <w:tc>
          <w:tcPr>
            <w:tcW w:w="7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(0.7)</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12.7</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gridSpan w:val="2"/>
            <w:shd w:val="clear" w:color="auto" w:fill="D0EEFF"/>
          </w:tcPr>
          <w:p>
            <w:pPr>
              <w:spacing w:after="0"/>
              <w:rPr>
                <w:sz w:val="20"/>
                <w:szCs w:val="20"/>
                <w:color w:val="auto"/>
              </w:rPr>
            </w:pPr>
            <w:r>
              <w:rPr>
                <w:rFonts w:ascii="Arial" w:cs="Arial" w:eastAsia="Arial" w:hAnsi="Arial"/>
                <w:sz w:val="16"/>
                <w:szCs w:val="16"/>
                <w:color w:val="auto"/>
              </w:rPr>
              <w:t>U.S. tax on global intangible low-taxed income</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0.4</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gridSpan w:val="3"/>
          </w:tcPr>
          <w:p>
            <w:pPr>
              <w:spacing w:after="0"/>
              <w:rPr>
                <w:sz w:val="20"/>
                <w:szCs w:val="20"/>
                <w:color w:val="auto"/>
              </w:rPr>
            </w:pPr>
            <w:r>
              <w:rPr>
                <w:rFonts w:ascii="Arial" w:cs="Arial" w:eastAsia="Arial" w:hAnsi="Arial"/>
                <w:sz w:val="16"/>
                <w:szCs w:val="16"/>
                <w:color w:val="auto"/>
              </w:rPr>
              <w:t>U.S. tax benefit for manufacturing</w:t>
            </w:r>
          </w:p>
        </w:tc>
        <w:tc>
          <w:tcPr>
            <w:tcW w:w="134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(1.6)</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r>
      <w:tr>
        <w:trPr>
          <w:trHeight w:val="219"/>
        </w:trPr>
        <w:tc>
          <w:tcPr>
            <w:tcW w:w="7900" w:type="dxa"/>
            <w:vAlign w:val="bottom"/>
            <w:gridSpan w:val="2"/>
            <w:shd w:val="clear" w:color="auto" w:fill="D0EEFF"/>
          </w:tcPr>
          <w:p>
            <w:pPr>
              <w:spacing w:after="0"/>
              <w:rPr>
                <w:sz w:val="20"/>
                <w:szCs w:val="20"/>
                <w:color w:val="auto"/>
              </w:rPr>
            </w:pPr>
            <w:r>
              <w:rPr>
                <w:rFonts w:ascii="Arial" w:cs="Arial" w:eastAsia="Arial" w:hAnsi="Arial"/>
                <w:sz w:val="16"/>
                <w:szCs w:val="16"/>
                <w:color w:val="auto"/>
              </w:rPr>
              <w:t>U.S. excess tax benefit for stock compensation</w:t>
            </w:r>
          </w:p>
        </w:tc>
        <w:tc>
          <w:tcPr>
            <w:tcW w:w="4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(2.0)</w:t>
            </w:r>
          </w:p>
        </w:tc>
        <w:tc>
          <w:tcPr>
            <w:tcW w:w="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r>
      <w:tr>
        <w:trPr>
          <w:trHeight w:val="213"/>
        </w:trPr>
        <w:tc>
          <w:tcPr>
            <w:tcW w:w="8320" w:type="dxa"/>
            <w:vAlign w:val="bottom"/>
            <w:gridSpan w:val="3"/>
          </w:tcPr>
          <w:p>
            <w:pPr>
              <w:spacing w:after="0"/>
              <w:rPr>
                <w:sz w:val="20"/>
                <w:szCs w:val="20"/>
                <w:color w:val="auto"/>
              </w:rPr>
            </w:pPr>
            <w:r>
              <w:rPr>
                <w:rFonts w:ascii="Arial" w:cs="Arial" w:eastAsia="Arial" w:hAnsi="Arial"/>
                <w:sz w:val="16"/>
                <w:szCs w:val="16"/>
                <w:color w:val="auto"/>
              </w:rPr>
              <w:t>U.S. R&amp;D tax credit</w:t>
            </w:r>
          </w:p>
        </w:tc>
        <w:tc>
          <w:tcPr>
            <w:tcW w:w="7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(1.3)</w:t>
            </w:r>
          </w:p>
        </w:tc>
        <w:tc>
          <w:tcPr>
            <w:tcW w:w="6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(1.1)</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r>
      <w:tr>
        <w:trPr>
          <w:trHeight w:val="219"/>
        </w:trPr>
        <w:tc>
          <w:tcPr>
            <w:tcW w:w="7900" w:type="dxa"/>
            <w:vAlign w:val="bottom"/>
            <w:gridSpan w:val="2"/>
            <w:shd w:val="clear" w:color="auto" w:fill="D0EEFF"/>
          </w:tcPr>
          <w:p>
            <w:pPr>
              <w:spacing w:after="0"/>
              <w:rPr>
                <w:sz w:val="20"/>
                <w:szCs w:val="20"/>
                <w:color w:val="auto"/>
              </w:rPr>
            </w:pPr>
            <w:r>
              <w:rPr>
                <w:rFonts w:ascii="Arial" w:cs="Arial" w:eastAsia="Arial" w:hAnsi="Arial"/>
                <w:sz w:val="16"/>
                <w:szCs w:val="16"/>
                <w:color w:val="auto"/>
              </w:rPr>
              <w:t>U.S. non-deductible expenses</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9"/>
                <w:szCs w:val="19"/>
                <w:color w:val="auto"/>
              </w:rPr>
            </w:pPr>
          </w:p>
        </w:tc>
      </w:tr>
      <w:tr>
        <w:trPr>
          <w:trHeight w:val="213"/>
        </w:trPr>
        <w:tc>
          <w:tcPr>
            <w:tcW w:w="8320" w:type="dxa"/>
            <w:vAlign w:val="bottom"/>
            <w:gridSpan w:val="3"/>
          </w:tcPr>
          <w:p>
            <w:pPr>
              <w:spacing w:after="0"/>
              <w:rPr>
                <w:sz w:val="20"/>
                <w:szCs w:val="20"/>
                <w:color w:val="auto"/>
              </w:rPr>
            </w:pPr>
            <w:r>
              <w:rPr>
                <w:rFonts w:ascii="Arial" w:cs="Arial" w:eastAsia="Arial" w:hAnsi="Arial"/>
                <w:sz w:val="16"/>
                <w:szCs w:val="16"/>
                <w:color w:val="auto"/>
              </w:rPr>
              <w:t>Non-U.S. effective tax rates</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(2.5)</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(3.7)</w:t>
            </w:r>
          </w:p>
        </w:tc>
      </w:tr>
      <w:tr>
        <w:trPr>
          <w:trHeight w:val="219"/>
        </w:trPr>
        <w:tc>
          <w:tcPr>
            <w:tcW w:w="7900" w:type="dxa"/>
            <w:vAlign w:val="bottom"/>
            <w:gridSpan w:val="2"/>
            <w:shd w:val="clear" w:color="auto" w:fill="D0EEFF"/>
          </w:tcPr>
          <w:p>
            <w:pPr>
              <w:spacing w:after="0"/>
              <w:rPr>
                <w:sz w:val="20"/>
                <w:szCs w:val="20"/>
                <w:color w:val="auto"/>
              </w:rPr>
            </w:pPr>
            <w:r>
              <w:rPr>
                <w:rFonts w:ascii="Arial" w:cs="Arial" w:eastAsia="Arial" w:hAnsi="Arial"/>
                <w:sz w:val="16"/>
                <w:szCs w:val="16"/>
                <w:color w:val="auto"/>
              </w:rPr>
              <w:t>Impact of changes to uncertain tax positions</w:t>
            </w:r>
          </w:p>
        </w:tc>
        <w:tc>
          <w:tcPr>
            <w:tcW w:w="4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19"/>
                <w:szCs w:val="19"/>
                <w:color w:val="auto"/>
              </w:rPr>
            </w:pPr>
          </w:p>
        </w:tc>
      </w:tr>
      <w:tr>
        <w:trPr>
          <w:trHeight w:val="213"/>
        </w:trPr>
        <w:tc>
          <w:tcPr>
            <w:tcW w:w="7700" w:type="dxa"/>
            <w:vAlign w:val="bottom"/>
          </w:tcPr>
          <w:p>
            <w:pPr>
              <w:spacing w:after="0"/>
              <w:rPr>
                <w:sz w:val="20"/>
                <w:szCs w:val="20"/>
                <w:color w:val="auto"/>
              </w:rPr>
            </w:pPr>
            <w:r>
              <w:rPr>
                <w:rFonts w:ascii="Arial" w:cs="Arial" w:eastAsia="Arial" w:hAnsi="Arial"/>
                <w:sz w:val="16"/>
                <w:szCs w:val="16"/>
                <w:color w:val="auto"/>
              </w:rPr>
              <w:t>Other</w:t>
            </w:r>
          </w:p>
        </w:tc>
        <w:tc>
          <w:tcPr>
            <w:tcW w:w="620" w:type="dxa"/>
            <w:vAlign w:val="bottom"/>
            <w:gridSpan w:val="2"/>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(0.1)</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8"/>
                <w:szCs w:val="18"/>
                <w:color w:val="auto"/>
              </w:rPr>
            </w:pPr>
          </w:p>
        </w:tc>
      </w:tr>
      <w:tr>
        <w:trPr>
          <w:trHeight w:val="20"/>
        </w:trPr>
        <w:tc>
          <w:tcPr>
            <w:tcW w:w="770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62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6"/>
              </w:rPr>
              <w:t>16.5%</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2"/>
              </w:rPr>
              <w:t>39.4%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40" w:name="page41"/>
    <w:bookmarkEnd w:id="40"/>
    <w:p>
      <w:pPr>
        <w:ind w:right="120"/>
        <w:spacing w:after="0" w:line="271" w:lineRule="auto"/>
        <w:rPr>
          <w:sz w:val="20"/>
          <w:szCs w:val="20"/>
          <w:color w:val="auto"/>
        </w:rPr>
      </w:pPr>
      <w:r>
        <w:rPr>
          <w:rFonts w:ascii="Arial" w:cs="Arial" w:eastAsia="Arial" w:hAnsi="Arial"/>
          <w:sz w:val="17"/>
          <w:szCs w:val="17"/>
          <w:color w:val="auto"/>
        </w:rPr>
        <w:t>The Tax Act was enacted on December 22, 2017. The Tax Act reduces the U.S. statutory income tax rate from 35 percent to 21 percent and requires companies to pay a one-time tax on indefinitely reinvested earnings of certain non-U.S. subsidiaries that were previously tax deferred. We applied the guidance in Staff Accounting Bulletin No. 118 when accounting for the enactment-date effects of the Tax Act in 2017 and throughout 2018. As of December 31, 2017, we had not completed our accounting for the enactment-date income tax effects of the Tax Act for the following aspects: one-time tax on indefinitely reinvested earnings and the effects on our existing deferred tax balances. As of December 31, 2018, we completed our accounting for the enactment-date income tax effects of the Tax Act. We booked a provisional amount of $773 million in 2017 and reduced our provisional amount by $44 million in 2018, for a net of $729 million. The Tax Act also included the global intangible low-taxed income (GILTI) tax for years beginning in 2018. We account for the effects of GILTI as a component of income tax expense in the period in which the tax arises.</w:t>
      </w:r>
    </w:p>
    <w:p>
      <w:pPr>
        <w:spacing w:after="0" w:line="17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earnings represented by non-cash operating assets, such as fixed assets and certain inventory, will continue to be permanently reinvested outside the United States. The tax on indefinitely reinvested earnings eliminates any additional U.S. taxation of these earnings upon repatriation to the United States. Consequently, no U.S. tax provision has been made for the future remittance of these earnings. However, withholding taxes in certain non-U.S. jurisdictions will be incurred upon repatriation of available cash to the United States. A provision has been made for deferred taxes on these undistributed earnings to the extent that dividend payments from these subsidiaries are expected to result in a withholding tax liability. As of December 31, 2018, we have no basis differences that would result in material unrecognized deferred tax liabilities.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effective tax rate is affected by U.S. tax benefits and tax rates applicable to our operations in many of the jurisdictions in which we operate, most of which were lower than the U.S. statutory income tax rate prior to enactment of the Tax Act. These non-U.S. tax rates are generally statutory in nature and without expiration.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deferred tax assets and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tcPr>
          <w:p>
            <w:pPr>
              <w:ind w:left="140"/>
              <w:spacing w:after="0"/>
              <w:rPr>
                <w:sz w:val="20"/>
                <w:szCs w:val="20"/>
                <w:color w:val="auto"/>
              </w:rPr>
            </w:pPr>
            <w:r>
              <w:rPr>
                <w:rFonts w:ascii="Arial" w:cs="Arial" w:eastAsia="Arial" w:hAnsi="Arial"/>
                <w:sz w:val="16"/>
                <w:szCs w:val="16"/>
                <w:color w:val="auto"/>
              </w:rPr>
              <w:t>Deferred loss and tax credit carryforwards</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247</w:t>
            </w:r>
          </w:p>
        </w:tc>
        <w:tc>
          <w:tcPr>
            <w:tcW w:w="3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12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and related reserves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120" w:type="dxa"/>
            <w:vAlign w:val="bottom"/>
          </w:tcPr>
          <w:p>
            <w:pPr>
              <w:ind w:left="140"/>
              <w:spacing w:after="0"/>
              <w:rPr>
                <w:sz w:val="20"/>
                <w:szCs w:val="20"/>
                <w:color w:val="auto"/>
              </w:rPr>
            </w:pPr>
            <w:r>
              <w:rPr>
                <w:rFonts w:ascii="Arial" w:cs="Arial" w:eastAsia="Arial" w:hAnsi="Arial"/>
                <w:sz w:val="16"/>
                <w:szCs w:val="16"/>
                <w:color w:val="auto"/>
              </w:rPr>
              <w:t>Retirement costs for defined benefit and retiree health care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120" w:type="dxa"/>
            <w:vAlign w:val="bottom"/>
          </w:tcPr>
          <w:p>
            <w:pPr>
              <w:spacing w:after="0"/>
              <w:rPr>
                <w:sz w:val="20"/>
                <w:szCs w:val="20"/>
                <w:color w:val="auto"/>
              </w:rPr>
            </w:pPr>
            <w:r>
              <w:rPr>
                <w:rFonts w:ascii="Arial" w:cs="Arial" w:eastAsia="Arial" w:hAnsi="Arial"/>
                <w:sz w:val="16"/>
                <w:szCs w:val="16"/>
                <w:color w:val="auto"/>
              </w:rPr>
              <w:t>Total deferred tax assets, before valuation allowance</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685</w:t>
            </w:r>
          </w:p>
        </w:tc>
        <w:tc>
          <w:tcPr>
            <w:tcW w:w="3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(172)</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7"/>
        </w:trPr>
        <w:tc>
          <w:tcPr>
            <w:tcW w:w="9120" w:type="dxa"/>
            <w:vAlign w:val="bottom"/>
          </w:tcPr>
          <w:p>
            <w:pPr>
              <w:spacing w:after="0"/>
              <w:rPr>
                <w:sz w:val="20"/>
                <w:szCs w:val="20"/>
                <w:color w:val="auto"/>
              </w:rPr>
            </w:pPr>
            <w:r>
              <w:rPr>
                <w:rFonts w:ascii="Arial" w:cs="Arial" w:eastAsia="Arial" w:hAnsi="Arial"/>
                <w:sz w:val="16"/>
                <w:szCs w:val="16"/>
                <w:color w:val="auto"/>
              </w:rPr>
              <w:t>Total deferred tax assets, after valuation allowance</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513</w:t>
            </w:r>
          </w:p>
        </w:tc>
        <w:tc>
          <w:tcPr>
            <w:tcW w:w="3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120" w:type="dxa"/>
            <w:vAlign w:val="bottom"/>
          </w:tcPr>
          <w:p>
            <w:pPr>
              <w:ind w:left="140"/>
              <w:spacing w:after="0"/>
              <w:rPr>
                <w:sz w:val="20"/>
                <w:szCs w:val="20"/>
                <w:color w:val="auto"/>
              </w:rPr>
            </w:pPr>
            <w:r>
              <w:rPr>
                <w:rFonts w:ascii="Arial" w:cs="Arial" w:eastAsia="Arial" w:hAnsi="Arial"/>
                <w:sz w:val="16"/>
                <w:szCs w:val="16"/>
                <w:color w:val="auto"/>
              </w:rPr>
              <w:t>Acquisition-related intangibles and fair-value adjustments</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(142)</w:t>
            </w: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9"/>
        </w:trPr>
        <w:tc>
          <w:tcPr>
            <w:tcW w:w="9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earnings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(43)</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9120" w:type="dxa"/>
            <w:vAlign w:val="bottom"/>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(75)</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deferred tax liabilities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(260)</w:t>
            </w:r>
          </w:p>
        </w:tc>
        <w:tc>
          <w:tcPr>
            <w:tcW w:w="3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7"/>
        </w:trPr>
        <w:tc>
          <w:tcPr>
            <w:tcW w:w="9120" w:type="dxa"/>
            <w:vAlign w:val="bottom"/>
          </w:tcPr>
          <w:p>
            <w:pPr>
              <w:spacing w:after="0"/>
              <w:rPr>
                <w:sz w:val="20"/>
                <w:szCs w:val="20"/>
                <w:color w:val="auto"/>
              </w:rPr>
            </w:pPr>
            <w:r>
              <w:rPr>
                <w:rFonts w:ascii="Arial" w:cs="Arial" w:eastAsia="Arial" w:hAnsi="Arial"/>
                <w:sz w:val="16"/>
                <w:szCs w:val="16"/>
                <w:color w:val="auto"/>
              </w:rPr>
              <w:t>Net deferred tax asset</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w:t>
            </w:r>
          </w:p>
        </w:tc>
        <w:tc>
          <w:tcPr>
            <w:tcW w:w="3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600" w:type="dxa"/>
            <w:vAlign w:val="bottom"/>
            <w:shd w:val="clear" w:color="auto" w:fill="CCEEFF"/>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295</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6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r>
      <w:tr>
        <w:trPr>
          <w:trHeight w:val="210"/>
        </w:trPr>
        <w:tc>
          <w:tcPr>
            <w:tcW w:w="9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deferred tax asset</w:t>
            </w:r>
          </w:p>
        </w:tc>
        <w:tc>
          <w:tcPr>
            <w:tcW w:w="600" w:type="dxa"/>
            <w:vAlign w:val="bottom"/>
            <w:tcBorders>
              <w:top w:val="single" w:sz="8" w:color="auto"/>
              <w:bottom w:val="single" w:sz="8" w:color="auto"/>
            </w:tcBorders>
            <w:shd w:val="clear" w:color="auto" w:fill="CCEEFF"/>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increased by $7 million and $37 million in 2018 and 2017, respectively. These changes had no impact to net income in 2018 or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U.S. and non-U.S. tax loss carryforwards of approximately $6 million, none of which will expire before the year 2028.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Cash payments made for income taxes, net of refunds, were $705 million, $1.80 billion and $1.15 billion in 2018,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total amounts of uncertain tax positions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r>
      <w:tr>
        <w:trPr>
          <w:trHeight w:val="21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January 1</w:t>
            </w:r>
          </w:p>
        </w:tc>
        <w:tc>
          <w:tcPr>
            <w:tcW w:w="16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300</w:t>
            </w: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Additions for tax positions of prior years</w:t>
            </w:r>
          </w:p>
        </w:tc>
        <w:tc>
          <w:tcPr>
            <w:tcW w:w="1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FF0FC"/>
          </w:tcPr>
          <w:p>
            <w:pPr>
              <w:spacing w:after="0"/>
              <w:rPr>
                <w:sz w:val="19"/>
                <w:szCs w:val="19"/>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Reductions for tax positions of prior years</w:t>
            </w: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Settlements with tax authorities</w:t>
            </w:r>
          </w:p>
        </w:tc>
        <w:tc>
          <w:tcPr>
            <w:tcW w:w="1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(18)</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w:t>
            </w:r>
          </w:p>
        </w:tc>
      </w:tr>
      <w:tr>
        <w:trPr>
          <w:trHeight w:val="247"/>
        </w:trPr>
        <w:tc>
          <w:tcPr>
            <w:tcW w:w="6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Balance, December 31</w:t>
            </w:r>
          </w:p>
        </w:tc>
        <w:tc>
          <w:tcPr>
            <w:tcW w:w="166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286</w:t>
            </w:r>
          </w:p>
        </w:tc>
        <w:tc>
          <w:tcPr>
            <w:tcW w:w="3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3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FF0FC"/>
            </w:tcBorders>
          </w:tcPr>
          <w:p>
            <w:pPr>
              <w:spacing w:after="0"/>
              <w:rPr>
                <w:sz w:val="21"/>
                <w:szCs w:val="21"/>
                <w:color w:val="auto"/>
              </w:rPr>
            </w:pPr>
          </w:p>
        </w:tc>
      </w:tr>
      <w:tr>
        <w:trPr>
          <w:trHeight w:val="199"/>
        </w:trPr>
        <w:tc>
          <w:tcPr>
            <w:tcW w:w="6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3"/>
        </w:trPr>
        <w:tc>
          <w:tcPr>
            <w:tcW w:w="6160" w:type="dxa"/>
            <w:vAlign w:val="bottom"/>
          </w:tcPr>
          <w:p>
            <w:pPr>
              <w:spacing w:after="0"/>
              <w:rPr>
                <w:sz w:val="20"/>
                <w:szCs w:val="20"/>
                <w:color w:val="auto"/>
              </w:rPr>
            </w:pPr>
            <w:r>
              <w:rPr>
                <w:rFonts w:ascii="Arial" w:cs="Arial" w:eastAsia="Arial" w:hAnsi="Arial"/>
                <w:sz w:val="16"/>
                <w:szCs w:val="16"/>
                <w:color w:val="auto"/>
              </w:rPr>
              <w:t>Interest income (expense) recognized in the year ended December 31</w:t>
            </w:r>
          </w:p>
        </w:tc>
        <w:tc>
          <w:tcPr>
            <w:tcW w:w="2300" w:type="dxa"/>
            <w:vAlign w:val="bottom"/>
            <w:gridSpan w:val="2"/>
          </w:tcPr>
          <w:p>
            <w:pPr>
              <w:jc w:val="right"/>
              <w:ind w:right="484"/>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r>
      <w:tr>
        <w:trPr>
          <w:trHeight w:val="199"/>
        </w:trPr>
        <w:tc>
          <w:tcPr>
            <w:tcW w:w="6160" w:type="dxa"/>
            <w:vAlign w:val="bottom"/>
            <w:tcBorders>
              <w:top w:val="single" w:sz="8" w:color="CFF0FC"/>
            </w:tcBorders>
            <w:shd w:val="clear" w:color="auto" w:fill="CFF0FC"/>
          </w:tcPr>
          <w:p>
            <w:pPr>
              <w:spacing w:after="0"/>
              <w:rPr>
                <w:sz w:val="17"/>
                <w:szCs w:val="17"/>
                <w:color w:val="auto"/>
              </w:rPr>
            </w:pPr>
          </w:p>
        </w:tc>
        <w:tc>
          <w:tcPr>
            <w:tcW w:w="166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Interest receivable (payable) as of December 31</w:t>
            </w:r>
          </w:p>
        </w:tc>
        <w:tc>
          <w:tcPr>
            <w:tcW w:w="2300" w:type="dxa"/>
            <w:vAlign w:val="bottom"/>
            <w:gridSpan w:val="2"/>
          </w:tcPr>
          <w:p>
            <w:pPr>
              <w:jc w:val="right"/>
              <w:ind w:right="484"/>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(38)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uncertain tax positions is a component of other long-term liabilities on our Consolidated Balance Sheets.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of the $286 million and $300 million liabilities for uncertain tax positions as of December 31, 2018 and 2017, respectively, are comprised of positions that, if recognized, would lower the effective tax rate. If these liabilities are ultimately realized, $30 million and $13 million of existing deferred tax assets in 2018 and 2017, respectively, would also be realized. It is reasonably possible that the $286 million liability as of December 31, 2018, could decrease by up to $223 million in 2019 for the resolution of a tax depreciation-related position.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2018, the statute of limitations remains open for U.S. federal tax returns for 2013 and following years. Audit activities related to our U.S. federal tax returns through 2012 have been completed except for certain pending tax treaty procedures for relief from double taxation. The procedures for relief from double taxation pertain to U.S. federal tax returns for the years 2006 through 2012. The audit of the U.S. federal tax returns for 2013 through 2015 is underway.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2007.</w:t>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risk concentration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We hold derivative financial instruments such as forward foreign currency exchange contracts, the fair value of which was not material as of December 31, 2018. Our forward foreign currency exchange contracts outstanding as of December 31, 2018, had a notional value of $525 million to hedge our non-U.S. dollar net balance sheet exposures, including $160 million to sell Japanese yen, $99 million to sell euros and $94 million to sell Indian rupees.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7 for a description of fair value and the definition of Level 2 inputs.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Risk concentration</w:t>
      </w:r>
    </w:p>
    <w:p>
      <w:pPr>
        <w:spacing w:after="0" w:line="225" w:lineRule="exact"/>
        <w:rPr>
          <w:sz w:val="20"/>
          <w:szCs w:val="20"/>
          <w:color w:val="auto"/>
        </w:rPr>
      </w:pPr>
    </w:p>
    <w:p>
      <w:pPr>
        <w:ind w:right="640"/>
        <w:spacing w:after="0" w:line="302" w:lineRule="auto"/>
        <w:rPr>
          <w:sz w:val="20"/>
          <w:szCs w:val="20"/>
          <w:color w:val="auto"/>
        </w:rPr>
      </w:pPr>
      <w:r>
        <w:rPr>
          <w:rFonts w:ascii="Arial" w:cs="Arial" w:eastAsia="Arial" w:hAnsi="Arial"/>
          <w:sz w:val="16"/>
          <w:szCs w:val="16"/>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15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collectability. These allowances are deducted from accounts receivable on our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these accounts receivable allowances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r>
      <w:tr>
        <w:trPr>
          <w:trHeight w:val="21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w:t>
            </w:r>
          </w:p>
        </w:tc>
        <w:tc>
          <w:tcPr>
            <w:tcW w:w="2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Amounts charged (credited) to operating results</w:t>
            </w: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Recoveries and write-offs, net</w:t>
            </w:r>
          </w:p>
        </w:tc>
        <w:tc>
          <w:tcPr>
            <w:tcW w:w="23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r>
      <w:tr>
        <w:trPr>
          <w:trHeight w:val="207"/>
        </w:trPr>
        <w:tc>
          <w:tcPr>
            <w:tcW w:w="5480" w:type="dxa"/>
            <w:vAlign w:val="bottom"/>
          </w:tcPr>
          <w:p>
            <w:pPr>
              <w:spacing w:after="0"/>
              <w:rPr>
                <w:sz w:val="20"/>
                <w:szCs w:val="20"/>
                <w:color w:val="auto"/>
              </w:rPr>
            </w:pPr>
            <w:r>
              <w:rPr>
                <w:rFonts w:ascii="Arial" w:cs="Arial" w:eastAsia="Arial" w:hAnsi="Arial"/>
                <w:sz w:val="16"/>
                <w:szCs w:val="16"/>
                <w:color w:val="auto"/>
              </w:rPr>
              <w:t>Balance, December 31</w:t>
            </w:r>
          </w:p>
        </w:tc>
        <w:tc>
          <w:tcPr>
            <w:tcW w:w="2360" w:type="dxa"/>
            <w:vAlign w:val="bottom"/>
          </w:tcPr>
          <w:p>
            <w:pPr>
              <w:spacing w:after="0"/>
              <w:rPr>
                <w:sz w:val="17"/>
                <w:szCs w:val="17"/>
                <w:color w:val="auto"/>
              </w:rPr>
            </w:pPr>
          </w:p>
        </w:tc>
        <w:tc>
          <w:tcPr>
            <w:tcW w:w="680" w:type="dxa"/>
            <w:vAlign w:val="bottom"/>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end customer accounted for 10 percent or more of revenue in 2018, 2017 or 2016.</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 measured at fair value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Available-for-sale debt investments and trading securities are stated at fair value, which is generally based on market prices or broker quotes. See </w:t>
      </w:r>
      <w:r>
        <w:rPr>
          <w:rFonts w:ascii="Arial" w:cs="Arial" w:eastAsia="Arial" w:hAnsi="Arial"/>
          <w:sz w:val="18"/>
          <w:szCs w:val="18"/>
          <w:i w:val="1"/>
          <w:iCs w:val="1"/>
          <w:color w:val="auto"/>
        </w:rPr>
        <w:t>Fair-value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considerations </w:t>
      </w:r>
      <w:r>
        <w:rPr>
          <w:rFonts w:ascii="Arial" w:cs="Arial" w:eastAsia="Arial" w:hAnsi="Arial"/>
          <w:sz w:val="18"/>
          <w:szCs w:val="18"/>
          <w:color w:val="auto"/>
        </w:rPr>
        <w:t>below. Unrealized gains and losses from available-for-sale debt securities are recorded as an increase or decrease, net of taxes, in AOCI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Other-than-temporary impairments on available-for-sale debt securities are recorded in OI&amp;E in our Consolidated Statements of Income.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Prior to our adoption of ASU 2016-01 in 2018, these securities were accounted for using the cost method of accounting, measured at cost less other-than-temporary impairment. Gains and losses on non-marketable equity investments are recognized in OI&amp;E.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Cash and Cash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Long-Term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Cash and Cash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Long-Term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gridSpan w:val="2"/>
          </w:tcPr>
          <w:p>
            <w:pPr>
              <w:spacing w:after="0"/>
              <w:rPr>
                <w:sz w:val="20"/>
                <w:szCs w:val="20"/>
                <w:color w:val="auto"/>
              </w:rPr>
            </w:pPr>
            <w:r>
              <w:rPr>
                <w:rFonts w:ascii="Arial" w:cs="Arial" w:eastAsia="Arial" w:hAnsi="Arial"/>
                <w:sz w:val="16"/>
                <w:szCs w:val="16"/>
                <w:color w:val="auto"/>
              </w:rPr>
              <w:t>Available-for-sale debt 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U.S. government agency and Treasury</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2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2,208</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1,795</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226</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2,813</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2,438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1,795</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251</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1,656</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2,813</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2018 and 2017, unrealized gains and losses associated with our available-for-sale investments were not material. We did not recognize any credit losses related to available-for-sale investments in 2018, 2017 or 2016.</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2018, 2017 and 2016, the proceeds from sales, redemptions and maturities of short-term available-for-sale investments were $6.71 billion, $4.10 billion and $3.39 billion, respectively. Gross realized gains and losses from these sales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December 31,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Fair Value</w:t>
            </w:r>
          </w:p>
        </w:tc>
        <w:tc>
          <w:tcPr>
            <w:tcW w:w="120" w:type="dxa"/>
            <w:vAlign w:val="bottom"/>
            <w:tcBorders>
              <w:bottom w:val="single" w:sz="8" w:color="CCEEFF"/>
            </w:tcBorders>
          </w:tcPr>
          <w:p>
            <w:pPr>
              <w:spacing w:after="0"/>
              <w:rPr>
                <w:sz w:val="18"/>
                <w:szCs w:val="18"/>
                <w:color w:val="auto"/>
              </w:rPr>
            </w:pPr>
          </w:p>
        </w:tc>
      </w:tr>
      <w:tr>
        <w:trPr>
          <w:trHeight w:val="213"/>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One year or less</w:t>
            </w:r>
          </w:p>
        </w:tc>
        <w:tc>
          <w:tcPr>
            <w:tcW w:w="4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3,838</w:t>
            </w:r>
          </w:p>
        </w:tc>
        <w:tc>
          <w:tcPr>
            <w:tcW w:w="120" w:type="dxa"/>
            <w:vAlign w:val="bottom"/>
            <w:shd w:val="clear" w:color="auto" w:fill="CCEEFF"/>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6"/>
                <w:szCs w:val="16"/>
                <w:color w:val="auto"/>
              </w:rPr>
              <w:t>One to two years</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declines and impairments in the values of our debt investments in 2018, 2017 or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ind w:left="1040" w:right="220" w:hanging="519"/>
        <w:spacing w:after="0" w:line="31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December 31, 2018 and 2017, we had no Level 3 assets or liabilities, other than certain assets held by our postretirement plans.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2018</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December 31, 2017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747</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747</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3,008</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1,221</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4,229</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3,526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920</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as of December 31, 2018 and 2017,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2"/>
          </w:tcPr>
          <w:p>
            <w:pPr>
              <w:ind w:left="320"/>
              <w:spacing w:after="0"/>
              <w:rPr>
                <w:sz w:val="20"/>
                <w:szCs w:val="20"/>
                <w:color w:val="auto"/>
              </w:rPr>
            </w:pPr>
            <w:r>
              <w:rPr>
                <w:rFonts w:ascii="Arial" w:cs="Arial" w:eastAsia="Arial" w:hAnsi="Arial"/>
                <w:sz w:val="16"/>
                <w:szCs w:val="16"/>
                <w:b w:val="1"/>
                <w:bCs w:val="1"/>
                <w:color w:val="auto"/>
              </w:rPr>
              <w:t>Goodwill</w:t>
            </w:r>
          </w:p>
        </w:tc>
      </w:tr>
      <w:tr>
        <w:trPr>
          <w:trHeight w:val="213"/>
        </w:trPr>
        <w:tc>
          <w:tcPr>
            <w:tcW w:w="9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Analog</w:t>
            </w:r>
          </w:p>
        </w:tc>
        <w:tc>
          <w:tcPr>
            <w:tcW w:w="400" w:type="dxa"/>
            <w:vAlign w:val="bottom"/>
            <w:tcBorders>
              <w:top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200" w:type="dxa"/>
            <w:vAlign w:val="bottom"/>
          </w:tcPr>
          <w:p>
            <w:pPr>
              <w:spacing w:after="0"/>
              <w:rPr>
                <w:sz w:val="20"/>
                <w:szCs w:val="20"/>
                <w:color w:val="auto"/>
              </w:rPr>
            </w:pPr>
            <w:r>
              <w:rPr>
                <w:rFonts w:ascii="Arial" w:cs="Arial" w:eastAsia="Arial" w:hAnsi="Arial"/>
                <w:sz w:val="16"/>
                <w:szCs w:val="16"/>
                <w:color w:val="auto"/>
              </w:rPr>
              <w:t>Embedded Processing</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r>
      <w:tr>
        <w:trPr>
          <w:trHeight w:val="219"/>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r>
      <w:tr>
        <w:trPr>
          <w:trHeight w:val="207"/>
        </w:trPr>
        <w:tc>
          <w:tcPr>
            <w:tcW w:w="9200" w:type="dxa"/>
            <w:vAlign w:val="bottom"/>
          </w:tcPr>
          <w:p>
            <w:pPr>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w:t>
            </w:r>
          </w:p>
        </w:tc>
        <w:tc>
          <w:tcPr>
            <w:tcW w:w="100" w:type="dxa"/>
            <w:vAlign w:val="bottom"/>
          </w:tcPr>
          <w:p>
            <w:pPr>
              <w:spacing w:after="0"/>
              <w:rPr>
                <w:sz w:val="17"/>
                <w:szCs w:val="17"/>
                <w:color w:val="auto"/>
              </w:rPr>
            </w:pPr>
          </w:p>
        </w:tc>
      </w:tr>
      <w:tr>
        <w:trPr>
          <w:trHeight w:val="20"/>
        </w:trPr>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perform our annual goodwill impairment test as of October 1 and determine whether the fair value of each of our reporting units is in excess of its carrying value. Determination of fair value is based upon management estimates and judgment, using unobservable inputs in discounted cash flow models to calculate the fair value of each reporting unit. These unobservable inputs are considered Level 3 measurements, as described in Note 7. In 2018, 2017 and 2016, we determined no impairment was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Gross Carrying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Accumulated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1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Net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Net</w:t>
            </w:r>
          </w:p>
        </w:tc>
        <w:tc>
          <w:tcPr>
            <w:tcW w:w="100" w:type="dxa"/>
            <w:vAlign w:val="bottom"/>
            <w:tcBorders>
              <w:bottom w:val="single" w:sz="8" w:color="CFF0FC"/>
            </w:tcBorders>
          </w:tcPr>
          <w:p>
            <w:pPr>
              <w:spacing w:after="0"/>
              <w:rPr>
                <w:sz w:val="19"/>
                <w:szCs w:val="19"/>
                <w:color w:val="auto"/>
              </w:rPr>
            </w:pPr>
          </w:p>
        </w:tc>
      </w:tr>
      <w:tr>
        <w:trPr>
          <w:trHeight w:val="213"/>
        </w:trPr>
        <w:tc>
          <w:tcPr>
            <w:tcW w:w="2140" w:type="dxa"/>
            <w:vAlign w:val="bottom"/>
            <w:shd w:val="clear" w:color="auto" w:fill="CFF0FC"/>
          </w:tcPr>
          <w:p>
            <w:pPr>
              <w:spacing w:after="0"/>
              <w:rPr>
                <w:sz w:val="20"/>
                <w:szCs w:val="20"/>
                <w:color w:val="auto"/>
              </w:rPr>
            </w:pPr>
            <w:r>
              <w:rPr>
                <w:rFonts w:ascii="Arial" w:cs="Arial" w:eastAsia="Arial" w:hAnsi="Arial"/>
                <w:sz w:val="16"/>
                <w:szCs w:val="16"/>
                <w:color w:val="auto"/>
              </w:rPr>
              <w:t>Developed technology</w:t>
            </w:r>
          </w:p>
        </w:tc>
        <w:tc>
          <w:tcPr>
            <w:tcW w:w="140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7 - 10</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2,125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1,573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552</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FF0FC"/>
          </w:tcPr>
          <w:p>
            <w:pPr>
              <w:spacing w:after="0"/>
              <w:rPr>
                <w:sz w:val="18"/>
                <w:szCs w:val="18"/>
                <w:color w:val="auto"/>
              </w:rPr>
            </w:pPr>
          </w:p>
        </w:tc>
      </w:tr>
      <w:tr>
        <w:trPr>
          <w:trHeight w:val="213"/>
        </w:trPr>
        <w:tc>
          <w:tcPr>
            <w:tcW w:w="2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w:t>
            </w:r>
          </w:p>
        </w:tc>
        <w:tc>
          <w:tcPr>
            <w:tcW w:w="1400" w:type="dxa"/>
            <w:vAlign w:val="bottom"/>
            <w:tcBorders>
              <w:bottom w:val="single" w:sz="8" w:color="CFF0FC"/>
            </w:tcBorders>
          </w:tcPr>
          <w:p>
            <w:pPr>
              <w:jc w:val="right"/>
              <w:ind w:right="579"/>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734</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FF0FC"/>
            </w:tcBorders>
          </w:tcPr>
          <w:p>
            <w:pPr>
              <w:spacing w:after="0"/>
              <w:rPr>
                <w:sz w:val="18"/>
                <w:szCs w:val="18"/>
                <w:color w:val="auto"/>
              </w:rPr>
            </w:pPr>
          </w:p>
        </w:tc>
      </w:tr>
      <w:tr>
        <w:trPr>
          <w:trHeight w:val="210"/>
        </w:trPr>
        <w:tc>
          <w:tcPr>
            <w:tcW w:w="214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2,935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2,307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628</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FF0FC"/>
          </w:tcPr>
          <w:p>
            <w:pPr>
              <w:spacing w:after="0"/>
              <w:rPr>
                <w:sz w:val="18"/>
                <w:szCs w:val="18"/>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Amortization of acquisition-related intangibles was $318 million, $318 million and $319 million in 2018, 2017 and 2016, respectively. Fully amortized assets are written off against accumulated amortization. Remaining estimated amortization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Amortization of</w:t>
            </w:r>
          </w:p>
        </w:tc>
      </w:tr>
      <w:tr>
        <w:trPr>
          <w:trHeight w:val="203"/>
        </w:trPr>
        <w:tc>
          <w:tcPr>
            <w:tcW w:w="9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Acquisition-Related</w:t>
            </w:r>
          </w:p>
        </w:tc>
      </w:tr>
      <w:tr>
        <w:trPr>
          <w:trHeight w:val="213"/>
        </w:trPr>
        <w:tc>
          <w:tcPr>
            <w:tcW w:w="9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Intangibles</w:t>
            </w:r>
          </w:p>
        </w:tc>
      </w:tr>
      <w:tr>
        <w:trPr>
          <w:trHeight w:val="213"/>
        </w:trPr>
        <w:tc>
          <w:tcPr>
            <w:tcW w:w="9420" w:type="dxa"/>
            <w:vAlign w:val="bottom"/>
            <w:tcBorders>
              <w:top w:val="single" w:sz="8" w:color="CCEEFF"/>
            </w:tcBorders>
            <w:shd w:val="clear" w:color="auto" w:fill="CCEEFF"/>
          </w:tcPr>
          <w:p>
            <w:pPr>
              <w:jc w:val="right"/>
              <w:ind w:right="8999"/>
              <w:spacing w:after="0"/>
              <w:rPr>
                <w:sz w:val="20"/>
                <w:szCs w:val="20"/>
                <w:color w:val="auto"/>
              </w:rPr>
            </w:pPr>
            <w:r>
              <w:rPr>
                <w:rFonts w:ascii="Arial" w:cs="Arial" w:eastAsia="Arial" w:hAnsi="Arial"/>
                <w:sz w:val="16"/>
                <w:szCs w:val="16"/>
                <w:color w:val="auto"/>
                <w:w w:val="89"/>
              </w:rPr>
              <w:t>2019</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9420" w:type="dxa"/>
            <w:vAlign w:val="bottom"/>
          </w:tcPr>
          <w:p>
            <w:pPr>
              <w:jc w:val="right"/>
              <w:ind w:right="8999"/>
              <w:spacing w:after="0"/>
              <w:rPr>
                <w:sz w:val="20"/>
                <w:szCs w:val="20"/>
                <w:color w:val="auto"/>
              </w:rPr>
            </w:pPr>
            <w:r>
              <w:rPr>
                <w:rFonts w:ascii="Arial" w:cs="Arial" w:eastAsia="Arial" w:hAnsi="Arial"/>
                <w:sz w:val="16"/>
                <w:szCs w:val="16"/>
                <w:color w:val="auto"/>
                <w:w w:val="89"/>
              </w:rPr>
              <w:t>2020</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r>
      <w:tr>
        <w:trPr>
          <w:trHeight w:val="219"/>
        </w:trPr>
        <w:tc>
          <w:tcPr>
            <w:tcW w:w="9420" w:type="dxa"/>
            <w:vAlign w:val="bottom"/>
            <w:shd w:val="clear" w:color="auto" w:fill="CCEEFF"/>
          </w:tcPr>
          <w:p>
            <w:pPr>
              <w:jc w:val="right"/>
              <w:ind w:right="8999"/>
              <w:spacing w:after="0"/>
              <w:rPr>
                <w:sz w:val="20"/>
                <w:szCs w:val="20"/>
                <w:color w:val="auto"/>
              </w:rPr>
            </w:pPr>
            <w:r>
              <w:rPr>
                <w:rFonts w:ascii="Arial" w:cs="Arial" w:eastAsia="Arial" w:hAnsi="Arial"/>
                <w:sz w:val="16"/>
                <w:szCs w:val="16"/>
                <w:color w:val="auto"/>
                <w:w w:val="89"/>
              </w:rPr>
              <w:t>2021</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descriptions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retirement plans</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 described below.</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Both defined contribution plans offer an employer-matching savings option that allows employees to make pre-tax and post-tax contributions to various investment choices.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December 31, 2018 and 2017, as a result of employees’ elections, TI’s U.S. defined contribution plans held shares of TI common stock totaling 9 million shares and 10 million shares valued at $821 million and $1.00 billion, respectively. Dividends paid on these shares in 2018 and 2017 were $24 million and $22 million, respectively. Effective April 1, 2016, the TI common stock fund was frozen to new contributions or transfers into the 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the U.S. defined contribution plans was $61 million in 2018 and 2017 and $60 million in 2016.</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retiree health care benefit plan</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Non-U.S. retirement plans</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2018 and 2017, as a result of employees’ elections, TI’s non-U.S. defined contribution plans held TI common stock valued at $23 million and $27 million, respectively. Dividends paid on these shares of TI common stock in 2018 and 2017 were not material.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Effects on our Consolidated Statements of Income and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6"/>
          </w:tcPr>
          <w:p>
            <w:pPr>
              <w:jc w:val="right"/>
              <w:spacing w:after="0"/>
              <w:rPr>
                <w:sz w:val="20"/>
                <w:szCs w:val="20"/>
                <w:color w:val="auto"/>
              </w:rPr>
            </w:pPr>
            <w:r>
              <w:rPr>
                <w:rFonts w:ascii="Arial" w:cs="Arial" w:eastAsia="Arial" w:hAnsi="Arial"/>
                <w:sz w:val="16"/>
                <w:szCs w:val="16"/>
                <w:b w:val="1"/>
                <w:bCs w:val="1"/>
                <w:color w:val="auto"/>
              </w:rPr>
              <w:t>U.S. Defined Benefit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9"/>
          </w:tcPr>
          <w:p>
            <w:pPr>
              <w:jc w:val="right"/>
              <w:ind w:right="620"/>
              <w:spacing w:after="0"/>
              <w:rPr>
                <w:sz w:val="20"/>
                <w:szCs w:val="20"/>
                <w:color w:val="auto"/>
              </w:rPr>
            </w:pPr>
            <w:r>
              <w:rPr>
                <w:rFonts w:ascii="Arial" w:cs="Arial" w:eastAsia="Arial" w:hAnsi="Arial"/>
                <w:sz w:val="16"/>
                <w:szCs w:val="16"/>
                <w:b w:val="1"/>
                <w:bCs w:val="1"/>
                <w:color w:val="auto"/>
              </w:rPr>
              <w:t>U.S. Retiree Health Care</w:t>
            </w:r>
          </w:p>
        </w:tc>
        <w:tc>
          <w:tcPr>
            <w:tcW w:w="100" w:type="dxa"/>
            <w:vAlign w:val="bottom"/>
          </w:tcPr>
          <w:p>
            <w:pPr>
              <w:spacing w:after="0"/>
              <w:rPr>
                <w:sz w:val="18"/>
                <w:szCs w:val="18"/>
                <w:color w:val="auto"/>
              </w:rPr>
            </w:pPr>
          </w:p>
        </w:tc>
        <w:tc>
          <w:tcPr>
            <w:tcW w:w="2540" w:type="dxa"/>
            <w:vAlign w:val="bottom"/>
            <w:gridSpan w:val="9"/>
          </w:tcPr>
          <w:p>
            <w:pPr>
              <w:jc w:val="right"/>
              <w:ind w:right="520"/>
              <w:spacing w:after="0"/>
              <w:rPr>
                <w:sz w:val="20"/>
                <w:szCs w:val="20"/>
                <w:color w:val="auto"/>
              </w:rPr>
            </w:pPr>
            <w:r>
              <w:rPr>
                <w:rFonts w:ascii="Arial" w:cs="Arial" w:eastAsia="Arial" w:hAnsi="Arial"/>
                <w:sz w:val="16"/>
                <w:szCs w:val="16"/>
                <w:b w:val="1"/>
                <w:bCs w:val="1"/>
                <w:color w:val="auto"/>
              </w:rPr>
              <w:t>Non-U.S. Defined Benefit</w:t>
            </w:r>
          </w:p>
        </w:tc>
      </w:tr>
      <w:tr>
        <w:trPr>
          <w:trHeight w:val="210"/>
        </w:trPr>
        <w:tc>
          <w:tcPr>
            <w:tcW w:w="314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2018</w:t>
            </w:r>
          </w:p>
        </w:tc>
        <w:tc>
          <w:tcPr>
            <w:tcW w:w="26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2017</w:t>
            </w:r>
          </w:p>
        </w:tc>
        <w:tc>
          <w:tcPr>
            <w:tcW w:w="2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2016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2018</w:t>
            </w:r>
          </w:p>
        </w:tc>
        <w:tc>
          <w:tcPr>
            <w:tcW w:w="14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2017</w:t>
            </w:r>
          </w:p>
        </w:tc>
        <w:tc>
          <w:tcPr>
            <w:tcW w:w="2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2016</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2018</w:t>
            </w:r>
          </w:p>
        </w:tc>
        <w:tc>
          <w:tcPr>
            <w:tcW w:w="16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CFF0FC"/>
            </w:tcBorders>
          </w:tcPr>
          <w:p>
            <w:pPr>
              <w:spacing w:after="0"/>
              <w:rPr>
                <w:sz w:val="18"/>
                <w:szCs w:val="18"/>
                <w:color w:val="auto"/>
              </w:rPr>
            </w:pPr>
          </w:p>
        </w:tc>
      </w:tr>
      <w:tr>
        <w:trPr>
          <w:trHeight w:val="212"/>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FF0FC"/>
          </w:tcPr>
          <w:p>
            <w:pPr>
              <w:spacing w:after="0"/>
              <w:rPr>
                <w:sz w:val="18"/>
                <w:szCs w:val="18"/>
                <w:color w:val="auto"/>
              </w:rPr>
            </w:pPr>
          </w:p>
        </w:tc>
      </w:tr>
      <w:tr>
        <w:trPr>
          <w:trHeight w:val="213"/>
        </w:trPr>
        <w:tc>
          <w:tcPr>
            <w:tcW w:w="3140" w:type="dxa"/>
            <w:vAlign w:val="bottom"/>
          </w:tcPr>
          <w:p>
            <w:pPr>
              <w:spacing w:after="0"/>
              <w:rPr>
                <w:sz w:val="20"/>
                <w:szCs w:val="20"/>
                <w:color w:val="auto"/>
              </w:rPr>
            </w:pPr>
            <w:r>
              <w:rPr>
                <w:rFonts w:ascii="Arial" w:cs="Arial" w:eastAsia="Arial" w:hAnsi="Arial"/>
                <w:sz w:val="16"/>
                <w:szCs w:val="16"/>
                <w:color w:val="auto"/>
              </w:rPr>
              <w:t>Interest cost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8"/>
                <w:szCs w:val="18"/>
                <w:color w:val="auto"/>
              </w:rPr>
            </w:pPr>
          </w:p>
        </w:tc>
      </w:tr>
      <w:tr>
        <w:trPr>
          <w:trHeight w:val="219"/>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(42)</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(68)</w:t>
            </w:r>
          </w:p>
        </w:tc>
      </w:tr>
      <w:tr>
        <w:trPr>
          <w:trHeight w:val="213"/>
        </w:trPr>
        <w:tc>
          <w:tcPr>
            <w:tcW w:w="3140" w:type="dxa"/>
            <w:vAlign w:val="bottom"/>
          </w:tcPr>
          <w:p>
            <w:pPr>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r>
      <w:tr>
        <w:trPr>
          <w:trHeight w:val="219"/>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Recognized net actuarial loss</w:t>
            </w: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9"/>
                <w:szCs w:val="19"/>
                <w:color w:val="auto"/>
              </w:rPr>
            </w:pPr>
          </w:p>
        </w:tc>
      </w:tr>
      <w:tr>
        <w:trPr>
          <w:trHeight w:val="207"/>
        </w:trPr>
        <w:tc>
          <w:tcPr>
            <w:tcW w:w="3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periodic benefit costs</w:t>
            </w:r>
          </w:p>
        </w:tc>
        <w:tc>
          <w:tcPr>
            <w:tcW w:w="3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FF0FC"/>
            </w:tcBorders>
          </w:tcPr>
          <w:p>
            <w:pPr>
              <w:spacing w:after="0"/>
              <w:rPr>
                <w:sz w:val="17"/>
                <w:szCs w:val="17"/>
                <w:color w:val="auto"/>
              </w:rPr>
            </w:pPr>
          </w:p>
        </w:tc>
      </w:tr>
      <w:tr>
        <w:trPr>
          <w:trHeight w:val="212"/>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Settlement losses</w:t>
            </w:r>
          </w:p>
        </w:tc>
        <w:tc>
          <w:tcPr>
            <w:tcW w:w="3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8"/>
                <w:szCs w:val="18"/>
                <w:color w:val="auto"/>
              </w:rPr>
            </w:pPr>
          </w:p>
        </w:tc>
      </w:tr>
      <w:tr>
        <w:trPr>
          <w:trHeight w:val="207"/>
        </w:trPr>
        <w:tc>
          <w:tcPr>
            <w:tcW w:w="314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3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6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defined benefit and retiree health care benefit plan expense components other than service cost are recognized in OI&amp;E in our Consolidated Statements of Income. Service cost is recognized within operating profit.</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benefit obligations and plan assets for defined benefit and retiree health care benefit plans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44"/>
              <w:spacing w:after="0"/>
              <w:rPr>
                <w:sz w:val="20"/>
                <w:szCs w:val="20"/>
                <w:color w:val="auto"/>
              </w:rPr>
            </w:pPr>
            <w:r>
              <w:rPr>
                <w:rFonts w:ascii="Arial" w:cs="Arial" w:eastAsia="Arial" w:hAnsi="Arial"/>
                <w:sz w:val="16"/>
                <w:szCs w:val="16"/>
                <w:b w:val="1"/>
                <w:bCs w:val="1"/>
                <w:color w:val="auto"/>
              </w:rPr>
              <w:t>U.S.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U.S.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b w:val="1"/>
                <w:bCs w:val="1"/>
                <w:color w:val="auto"/>
              </w:rPr>
              <w:t>Non-U.S.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Defined Benefit</w:t>
            </w:r>
          </w:p>
        </w:tc>
        <w:tc>
          <w:tcPr>
            <w:tcW w:w="160" w:type="dxa"/>
            <w:vAlign w:val="bottom"/>
          </w:tcPr>
          <w:p>
            <w:pPr>
              <w:spacing w:after="0"/>
              <w:rPr>
                <w:sz w:val="19"/>
                <w:szCs w:val="19"/>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6"/>
              </w:rPr>
              <w:t>Retiree Health Care</w:t>
            </w:r>
          </w:p>
        </w:tc>
        <w:tc>
          <w:tcPr>
            <w:tcW w:w="160" w:type="dxa"/>
            <w:vAlign w:val="bottom"/>
          </w:tcPr>
          <w:p>
            <w:pPr>
              <w:spacing w:after="0"/>
              <w:rPr>
                <w:sz w:val="19"/>
                <w:szCs w:val="19"/>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6"/>
                <w:szCs w:val="16"/>
                <w:b w:val="1"/>
                <w:bCs w:val="1"/>
                <w:color w:val="auto"/>
              </w:rPr>
              <w:t>Defined Benefit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 in plan benefit obligation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6"/>
                <w:szCs w:val="16"/>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998</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1,030</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414</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2,469</w:t>
            </w:r>
          </w:p>
        </w:tc>
        <w:tc>
          <w:tcPr>
            <w:tcW w:w="14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Participant contributions</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Benefits paid</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(41)</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Settlements</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(100)</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(196)</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Actuarial loss (gain)</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(68)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(43)</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Plan amendments</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Effects of exchange rate changes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Benefit obligation at end of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 in plan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6"/>
                <w:szCs w:val="16"/>
                <w:color w:val="auto"/>
              </w:rPr>
              <w:t>Fair value of plan assets at beginning of year:</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995</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1,034</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394</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2,593</w:t>
            </w:r>
          </w:p>
        </w:tc>
        <w:tc>
          <w:tcPr>
            <w:tcW w:w="14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Actual return on plan assets</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(56)</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Employer contributions (qualified plans)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Employer contributions (non-qualified plans)</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Participant contributions</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Benefits paid</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(41)</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Settlements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(100)</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(196)</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Effects of exchange rate changes</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(23)</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Fair value of plan assets at end of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Funded status at end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Amounts recognized on our Consolidated Balance Sheets as of December 31,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U.S. Defined</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U.S. Retiree</w:t>
            </w:r>
          </w:p>
        </w:tc>
        <w:tc>
          <w:tcPr>
            <w:tcW w:w="14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Non-U.S.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20" w:type="dxa"/>
            <w:vAlign w:val="bottom"/>
          </w:tcPr>
          <w:p>
            <w:pPr>
              <w:spacing w:after="0"/>
              <w:rPr>
                <w:sz w:val="19"/>
                <w:szCs w:val="19"/>
                <w:color w:val="auto"/>
              </w:rPr>
            </w:pP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Benefit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Health Care</w:t>
            </w:r>
          </w:p>
        </w:tc>
        <w:tc>
          <w:tcPr>
            <w:tcW w:w="14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3"/>
              </w:rPr>
              <w:t>Defined Benefit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2018</w:t>
            </w: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b w:val="1"/>
                <w:bCs w:val="1"/>
                <w:color w:val="auto"/>
              </w:rPr>
              <w:t>Overfunded retirement plans</w:t>
            </w:r>
          </w:p>
        </w:tc>
        <w:tc>
          <w:tcPr>
            <w:tcW w:w="1180" w:type="dxa"/>
            <w:vAlign w:val="bottom"/>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3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200" w:type="dxa"/>
            <w:vAlign w:val="bottom"/>
          </w:tcPr>
          <w:p>
            <w:pPr>
              <w:spacing w:after="0"/>
              <w:rPr>
                <w:sz w:val="18"/>
                <w:szCs w:val="18"/>
                <w:color w:val="auto"/>
              </w:rPr>
            </w:pPr>
          </w:p>
        </w:tc>
        <w:tc>
          <w:tcPr>
            <w:tcW w:w="480" w:type="dxa"/>
            <w:vAlign w:val="bottom"/>
            <w:gridSpan w:val="2"/>
          </w:tcPr>
          <w:p>
            <w:pPr>
              <w:jc w:val="right"/>
              <w:ind w:right="164"/>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Accrued expenses and other liabilities &amp;</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other long-term liabilities</w:t>
            </w:r>
          </w:p>
        </w:tc>
        <w:tc>
          <w:tcPr>
            <w:tcW w:w="1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b w:val="1"/>
                <w:bCs w:val="1"/>
                <w:color w:val="auto"/>
              </w:rPr>
              <w:t>Underfunded retirement plans</w:t>
            </w:r>
          </w:p>
        </w:tc>
        <w:tc>
          <w:tcPr>
            <w:tcW w:w="11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8"/>
              </w:rPr>
              <w:t>(37)</w:t>
            </w:r>
          </w:p>
        </w:tc>
        <w:tc>
          <w:tcPr>
            <w:tcW w:w="2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(31)</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Funded status at end of 2018</w:t>
            </w: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w:t>
            </w:r>
          </w:p>
        </w:tc>
        <w:tc>
          <w:tcPr>
            <w:tcW w:w="1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Overfunded retirement plans</w:t>
            </w:r>
          </w:p>
        </w:tc>
        <w:tc>
          <w:tcPr>
            <w:tcW w:w="1180" w:type="dxa"/>
            <w:vAlign w:val="bottom"/>
          </w:tcPr>
          <w:p>
            <w:pPr>
              <w:jc w:val="right"/>
              <w:ind w:right="1022"/>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8"/>
                <w:szCs w:val="18"/>
                <w:color w:val="auto"/>
              </w:rPr>
            </w:pPr>
          </w:p>
        </w:tc>
        <w:tc>
          <w:tcPr>
            <w:tcW w:w="48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 &amp;</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(13)</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Underfunded retirement plans</w:t>
            </w:r>
          </w:p>
        </w:tc>
        <w:tc>
          <w:tcPr>
            <w:tcW w:w="11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(48)</w:t>
            </w:r>
          </w:p>
        </w:tc>
        <w:tc>
          <w:tcPr>
            <w:tcW w:w="2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Funded status at end of 2017</w:t>
            </w: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right"/>
              <w:ind w:right="102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$50 million to our retirement benefit plans in 2019. The amounts shown for underfunded U.S. defined benefit plans were for non-qualified pension plans, which we do not fund because contributions to them are not tax deductible.</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$793 million and $899 million as of December 31, 2018 and 2017, respectively, for the U.S. defined benefit plans, and $2.29 billion and $2.33 billion as of December 31, 2018 and 2017, respectively,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AOCI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U.S. Defined</w:t>
            </w:r>
          </w:p>
        </w:tc>
        <w:tc>
          <w:tcPr>
            <w:tcW w:w="220" w:type="dxa"/>
            <w:vAlign w:val="bottom"/>
          </w:tcPr>
          <w:p>
            <w:pPr>
              <w:spacing w:after="0"/>
              <w:rPr>
                <w:sz w:val="18"/>
                <w:szCs w:val="18"/>
                <w:color w:val="auto"/>
              </w:rPr>
            </w:pPr>
          </w:p>
        </w:tc>
        <w:tc>
          <w:tcPr>
            <w:tcW w:w="18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U.S. Retiree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Non-U.S.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Benefit</w:t>
            </w:r>
          </w:p>
        </w:tc>
        <w:tc>
          <w:tcPr>
            <w:tcW w:w="220" w:type="dxa"/>
            <w:vAlign w:val="bottom"/>
          </w:tcPr>
          <w:p>
            <w:pPr>
              <w:spacing w:after="0"/>
              <w:rPr>
                <w:sz w:val="19"/>
                <w:szCs w:val="19"/>
                <w:color w:val="auto"/>
              </w:rPr>
            </w:pPr>
          </w:p>
        </w:tc>
        <w:tc>
          <w:tcPr>
            <w:tcW w:w="18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Health Care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Defined Benefit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42"/>
              <w:spacing w:after="0"/>
              <w:rPr>
                <w:sz w:val="20"/>
                <w:szCs w:val="20"/>
                <w:color w:val="auto"/>
              </w:rPr>
            </w:pPr>
            <w:r>
              <w:rPr>
                <w:rFonts w:ascii="Arial" w:cs="Arial" w:eastAsia="Arial" w:hAnsi="Arial"/>
                <w:sz w:val="16"/>
                <w:szCs w:val="16"/>
                <w:b w:val="1"/>
                <w:bCs w:val="1"/>
                <w:color w:val="auto"/>
              </w:rPr>
              <w:t>Total</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960" w:type="dxa"/>
            <w:vAlign w:val="bottom"/>
          </w:tcPr>
          <w:p>
            <w:pPr>
              <w:spacing w:after="0"/>
              <w:rPr>
                <w:sz w:val="17"/>
                <w:szCs w:val="17"/>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Net Actuarial</w:t>
            </w:r>
          </w:p>
        </w:tc>
        <w:tc>
          <w:tcPr>
            <w:tcW w:w="240" w:type="dxa"/>
            <w:vAlign w:val="bottom"/>
          </w:tcPr>
          <w:p>
            <w:pPr>
              <w:spacing w:after="0"/>
              <w:rPr>
                <w:sz w:val="17"/>
                <w:szCs w:val="17"/>
                <w:color w:val="auto"/>
              </w:rPr>
            </w:pPr>
          </w:p>
        </w:tc>
        <w:tc>
          <w:tcPr>
            <w:tcW w:w="11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7"/>
              </w:rPr>
              <w:t>Net Actuarial</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Prior Service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Net Actuarial</w:t>
            </w: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Prior Service</w:t>
            </w:r>
          </w:p>
        </w:tc>
        <w:tc>
          <w:tcPr>
            <w:tcW w:w="220" w:type="dxa"/>
            <w:vAlign w:val="bottom"/>
          </w:tcPr>
          <w:p>
            <w:pPr>
              <w:spacing w:after="0"/>
              <w:rPr>
                <w:sz w:val="17"/>
                <w:szCs w:val="17"/>
                <w:color w:val="auto"/>
              </w:rPr>
            </w:pPr>
          </w:p>
        </w:tc>
        <w:tc>
          <w:tcPr>
            <w:tcW w:w="120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Net Actuarial</w:t>
            </w:r>
          </w:p>
        </w:tc>
        <w:tc>
          <w:tcPr>
            <w:tcW w:w="106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w w:val="93"/>
              </w:rPr>
              <w:t>Prior Service</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0"/>
              </w:rPr>
              <w:t>Loss</w:t>
            </w:r>
          </w:p>
        </w:tc>
        <w:tc>
          <w:tcPr>
            <w:tcW w:w="2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Loss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Credit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Loss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Credit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Loss</w:t>
            </w:r>
          </w:p>
        </w:tc>
        <w:tc>
          <w:tcPr>
            <w:tcW w:w="18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Credit</w:t>
            </w: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AOCI balance, net of taxes, December 31,</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2017</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b w:val="1"/>
                <w:bCs w:val="1"/>
                <w:color w:val="auto"/>
              </w:rPr>
              <w:t>Changes in AOCI by category: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Adjustments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Arial" w:cs="Arial" w:eastAsia="Arial" w:hAnsi="Arial"/>
                <w:sz w:val="16"/>
                <w:szCs w:val="16"/>
                <w:b w:val="1"/>
                <w:bCs w:val="1"/>
                <w:color w:val="auto"/>
              </w:rPr>
              <w:t>Recognized within net income</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(39)</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19"/>
        </w:trPr>
        <w:tc>
          <w:tcPr>
            <w:tcW w:w="29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Tax effect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(20)</w:t>
            </w:r>
          </w:p>
        </w:tc>
        <w:tc>
          <w:tcPr>
            <w:tcW w:w="1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2"/>
        </w:trPr>
        <w:tc>
          <w:tcPr>
            <w:tcW w:w="2960" w:type="dxa"/>
            <w:vAlign w:val="bottom"/>
          </w:tcPr>
          <w:p>
            <w:pPr>
              <w:ind w:left="140"/>
              <w:spacing w:after="0"/>
              <w:rPr>
                <w:sz w:val="20"/>
                <w:szCs w:val="20"/>
                <w:color w:val="auto"/>
              </w:rPr>
            </w:pPr>
            <w:r>
              <w:rPr>
                <w:rFonts w:ascii="Arial" w:cs="Arial" w:eastAsia="Arial" w:hAnsi="Arial"/>
                <w:sz w:val="16"/>
                <w:szCs w:val="16"/>
                <w:b w:val="1"/>
                <w:bCs w:val="1"/>
                <w:color w:val="auto"/>
                <w:w w:val="89"/>
              </w:rPr>
              <w:t>Cumulative effect of accounting changes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0"/>
        </w:trPr>
        <w:tc>
          <w:tcPr>
            <w:tcW w:w="2960" w:type="dxa"/>
            <w:vAlign w:val="bottom"/>
            <w:tcBorders>
              <w:right w:val="single" w:sz="8" w:color="CCEEFF"/>
            </w:tcBorders>
            <w:vMerge w:val="restart"/>
            <w:shd w:val="clear" w:color="auto" w:fill="CCEEFF"/>
          </w:tcPr>
          <w:p>
            <w:pPr>
              <w:ind w:left="140"/>
              <w:spacing w:after="0"/>
              <w:rPr>
                <w:sz w:val="20"/>
                <w:szCs w:val="20"/>
                <w:color w:val="auto"/>
              </w:rPr>
            </w:pPr>
            <w:r>
              <w:rPr>
                <w:rFonts w:ascii="Arial" w:cs="Arial" w:eastAsia="Arial" w:hAnsi="Arial"/>
                <w:sz w:val="16"/>
                <w:szCs w:val="16"/>
                <w:b w:val="1"/>
                <w:bCs w:val="1"/>
                <w:color w:val="auto"/>
              </w:rPr>
              <w:t>Total change to AOCI</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6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20"/>
                <w:szCs w:val="20"/>
                <w:color w:val="auto"/>
              </w:rPr>
            </w:pPr>
            <w:r>
              <w:rPr>
                <w:rFonts w:ascii="Arial" w:cs="Arial" w:eastAsia="Arial" w:hAnsi="Arial"/>
                <w:sz w:val="16"/>
                <w:szCs w:val="16"/>
                <w:b w:val="1"/>
                <w:bCs w:val="1"/>
                <w:color w:val="auto"/>
                <w:w w:val="92"/>
              </w:rPr>
              <w:t>AOCI balance, net of taxes, December 31,</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24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60" w:type="dxa"/>
            <w:vAlign w:val="bottom"/>
          </w:tcPr>
          <w:p>
            <w:pPr>
              <w:spacing w:after="0"/>
              <w:rPr>
                <w:sz w:val="18"/>
                <w:szCs w:val="18"/>
                <w:color w:val="auto"/>
              </w:rPr>
            </w:pPr>
          </w:p>
        </w:tc>
        <w:tc>
          <w:tcPr>
            <w:tcW w:w="8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w:t>
            </w:r>
          </w:p>
        </w:tc>
        <w:tc>
          <w:tcPr>
            <w:tcW w:w="28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Pr>
          <w:p>
            <w:pPr>
              <w:spacing w:after="0"/>
              <w:rPr>
                <w:sz w:val="18"/>
                <w:szCs w:val="18"/>
                <w:color w:val="auto"/>
              </w:rPr>
            </w:pPr>
          </w:p>
        </w:tc>
        <w:tc>
          <w:tcPr>
            <w:tcW w:w="84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473</w:t>
            </w:r>
          </w:p>
        </w:tc>
        <w:tc>
          <w:tcPr>
            <w:tcW w:w="20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hanging="68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adoption of ASU 2018-02. See Note 2 for additional information.</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cost (credit) included in AOCI as of December 31, 2018, that are expected to be amortized into net periodic benefit cost over the next fiscal year are: $10 million and none for the U.S. defined benefit plans; none and ($2) million for the U.S. retiree health care benefit plan; and $29 million and $1 million for the non-U.S. defined benefit plans.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Information on plan assets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report and measure the plan assets of our defined benefit pension and other postretirement plans at fair value. The tables below set forth the fair value of our plan assets using the same three-level hierarchy of fair-value inputs described in Note 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24"/>
              <w:spacing w:after="0"/>
              <w:rPr>
                <w:sz w:val="20"/>
                <w:szCs w:val="20"/>
                <w:color w:val="auto"/>
              </w:rPr>
            </w:pPr>
            <w:r>
              <w:rPr>
                <w:rFonts w:ascii="Arial" w:cs="Arial" w:eastAsia="Arial" w:hAnsi="Arial"/>
                <w:sz w:val="16"/>
                <w:szCs w:val="16"/>
                <w:b w:val="1"/>
                <w:bCs w:val="1"/>
                <w:color w:val="auto"/>
                <w:w w:val="91"/>
              </w:rPr>
              <w:t>December 31, 2018</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Other (a)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 of U.S. defined benefit plan:</w:t>
            </w: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680" w:type="dxa"/>
            <w:vAlign w:val="bottom"/>
          </w:tcPr>
          <w:p>
            <w:pPr>
              <w:jc w:val="right"/>
              <w:ind w:right="52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Pr>
          <w:p>
            <w:pPr>
              <w:ind w:left="20"/>
              <w:spacing w:after="0"/>
              <w:rPr>
                <w:sz w:val="20"/>
                <w:szCs w:val="20"/>
                <w:color w:val="auto"/>
              </w:rPr>
            </w:pPr>
            <w:r>
              <w:rPr>
                <w:rFonts w:ascii="Arial" w:cs="Arial" w:eastAsia="Arial" w:hAnsi="Arial"/>
                <w:sz w:val="16"/>
                <w:szCs w:val="16"/>
                <w:b w:val="1"/>
                <w:bCs w:val="1"/>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ind w:left="580"/>
              <w:spacing w:after="0"/>
              <w:rPr>
                <w:sz w:val="20"/>
                <w:szCs w:val="20"/>
                <w:color w:val="auto"/>
              </w:rPr>
            </w:pPr>
            <w:r>
              <w:rPr>
                <w:rFonts w:ascii="Arial" w:cs="Arial" w:eastAsia="Arial" w:hAnsi="Arial"/>
                <w:sz w:val="16"/>
                <w:szCs w:val="16"/>
                <w:b w:val="1"/>
                <w:bCs w:val="1"/>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563</w:t>
            </w:r>
          </w:p>
        </w:tc>
        <w:tc>
          <w:tcPr>
            <w:tcW w:w="22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securities</w:t>
            </w: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9"/>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b w:val="1"/>
                <w:bCs w:val="1"/>
                <w:color w:val="auto"/>
                <w:w w:val="99"/>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9"/>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w w:val="99"/>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6"/>
                <w:szCs w:val="16"/>
                <w:b w:val="1"/>
                <w:bCs w:val="1"/>
                <w:color w:val="auto"/>
              </w:rPr>
              <w:t>Assets of U.S. retiree health care plan:</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680" w:type="dxa"/>
            <w:vAlign w:val="bottom"/>
            <w:shd w:val="clear" w:color="auto" w:fill="CCEEFF"/>
          </w:tcPr>
          <w:p>
            <w:pPr>
              <w:jc w:val="right"/>
              <w:ind w:right="523"/>
              <w:spacing w:after="0"/>
              <w:rPr>
                <w:sz w:val="20"/>
                <w:szCs w:val="20"/>
                <w:color w:val="auto"/>
              </w:rPr>
            </w:pPr>
            <w:r>
              <w:rPr>
                <w:rFonts w:ascii="Arial" w:cs="Arial" w:eastAsia="Arial" w:hAnsi="Arial"/>
                <w:sz w:val="15"/>
                <w:szCs w:val="15"/>
                <w:b w:val="1"/>
                <w:bCs w:val="1"/>
                <w:color w:val="auto"/>
                <w:w w:val="71"/>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89"/>
              </w:rPr>
              <w:t>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6"/>
                <w:szCs w:val="16"/>
                <w:b w:val="1"/>
                <w:bCs w:val="1"/>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2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Equity securities</w:t>
            </w: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9"/>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w w:val="99"/>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59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b w:val="1"/>
                <w:bCs w:val="1"/>
                <w:color w:val="auto"/>
                <w:w w:val="99"/>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 of non-U.S. defined benefit plans: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680" w:type="dxa"/>
            <w:vAlign w:val="bottom"/>
          </w:tcPr>
          <w:p>
            <w:pPr>
              <w:jc w:val="right"/>
              <w:ind w:right="52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Pr>
          <w:p>
            <w:pPr>
              <w:ind w:left="20"/>
              <w:spacing w:after="0"/>
              <w:rPr>
                <w:sz w:val="20"/>
                <w:szCs w:val="20"/>
                <w:color w:val="auto"/>
              </w:rPr>
            </w:pPr>
            <w:r>
              <w:rPr>
                <w:rFonts w:ascii="Arial" w:cs="Arial" w:eastAsia="Arial" w:hAnsi="Arial"/>
                <w:sz w:val="16"/>
                <w:szCs w:val="16"/>
                <w:b w:val="1"/>
                <w:bCs w:val="1"/>
                <w:color w:val="auto"/>
                <w:w w:val="89"/>
              </w:rPr>
              <w:t>47</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ind w:left="580"/>
              <w:spacing w:after="0"/>
              <w:rPr>
                <w:sz w:val="20"/>
                <w:szCs w:val="20"/>
                <w:color w:val="auto"/>
              </w:rPr>
            </w:pPr>
            <w:r>
              <w:rPr>
                <w:rFonts w:ascii="Arial" w:cs="Arial" w:eastAsia="Arial" w:hAnsi="Arial"/>
                <w:sz w:val="16"/>
                <w:szCs w:val="16"/>
                <w:b w:val="1"/>
                <w:bCs w:val="1"/>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1,602</w:t>
            </w:r>
          </w:p>
        </w:tc>
        <w:tc>
          <w:tcPr>
            <w:tcW w:w="22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securities</w:t>
            </w: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33</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b w:val="1"/>
                <w:bCs w:val="1"/>
                <w:color w:val="auto"/>
                <w:w w:val="99"/>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80</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w w:val="99"/>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6"/>
                <w:szCs w:val="16"/>
                <w:b w:val="1"/>
                <w:bCs w:val="1"/>
                <w:color w:val="auto"/>
                <w:w w:val="91"/>
              </w:rPr>
              <w:t>December 31, 2017</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Other (a)</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 of U.S. defined benefit plan: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654</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995</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6"/>
                <w:szCs w:val="16"/>
                <w:b w:val="1"/>
                <w:bCs w:val="1"/>
                <w:color w:val="auto"/>
              </w:rPr>
              <w:t>Assets of U.S. retiree health care plan: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 of non-U.S. defined benefit plans: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183</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1,646</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 For the U.S. plans, we utilize an option collar strategy to reduce the volatility of returns on certain investments in U.S. equity funds.</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only Level 3 asset in our worldwide benefit plans for the periods presented is a diversified property fund in a non-U.S. pension plan. These investments are valued using inputs from the fund managers and internal models. Changes to the fair value of this fund since December 31, 2016, have not been material, and are due to redemptions.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Assumptions and investment policies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4"/>
          </w:tcPr>
          <w:p>
            <w:pPr>
              <w:jc w:val="center"/>
              <w:ind w:right="880"/>
              <w:spacing w:after="0"/>
              <w:rPr>
                <w:sz w:val="20"/>
                <w:szCs w:val="20"/>
                <w:color w:val="auto"/>
              </w:rPr>
            </w:pPr>
            <w:r>
              <w:rPr>
                <w:rFonts w:ascii="Arial" w:cs="Arial" w:eastAsia="Arial" w:hAnsi="Arial"/>
                <w:sz w:val="16"/>
                <w:szCs w:val="16"/>
                <w:b w:val="1"/>
                <w:bCs w:val="1"/>
                <w:color w:val="auto"/>
                <w:w w:val="89"/>
              </w:rPr>
              <w:t>U.S.</w:t>
            </w:r>
          </w:p>
        </w:tc>
        <w:tc>
          <w:tcPr>
            <w:tcW w:w="1940" w:type="dxa"/>
            <w:vAlign w:val="bottom"/>
            <w:gridSpan w:val="4"/>
          </w:tcPr>
          <w:p>
            <w:pPr>
              <w:ind w:left="440"/>
              <w:spacing w:after="0"/>
              <w:rPr>
                <w:sz w:val="20"/>
                <w:szCs w:val="20"/>
                <w:color w:val="auto"/>
              </w:rPr>
            </w:pPr>
            <w:r>
              <w:rPr>
                <w:rFonts w:ascii="Arial" w:cs="Arial" w:eastAsia="Arial" w:hAnsi="Arial"/>
                <w:sz w:val="16"/>
                <w:szCs w:val="16"/>
                <w:b w:val="1"/>
                <w:bCs w:val="1"/>
                <w:color w:val="auto"/>
              </w:rPr>
              <w:t>U.S. Retiree</w:t>
            </w:r>
          </w:p>
        </w:tc>
        <w:tc>
          <w:tcPr>
            <w:tcW w:w="18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Non-U.S.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9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Defined Benefit</w:t>
            </w:r>
          </w:p>
        </w:tc>
        <w:tc>
          <w:tcPr>
            <w:tcW w:w="1940" w:type="dxa"/>
            <w:vAlign w:val="bottom"/>
            <w:gridSpan w:val="4"/>
          </w:tcPr>
          <w:p>
            <w:pPr>
              <w:ind w:left="440"/>
              <w:spacing w:after="0"/>
              <w:rPr>
                <w:sz w:val="20"/>
                <w:szCs w:val="20"/>
                <w:color w:val="auto"/>
              </w:rPr>
            </w:pPr>
            <w:r>
              <w:rPr>
                <w:rFonts w:ascii="Arial" w:cs="Arial" w:eastAsia="Arial" w:hAnsi="Arial"/>
                <w:sz w:val="16"/>
                <w:szCs w:val="16"/>
                <w:b w:val="1"/>
                <w:bCs w:val="1"/>
                <w:color w:val="auto"/>
              </w:rPr>
              <w:t>Health Care</w:t>
            </w:r>
          </w:p>
        </w:tc>
        <w:tc>
          <w:tcPr>
            <w:tcW w:w="18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1060" w:type="dxa"/>
            <w:vAlign w:val="bottom"/>
            <w:tcBorders>
              <w:top w:val="single" w:sz="8" w:color="auto"/>
            </w:tcBorders>
            <w:gridSpan w:val="3"/>
          </w:tcPr>
          <w:p>
            <w:pPr>
              <w:jc w:val="center"/>
              <w:ind w:left="219"/>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7"/>
                <w:szCs w:val="17"/>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00" w:type="dxa"/>
            <w:vAlign w:val="bottom"/>
            <w:gridSpan w:val="2"/>
          </w:tcPr>
          <w:p>
            <w:pPr>
              <w:spacing w:after="0"/>
              <w:rPr>
                <w:sz w:val="20"/>
                <w:szCs w:val="20"/>
                <w:color w:val="auto"/>
              </w:rPr>
            </w:pPr>
            <w:r>
              <w:rPr>
                <w:rFonts w:ascii="Arial" w:cs="Arial" w:eastAsia="Arial" w:hAnsi="Arial"/>
                <w:sz w:val="16"/>
                <w:szCs w:val="16"/>
                <w:b w:val="1"/>
                <w:bCs w:val="1"/>
                <w:color w:val="auto"/>
              </w:rPr>
              <w:t>Weighted average assumptions used to determine benefit obligations:</w:t>
            </w: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Discount rate</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4.37%</w:t>
            </w:r>
          </w:p>
        </w:tc>
        <w:tc>
          <w:tcPr>
            <w:tcW w:w="1060" w:type="dxa"/>
            <w:vAlign w:val="bottom"/>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2"/>
              </w:rPr>
              <w:t>3.75%</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4.30%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3.63%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1.85%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6"/>
                <w:szCs w:val="16"/>
                <w:color w:val="auto"/>
              </w:rPr>
              <w:t>Long-term pay progression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3.30%</w:t>
            </w:r>
          </w:p>
        </w:tc>
        <w:tc>
          <w:tcPr>
            <w:tcW w:w="1060" w:type="dxa"/>
            <w:vAlign w:val="bottom"/>
            <w:gridSpan w:val="3"/>
          </w:tcPr>
          <w:p>
            <w:pPr>
              <w:jc w:val="center"/>
              <w:ind w:left="199"/>
              <w:spacing w:after="0"/>
              <w:rPr>
                <w:sz w:val="20"/>
                <w:szCs w:val="20"/>
                <w:color w:val="auto"/>
              </w:rPr>
            </w:pPr>
            <w:r>
              <w:rPr>
                <w:rFonts w:ascii="Arial" w:cs="Arial" w:eastAsia="Arial" w:hAnsi="Arial"/>
                <w:sz w:val="16"/>
                <w:szCs w:val="16"/>
                <w:color w:val="auto"/>
                <w:w w:val="92"/>
              </w:rPr>
              <w:t>3.30%</w:t>
            </w:r>
          </w:p>
        </w:tc>
        <w:tc>
          <w:tcPr>
            <w:tcW w:w="22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6"/>
                <w:szCs w:val="16"/>
                <w:b w:val="1"/>
                <w:bCs w:val="1"/>
                <w:color w:val="auto"/>
              </w:rPr>
              <w:t>n/a</w:t>
            </w:r>
          </w:p>
        </w:tc>
        <w:tc>
          <w:tcPr>
            <w:tcW w:w="96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2.96%</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8"/>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6"/>
                <w:szCs w:val="16"/>
                <w:b w:val="1"/>
                <w:bCs w:val="1"/>
                <w:color w:val="auto"/>
                <w:w w:val="98"/>
              </w:rPr>
              <w:t>Weighted average assumptions used to determine net periodic benefit cost: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Discount rate</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3.77%</w:t>
            </w:r>
          </w:p>
        </w:tc>
        <w:tc>
          <w:tcPr>
            <w:tcW w:w="1060" w:type="dxa"/>
            <w:vAlign w:val="bottom"/>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2"/>
              </w:rPr>
              <w:t>4.21%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3.63%</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4.08%</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1.84%</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6"/>
                <w:szCs w:val="16"/>
                <w:color w:val="auto"/>
              </w:rPr>
              <w:t>Long-term rate of return on plan assets</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4.80%</w:t>
            </w:r>
          </w:p>
        </w:tc>
        <w:tc>
          <w:tcPr>
            <w:tcW w:w="1060" w:type="dxa"/>
            <w:vAlign w:val="bottom"/>
            <w:gridSpan w:val="3"/>
          </w:tcPr>
          <w:p>
            <w:pPr>
              <w:jc w:val="center"/>
              <w:ind w:left="199"/>
              <w:spacing w:after="0"/>
              <w:rPr>
                <w:sz w:val="20"/>
                <w:szCs w:val="20"/>
                <w:color w:val="auto"/>
              </w:rPr>
            </w:pPr>
            <w:r>
              <w:rPr>
                <w:rFonts w:ascii="Arial" w:cs="Arial" w:eastAsia="Arial" w:hAnsi="Arial"/>
                <w:sz w:val="16"/>
                <w:szCs w:val="16"/>
                <w:color w:val="auto"/>
                <w:w w:val="92"/>
              </w:rPr>
              <w:t>4.30%</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4.10%</w:t>
            </w:r>
          </w:p>
        </w:tc>
        <w:tc>
          <w:tcPr>
            <w:tcW w:w="2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4.10%</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2.58%</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8"/>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pay progression</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3.30%</w:t>
            </w:r>
          </w:p>
        </w:tc>
        <w:tc>
          <w:tcPr>
            <w:tcW w:w="1060" w:type="dxa"/>
            <w:vAlign w:val="bottom"/>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2"/>
              </w:rPr>
              <w:t>3.30%</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n/a</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2.96%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adjusted for an appropriate risk premium is used to establish the discount rate.</w:t>
      </w:r>
    </w:p>
    <w:p>
      <w:pPr>
        <w:spacing w:after="0" w:line="17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ranges for the plans that hold a substantial majority of the defined benefit assets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U.S. Defined</w:t>
            </w: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U.S. Retiree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Non-U.S.</w:t>
            </w:r>
          </w:p>
        </w:tc>
      </w:tr>
      <w:tr>
        <w:trPr>
          <w:trHeight w:val="219"/>
        </w:trPr>
        <w:tc>
          <w:tcPr>
            <w:tcW w:w="6200" w:type="dxa"/>
            <w:vAlign w:val="bottom"/>
          </w:tcPr>
          <w:p>
            <w:pPr>
              <w:spacing w:after="0"/>
              <w:rPr>
                <w:sz w:val="19"/>
                <w:szCs w:val="19"/>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Benefit</w:t>
            </w: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Health Care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Defined Benefit</w:t>
            </w:r>
          </w:p>
        </w:tc>
      </w:tr>
      <w:tr>
        <w:trPr>
          <w:trHeight w:val="213"/>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income securities and cash equivalents</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65%</w:t>
            </w: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55% - 65%</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- 100%</w:t>
            </w: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Equity securities</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35% - 45%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ind w:left="20"/>
              <w:spacing w:after="0"/>
              <w:rPr>
                <w:sz w:val="20"/>
                <w:szCs w:val="20"/>
                <w:color w:val="auto"/>
              </w:rPr>
            </w:pPr>
            <w:r>
              <w:rPr>
                <w:rFonts w:ascii="Arial" w:cs="Arial" w:eastAsia="Arial" w:hAnsi="Arial"/>
                <w:sz w:val="16"/>
                <w:szCs w:val="16"/>
                <w:color w:val="auto"/>
              </w:rPr>
              <w:t>- 40%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rebalance the plans’ investments when they are not within the target allocation ranges.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U.S. Defined</w:t>
            </w:r>
          </w:p>
        </w:tc>
        <w:tc>
          <w:tcPr>
            <w:tcW w:w="2200" w:type="dxa"/>
            <w:vAlign w:val="bottom"/>
            <w:gridSpan w:val="4"/>
          </w:tcPr>
          <w:p>
            <w:pPr>
              <w:ind w:left="500"/>
              <w:spacing w:after="0"/>
              <w:rPr>
                <w:sz w:val="20"/>
                <w:szCs w:val="20"/>
                <w:color w:val="auto"/>
              </w:rPr>
            </w:pPr>
            <w:r>
              <w:rPr>
                <w:rFonts w:ascii="Arial" w:cs="Arial" w:eastAsia="Arial" w:hAnsi="Arial"/>
                <w:sz w:val="16"/>
                <w:szCs w:val="16"/>
                <w:b w:val="1"/>
                <w:bCs w:val="1"/>
                <w:color w:val="auto"/>
              </w:rPr>
              <w:t>U.S. Retiree</w:t>
            </w:r>
          </w:p>
        </w:tc>
        <w:tc>
          <w:tcPr>
            <w:tcW w:w="19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1"/>
              </w:rPr>
              <w:t>Non-U.S. Defined</w:t>
            </w:r>
          </w:p>
        </w:tc>
      </w:tr>
      <w:tr>
        <w:trPr>
          <w:trHeight w:val="219"/>
        </w:trPr>
        <w:tc>
          <w:tcPr>
            <w:tcW w:w="5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2"/>
              </w:rPr>
              <w:t>Benefit</w:t>
            </w:r>
          </w:p>
        </w:tc>
        <w:tc>
          <w:tcPr>
            <w:tcW w:w="2200" w:type="dxa"/>
            <w:vAlign w:val="bottom"/>
            <w:gridSpan w:val="4"/>
          </w:tcPr>
          <w:p>
            <w:pPr>
              <w:ind w:left="500"/>
              <w:spacing w:after="0"/>
              <w:rPr>
                <w:sz w:val="20"/>
                <w:szCs w:val="20"/>
                <w:color w:val="auto"/>
              </w:rPr>
            </w:pPr>
            <w:r>
              <w:rPr>
                <w:rFonts w:ascii="Arial" w:cs="Arial" w:eastAsia="Arial" w:hAnsi="Arial"/>
                <w:sz w:val="16"/>
                <w:szCs w:val="16"/>
                <w:b w:val="1"/>
                <w:bCs w:val="1"/>
                <w:color w:val="auto"/>
              </w:rPr>
              <w:t>Health Care</w:t>
            </w:r>
          </w:p>
        </w:tc>
        <w:tc>
          <w:tcPr>
            <w:tcW w:w="600" w:type="dxa"/>
            <w:vAlign w:val="bottom"/>
          </w:tcPr>
          <w:p>
            <w:pPr>
              <w:spacing w:after="0"/>
              <w:rPr>
                <w:sz w:val="19"/>
                <w:szCs w:val="19"/>
                <w:color w:val="auto"/>
              </w:rPr>
            </w:pPr>
          </w:p>
        </w:tc>
        <w:tc>
          <w:tcPr>
            <w:tcW w:w="1380" w:type="dxa"/>
            <w:vAlign w:val="bottom"/>
            <w:gridSpan w:val="4"/>
          </w:tcPr>
          <w:p>
            <w:pPr>
              <w:jc w:val="center"/>
              <w:ind w:right="740"/>
              <w:spacing w:after="0"/>
              <w:rPr>
                <w:sz w:val="20"/>
                <w:szCs w:val="20"/>
                <w:color w:val="auto"/>
              </w:rPr>
            </w:pPr>
            <w:r>
              <w:rPr>
                <w:rFonts w:ascii="Arial" w:cs="Arial" w:eastAsia="Arial" w:hAnsi="Arial"/>
                <w:sz w:val="16"/>
                <w:szCs w:val="16"/>
                <w:b w:val="1"/>
                <w:bCs w:val="1"/>
                <w:color w:val="auto"/>
                <w:w w:val="88"/>
              </w:rPr>
              <w:t>Benefit</w:t>
            </w:r>
          </w:p>
        </w:tc>
      </w:tr>
      <w:tr>
        <w:trPr>
          <w:trHeight w:val="210"/>
        </w:trPr>
        <w:tc>
          <w:tcPr>
            <w:tcW w:w="50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3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36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Borders>
              <w:bottom w:val="single" w:sz="8" w:color="CCEEFF"/>
            </w:tcBorders>
          </w:tcPr>
          <w:p>
            <w:pPr>
              <w:spacing w:after="0"/>
              <w:rPr>
                <w:sz w:val="18"/>
                <w:szCs w:val="18"/>
                <w:color w:val="auto"/>
              </w:rPr>
            </w:pPr>
          </w:p>
        </w:tc>
      </w:tr>
      <w:tr>
        <w:trPr>
          <w:trHeight w:val="212"/>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Fixed income securities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1240" w:type="dxa"/>
            <w:vAlign w:val="bottom"/>
            <w:gridSpan w:val="3"/>
            <w:shd w:val="clear" w:color="auto" w:fill="CCEEFF"/>
          </w:tcPr>
          <w:p>
            <w:pPr>
              <w:jc w:val="center"/>
              <w:ind w:left="379"/>
              <w:spacing w:after="0"/>
              <w:rPr>
                <w:sz w:val="20"/>
                <w:szCs w:val="20"/>
                <w:color w:val="auto"/>
              </w:rPr>
            </w:pPr>
            <w:r>
              <w:rPr>
                <w:rFonts w:ascii="Arial" w:cs="Arial" w:eastAsia="Arial" w:hAnsi="Arial"/>
                <w:sz w:val="16"/>
                <w:szCs w:val="16"/>
                <w:color w:val="auto"/>
                <w:w w:val="93"/>
              </w:rPr>
              <w:t>66%</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65%</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62%</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w:t>
            </w:r>
          </w:p>
        </w:tc>
        <w:tc>
          <w:tcPr>
            <w:tcW w:w="1260" w:type="dxa"/>
            <w:vAlign w:val="bottom"/>
            <w:gridSpan w:val="3"/>
            <w:shd w:val="clear" w:color="auto" w:fill="CCEEFF"/>
          </w:tcPr>
          <w:p>
            <w:pPr>
              <w:jc w:val="center"/>
              <w:ind w:left="399"/>
              <w:spacing w:after="0"/>
              <w:rPr>
                <w:sz w:val="20"/>
                <w:szCs w:val="20"/>
                <w:color w:val="auto"/>
              </w:rPr>
            </w:pPr>
            <w:r>
              <w:rPr>
                <w:rFonts w:ascii="Arial" w:cs="Arial" w:eastAsia="Arial" w:hAnsi="Arial"/>
                <w:sz w:val="16"/>
                <w:szCs w:val="16"/>
                <w:color w:val="auto"/>
                <w:w w:val="93"/>
              </w:rPr>
              <w:t>71%</w:t>
            </w:r>
          </w:p>
        </w:tc>
        <w:tc>
          <w:tcPr>
            <w:tcW w:w="120" w:type="dxa"/>
            <w:vAlign w:val="bottom"/>
            <w:shd w:val="clear" w:color="auto" w:fill="CCEEFF"/>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Equity securities</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1240" w:type="dxa"/>
            <w:vAlign w:val="bottom"/>
            <w:gridSpan w:val="3"/>
          </w:tcPr>
          <w:p>
            <w:pPr>
              <w:jc w:val="center"/>
              <w:ind w:left="379"/>
              <w:spacing w:after="0"/>
              <w:rPr>
                <w:sz w:val="20"/>
                <w:szCs w:val="20"/>
                <w:color w:val="auto"/>
              </w:rPr>
            </w:pPr>
            <w:r>
              <w:rPr>
                <w:rFonts w:ascii="Arial" w:cs="Arial" w:eastAsia="Arial" w:hAnsi="Arial"/>
                <w:sz w:val="16"/>
                <w:szCs w:val="16"/>
                <w:color w:val="auto"/>
                <w:w w:val="93"/>
              </w:rPr>
              <w:t>34%</w:t>
            </w:r>
          </w:p>
        </w:tc>
        <w:tc>
          <w:tcPr>
            <w:tcW w:w="34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rPr>
              <w:t>35%</w:t>
            </w:r>
          </w:p>
        </w:tc>
        <w:tc>
          <w:tcPr>
            <w:tcW w:w="3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38%</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260" w:type="dxa"/>
            <w:vAlign w:val="bottom"/>
            <w:gridSpan w:val="3"/>
          </w:tcPr>
          <w:p>
            <w:pPr>
              <w:jc w:val="center"/>
              <w:ind w:left="399"/>
              <w:spacing w:after="0"/>
              <w:rPr>
                <w:sz w:val="20"/>
                <w:szCs w:val="20"/>
                <w:color w:val="auto"/>
              </w:rPr>
            </w:pPr>
            <w:r>
              <w:rPr>
                <w:rFonts w:ascii="Arial" w:cs="Arial" w:eastAsia="Arial" w:hAnsi="Arial"/>
                <w:sz w:val="16"/>
                <w:szCs w:val="16"/>
                <w:color w:val="auto"/>
                <w:w w:val="93"/>
              </w:rPr>
              <w:t>29%</w:t>
            </w:r>
          </w:p>
        </w:tc>
        <w:tc>
          <w:tcPr>
            <w:tcW w:w="120" w:type="dxa"/>
            <w:vAlign w:val="bottom"/>
          </w:tcPr>
          <w:p>
            <w:pPr>
              <w:spacing w:after="0"/>
              <w:rPr>
                <w:sz w:val="18"/>
                <w:szCs w:val="18"/>
                <w:color w:val="auto"/>
              </w:rPr>
            </w:pPr>
          </w:p>
        </w:tc>
      </w:tr>
    </w:tbl>
    <w:p>
      <w:pPr>
        <w:spacing w:after="0" w:line="20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None of the plan assets related to the defined benefit pension plans and retiree health care benefit plan are directly invested in TI common stock. As of December 31, 2018, we do not expect to return any of the defined benefit pension plans’ assets to TI in the next 12 months.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right="640"/>
        <w:spacing w:after="0" w:line="308" w:lineRule="auto"/>
        <w:rPr>
          <w:sz w:val="20"/>
          <w:szCs w:val="20"/>
          <w:color w:val="auto"/>
        </w:rPr>
      </w:pPr>
      <w:r>
        <w:rPr>
          <w:rFonts w:ascii="Arial" w:cs="Arial" w:eastAsia="Arial" w:hAnsi="Arial"/>
          <w:sz w:val="17"/>
          <w:szCs w:val="17"/>
          <w:color w:val="auto"/>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300" w:type="dxa"/>
            <w:vAlign w:val="bottom"/>
          </w:tcPr>
          <w:p>
            <w:pPr>
              <w:jc w:val="center"/>
              <w:ind w:left="221"/>
              <w:spacing w:after="0"/>
              <w:rPr>
                <w:sz w:val="20"/>
                <w:szCs w:val="20"/>
                <w:color w:val="auto"/>
              </w:rPr>
            </w:pPr>
            <w:r>
              <w:rPr>
                <w:rFonts w:ascii="Arial" w:cs="Arial" w:eastAsia="Arial" w:hAnsi="Arial"/>
                <w:sz w:val="16"/>
                <w:szCs w:val="16"/>
                <w:b w:val="1"/>
                <w:bCs w:val="1"/>
                <w:color w:val="auto"/>
                <w:w w:val="93"/>
              </w:rPr>
              <w:t>U.S. Defined</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ind w:left="380"/>
              <w:spacing w:after="0"/>
              <w:rPr>
                <w:sz w:val="20"/>
                <w:szCs w:val="20"/>
                <w:color w:val="auto"/>
              </w:rPr>
            </w:pPr>
            <w:r>
              <w:rPr>
                <w:rFonts w:ascii="Arial" w:cs="Arial" w:eastAsia="Arial" w:hAnsi="Arial"/>
                <w:sz w:val="16"/>
                <w:szCs w:val="16"/>
                <w:b w:val="1"/>
                <w:bCs w:val="1"/>
                <w:color w:val="auto"/>
                <w:w w:val="97"/>
              </w:rPr>
              <w:t>U.S. Retiree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w w:val="94"/>
              </w:rPr>
              <w:t>Non-U.S.</w:t>
            </w:r>
          </w:p>
        </w:tc>
      </w:tr>
      <w:tr>
        <w:trPr>
          <w:trHeight w:val="219"/>
        </w:trPr>
        <w:tc>
          <w:tcPr>
            <w:tcW w:w="57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b w:val="1"/>
                <w:bCs w:val="1"/>
                <w:color w:val="auto"/>
                <w:w w:val="92"/>
              </w:rPr>
              <w:t>Benefit</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w w:val="98"/>
              </w:rPr>
              <w:t>Health Care</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Borders>
              <w:bottom w:val="single" w:sz="8" w:color="CFF0FC"/>
            </w:tcBorders>
          </w:tcPr>
          <w:p>
            <w:pPr>
              <w:spacing w:after="0"/>
              <w:rPr>
                <w:sz w:val="19"/>
                <w:szCs w:val="19"/>
                <w:color w:val="auto"/>
              </w:rPr>
            </w:pPr>
          </w:p>
        </w:tc>
      </w:tr>
      <w:tr>
        <w:trPr>
          <w:trHeight w:val="213"/>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1300" w:type="dxa"/>
            <w:vAlign w:val="bottom"/>
            <w:shd w:val="clear" w:color="auto" w:fill="CFF0FC"/>
          </w:tcPr>
          <w:p>
            <w:pPr>
              <w:jc w:val="right"/>
              <w:ind w:right="114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2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800" w:type="dxa"/>
            <w:vAlign w:val="bottom"/>
            <w:gridSpan w:val="3"/>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FF0FC"/>
          </w:tcPr>
          <w:p>
            <w:pPr>
              <w:spacing w:after="0"/>
              <w:rPr>
                <w:sz w:val="18"/>
                <w:szCs w:val="18"/>
                <w:color w:val="auto"/>
              </w:rPr>
            </w:pPr>
          </w:p>
        </w:tc>
      </w:tr>
      <w:tr>
        <w:trPr>
          <w:trHeight w:val="240"/>
        </w:trPr>
        <w:tc>
          <w:tcPr>
            <w:tcW w:w="5720" w:type="dxa"/>
            <w:vAlign w:val="bottom"/>
          </w:tcPr>
          <w:p>
            <w:pPr>
              <w:spacing w:after="0"/>
              <w:rPr>
                <w:sz w:val="20"/>
                <w:szCs w:val="20"/>
                <w:color w:val="auto"/>
              </w:rPr>
            </w:pPr>
            <w:r>
              <w:rPr>
                <w:rFonts w:ascii="Arial" w:cs="Arial" w:eastAsia="Arial" w:hAnsi="Arial"/>
                <w:sz w:val="16"/>
                <w:szCs w:val="16"/>
                <w:color w:val="auto"/>
              </w:rPr>
              <w:t>2020</w:t>
            </w:r>
          </w:p>
        </w:tc>
        <w:tc>
          <w:tcPr>
            <w:tcW w:w="13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105</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9"/>
                <w:szCs w:val="19"/>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2022</w:t>
            </w:r>
          </w:p>
        </w:tc>
        <w:tc>
          <w:tcPr>
            <w:tcW w:w="1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79</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FF0FC"/>
          </w:tcPr>
          <w:p>
            <w:pPr>
              <w:spacing w:after="0"/>
              <w:rPr>
                <w:sz w:val="19"/>
                <w:szCs w:val="19"/>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color w:val="auto"/>
              </w:rPr>
              <w:t>2024 – 2028</w:t>
            </w:r>
          </w:p>
        </w:tc>
        <w:tc>
          <w:tcPr>
            <w:tcW w:w="1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428</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r>
      <w:tr>
        <w:trPr>
          <w:trHeight w:val="438"/>
        </w:trPr>
        <w:tc>
          <w:tcPr>
            <w:tcW w:w="8980" w:type="dxa"/>
            <w:vAlign w:val="bottom"/>
            <w:gridSpan w:val="5"/>
          </w:tcPr>
          <w:p>
            <w:pPr>
              <w:spacing w:after="0"/>
              <w:rPr>
                <w:sz w:val="20"/>
                <w:szCs w:val="20"/>
                <w:color w:val="auto"/>
              </w:rPr>
            </w:pPr>
            <w:r>
              <w:rPr>
                <w:rFonts w:ascii="Arial" w:cs="Arial" w:eastAsia="Arial" w:hAnsi="Arial"/>
                <w:sz w:val="18"/>
                <w:szCs w:val="18"/>
                <w:color w:val="auto"/>
                <w:w w:val="97"/>
              </w:rPr>
              <w:t>Assumed health care cost trend rates for the U.S. retiree health care benefit plan as of December 31 are as follows: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9"/>
        </w:trPr>
        <w:tc>
          <w:tcPr>
            <w:tcW w:w="57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213"/>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Assumed health care cost trend rate for next year</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7.25%</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7.50%</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Ultimate trend rate</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5.00%</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5.00%</w:t>
            </w:r>
          </w:p>
        </w:tc>
      </w:tr>
      <w:tr>
        <w:trPr>
          <w:trHeight w:val="219"/>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Year in which ultimate trend rate is reached</w:t>
            </w: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2028</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 one percentage point increase or decrease in health care cost trend rates over all future periods would have increased or decreased the accumulated postretirement benefit obligation for the U.S. retiree health care benefit plan as of December 31, 2018, by $1 million. The service cost and interest cost components of 2018 plan expense would have increased or decreased by less than $1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arrangements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 deferred compensation plan that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December 31, 2018, our liability to participants of the deferred compensation plans was $246 million and is recorded in other long-term liabilities on our Consolidated Balance Sheets. This amount reflects the accumulated participant deferrals and earnings thereon as of that date. As of December 31, 2018, we held $226 million in mutual funds related to these plans that are recorded in long-term investments on our Consolidated Balance Sheets, and serve as an economic hedge against changes in fair values of our other deferred compensation liabilities. We record changes in the fair value of the liability and the related investment in SG&amp;A as discussed in Note 7.</w:t>
      </w:r>
    </w:p>
    <w:p>
      <w:pPr>
        <w:spacing w:after="0" w:line="200" w:lineRule="exact"/>
        <w:rPr>
          <w:sz w:val="20"/>
          <w:szCs w:val="20"/>
          <w:color w:val="auto"/>
        </w:rPr>
      </w:pPr>
    </w:p>
    <w:p>
      <w:pPr>
        <w:spacing w:after="0" w:line="258"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December 31, 2018, we had a variable-rate revolving credit facility from a consortium of investment-grade banks that allows us to borrow up to $2 billion until March 2023. The interest rate on borrowings under this credit facility, if drawn, is indexed to the applicable London Interbank Offered Rate (LIBOR). As of December 31, 2018,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retired $500 million of maturing debt in May 2018.</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second quarter of 2018, we issued an aggregate principal amount of $1.5 billion of fixed-rate, long-term debt due in 2048, comprised of the issuance of $1.3 billion in May 2018 and an additional $200 million in June 2018. We incurred $16 million of issuance and other related costs. The proceeds of the offering were $1.5 billion, net of the original issuance discount and premium, and were used for general corporate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retired $250 million of maturing debt in March 2017 and another $375 million in June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1" w:name="page52"/>
    <w:bookmarkEnd w:id="51"/>
    <w:p>
      <w:pPr>
        <w:ind w:right="60"/>
        <w:spacing w:after="0" w:line="259" w:lineRule="auto"/>
        <w:rPr>
          <w:sz w:val="20"/>
          <w:szCs w:val="20"/>
          <w:color w:val="auto"/>
        </w:rPr>
      </w:pPr>
      <w:r>
        <w:rPr>
          <w:rFonts w:ascii="Arial" w:cs="Arial" w:eastAsia="Arial" w:hAnsi="Arial"/>
          <w:sz w:val="18"/>
          <w:szCs w:val="18"/>
          <w:color w:val="auto"/>
        </w:rPr>
        <w:t>In May 2017, we issued an aggregate principal amount of $600 million of fixed-rate, long-term debt. The offering consisted of the reissuance of $300 million of 2.75% notes due in 2021 at a premium and the issuance of $300 million of 2.625% notes due in 2024 at a discount. We incurred $3 million of issuance and other related costs. The proceeds of the offerings were $605 million, net of the original issuance discount and premium, and were used for the repayment of maturing debt and general corporate purposes.</w:t>
      </w:r>
    </w:p>
    <w:p>
      <w:pPr>
        <w:spacing w:after="0" w:line="1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November 2017, we issued a principal amount of $500 million of fixed-rate, long-term debt due in 2027. We incurred $3 million of issuance and other related costs. The proceeds of the offering were $494 million, net of the original issuance discount, and were used for general corporate purposes.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May 2016, we issued a principal amount of $500 million of fixed-rate, long-term debt due in 2022. We incurred $3 million of issuance and other related costs. The proceeds of the offering were $499 million, net of the original issuance discount, and were used toward the repayment of a portion of $1.0 billion of maturing debt retired in May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Notes due 2018 at 1.00%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Notes due 2019 at 1.65%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r>
      <w:tr>
        <w:trPr>
          <w:trHeight w:val="219"/>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Notes due 2020 at 1.75%</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Notes due 2021 at 2.75%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r>
      <w:tr>
        <w:trPr>
          <w:trHeight w:val="219"/>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Notes due 2022 at 1.85%</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Notes due 2023 at 2.25%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Notes due 2024 at 2.625%</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Notes due 2027 at 2.90%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Notes due 2048 at 4.15%</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1,500</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9120" w:type="dxa"/>
            <w:vAlign w:val="bottom"/>
          </w:tcPr>
          <w:p>
            <w:pPr>
              <w:spacing w:after="0"/>
              <w:rPr>
                <w:sz w:val="20"/>
                <w:szCs w:val="20"/>
                <w:color w:val="auto"/>
              </w:rPr>
            </w:pPr>
            <w:r>
              <w:rPr>
                <w:rFonts w:ascii="Arial" w:cs="Arial" w:eastAsia="Arial" w:hAnsi="Arial"/>
                <w:sz w:val="16"/>
                <w:szCs w:val="16"/>
                <w:color w:val="auto"/>
              </w:rPr>
              <w:t>Total debt</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5,100</w:t>
            </w:r>
          </w:p>
        </w:tc>
        <w:tc>
          <w:tcPr>
            <w:tcW w:w="3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Pr>
          <w:p>
            <w:pPr>
              <w:spacing w:after="0"/>
              <w:rPr>
                <w:sz w:val="17"/>
                <w:szCs w:val="17"/>
                <w:color w:val="auto"/>
              </w:rPr>
            </w:pPr>
          </w:p>
        </w:tc>
      </w:tr>
      <w:tr>
        <w:trPr>
          <w:trHeight w:val="219"/>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discounts, premiums and issuance costs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r>
        <w:trPr>
          <w:trHeight w:val="207"/>
        </w:trPr>
        <w:tc>
          <w:tcPr>
            <w:tcW w:w="912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5,068</w:t>
            </w:r>
          </w:p>
        </w:tc>
        <w:tc>
          <w:tcPr>
            <w:tcW w:w="3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Pr>
          <w:p>
            <w:pPr>
              <w:spacing w:after="0"/>
              <w:rPr>
                <w:sz w:val="17"/>
                <w:szCs w:val="17"/>
                <w:color w:val="auto"/>
              </w:rPr>
            </w:pPr>
          </w:p>
        </w:tc>
      </w:tr>
      <w:tr>
        <w:trPr>
          <w:trHeight w:val="219"/>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(749)</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r>
      <w:tr>
        <w:trPr>
          <w:trHeight w:val="207"/>
        </w:trPr>
        <w:tc>
          <w:tcPr>
            <w:tcW w:w="91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4,319</w:t>
            </w:r>
          </w:p>
        </w:tc>
        <w:tc>
          <w:tcPr>
            <w:tcW w:w="3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Pr>
          <w:p>
            <w:pPr>
              <w:spacing w:after="0"/>
              <w:rPr>
                <w:sz w:val="17"/>
                <w:szCs w:val="17"/>
                <w:color w:val="auto"/>
              </w:rPr>
            </w:pPr>
          </w:p>
        </w:tc>
      </w:tr>
      <w:tr>
        <w:trPr>
          <w:trHeight w:val="20"/>
        </w:trPr>
        <w:tc>
          <w:tcPr>
            <w:tcW w:w="9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Interest and debt expense was $125 million, $78 million and $80 million in 2018, 2017 and 2016, respectively. This was net of the amortized discounts, premiums and issuance costs. Cash payments for interest on long-term debt were $114 million, $75 million and $88 million in 2018, 2017 and 2016, respectively. Capitalized interest was not material.</w:t>
      </w:r>
    </w:p>
    <w:p>
      <w:pPr>
        <w:spacing w:after="0" w:line="330"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Some of our purchase commitments include payments for software licenses and contractual agreements with suppliers where there is a fixed, non-cancellable payment schedule or minimum payments due with a reduced delivery schedule.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$79 million, $81 million and $86 million in 2018, 2017 and 2016,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360"/>
        <w:spacing w:after="0" w:line="277" w:lineRule="auto"/>
        <w:rPr>
          <w:sz w:val="20"/>
          <w:szCs w:val="20"/>
          <w:color w:val="auto"/>
        </w:rPr>
      </w:pPr>
      <w:r>
        <w:rPr>
          <w:rFonts w:ascii="Arial" w:cs="Arial" w:eastAsia="Arial" w:hAnsi="Arial"/>
          <w:sz w:val="18"/>
          <w:szCs w:val="18"/>
          <w:color w:val="auto"/>
        </w:rPr>
        <w:t>As of December 31, 2018, we had committed to make the following minimum payments under our purchase commitments and non-cancellable operating leases: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420" w:type="dxa"/>
            <w:vAlign w:val="bottom"/>
          </w:tcPr>
          <w:p>
            <w:pPr>
              <w:jc w:val="center"/>
              <w:ind w:left="221"/>
              <w:spacing w:after="0"/>
              <w:rPr>
                <w:sz w:val="20"/>
                <w:szCs w:val="20"/>
                <w:color w:val="auto"/>
              </w:rPr>
            </w:pPr>
            <w:r>
              <w:rPr>
                <w:rFonts w:ascii="Arial" w:cs="Arial" w:eastAsia="Arial" w:hAnsi="Arial"/>
                <w:sz w:val="16"/>
                <w:szCs w:val="16"/>
                <w:b w:val="1"/>
                <w:bCs w:val="1"/>
                <w:color w:val="auto"/>
                <w:w w:val="88"/>
              </w:rPr>
              <w:t>Purchase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Operating</w:t>
            </w:r>
          </w:p>
        </w:tc>
      </w:tr>
      <w:tr>
        <w:trPr>
          <w:trHeight w:val="219"/>
        </w:trPr>
        <w:tc>
          <w:tcPr>
            <w:tcW w:w="7440" w:type="dxa"/>
            <w:vAlign w:val="bottom"/>
          </w:tcPr>
          <w:p>
            <w:pPr>
              <w:spacing w:after="0"/>
              <w:rPr>
                <w:sz w:val="19"/>
                <w:szCs w:val="19"/>
                <w:color w:val="auto"/>
              </w:rPr>
            </w:pPr>
          </w:p>
        </w:tc>
        <w:tc>
          <w:tcPr>
            <w:tcW w:w="1420" w:type="dxa"/>
            <w:vAlign w:val="bottom"/>
          </w:tcPr>
          <w:p>
            <w:pPr>
              <w:jc w:val="center"/>
              <w:ind w:left="221"/>
              <w:spacing w:after="0"/>
              <w:rPr>
                <w:sz w:val="20"/>
                <w:szCs w:val="20"/>
                <w:color w:val="auto"/>
              </w:rPr>
            </w:pPr>
            <w:r>
              <w:rPr>
                <w:rFonts w:ascii="Arial" w:cs="Arial" w:eastAsia="Arial" w:hAnsi="Arial"/>
                <w:sz w:val="16"/>
                <w:szCs w:val="16"/>
                <w:b w:val="1"/>
                <w:bCs w:val="1"/>
                <w:color w:val="auto"/>
                <w:w w:val="93"/>
              </w:rPr>
              <w:t>Commitments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4"/>
              </w:rPr>
              <w:t>Leases</w:t>
            </w:r>
          </w:p>
        </w:tc>
      </w:tr>
      <w:tr>
        <w:trPr>
          <w:trHeight w:val="213"/>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2019</w:t>
            </w:r>
          </w:p>
        </w:tc>
        <w:tc>
          <w:tcPr>
            <w:tcW w:w="1420" w:type="dxa"/>
            <w:vAlign w:val="bottom"/>
            <w:tcBorders>
              <w:top w:val="single" w:sz="8" w:color="auto"/>
            </w:tcBorders>
            <w:shd w:val="clear" w:color="auto" w:fill="CCEEFF"/>
          </w:tcPr>
          <w:p>
            <w:pPr>
              <w:jc w:val="right"/>
              <w:ind w:right="126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2020</w:t>
            </w: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r>
      <w:tr>
        <w:trPr>
          <w:trHeight w:val="21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2022</w:t>
            </w: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r>
      <w:tr>
        <w:trPr>
          <w:trHeight w:val="21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6"/>
                <w:szCs w:val="16"/>
                <w:color w:val="auto"/>
              </w:rPr>
              <w:t>Thereafter</w:t>
            </w: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200" w:lineRule="exact"/>
        <w:rPr>
          <w:sz w:val="20"/>
          <w:szCs w:val="20"/>
          <w:color w:val="auto"/>
        </w:rPr>
      </w:pPr>
    </w:p>
    <w:p>
      <w:pPr>
        <w:spacing w:after="0" w:line="241"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 and are comprised of the following components: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1"/>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charges (a)</w:t>
            </w: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Gains on sales of assets</w:t>
            </w:r>
          </w:p>
        </w:tc>
        <w:tc>
          <w:tcPr>
            <w:tcW w:w="6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severance and benefits, accelerated depreciation, changes in estimates or other exit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accrued restructuring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w:t>
            </w:r>
          </w:p>
        </w:tc>
        <w:tc>
          <w:tcPr>
            <w:tcW w:w="3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Restructuring charges</w:t>
            </w:r>
          </w:p>
        </w:tc>
        <w:tc>
          <w:tcPr>
            <w:tcW w:w="3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Non-cash items (a)</w:t>
            </w:r>
          </w:p>
        </w:tc>
        <w:tc>
          <w:tcPr>
            <w:tcW w:w="3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Payments</w:t>
            </w:r>
          </w:p>
        </w:tc>
        <w:tc>
          <w:tcPr>
            <w:tcW w:w="3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December 31</w:t>
            </w:r>
          </w:p>
        </w:tc>
        <w:tc>
          <w:tcPr>
            <w:tcW w:w="31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31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charges for impacts of accelerated depreciation and changes in exchange rates.</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restructuring accrual balances are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80"/>
        <w:spacing w:after="0" w:line="277" w:lineRule="auto"/>
        <w:rPr>
          <w:sz w:val="20"/>
          <w:szCs w:val="20"/>
          <w:color w:val="auto"/>
        </w:rPr>
      </w:pPr>
      <w:r>
        <w:rPr>
          <w:rFonts w:ascii="Arial" w:cs="Arial" w:eastAsia="Arial" w:hAnsi="Arial"/>
          <w:sz w:val="18"/>
          <w:szCs w:val="18"/>
          <w:color w:val="auto"/>
        </w:rPr>
        <w:t>In February 2019, we entered into an agreement to sell our manufacturing facility in Greenock, Scotland. The sale is expected to close during the first quarter of 2019.</w:t>
      </w:r>
    </w:p>
    <w:p>
      <w:pPr>
        <w:spacing w:after="0" w:line="319"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 (OI&amp;E)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0"/>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tcPr>
          <w:p>
            <w:pPr>
              <w:spacing w:after="0"/>
              <w:rPr>
                <w:sz w:val="18"/>
                <w:szCs w:val="18"/>
                <w:color w:val="auto"/>
              </w:rPr>
            </w:pPr>
          </w:p>
        </w:tc>
        <w:tc>
          <w:tcPr>
            <w:tcW w:w="33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Other income (a)</w:t>
            </w:r>
          </w:p>
        </w:tc>
        <w:tc>
          <w:tcPr>
            <w:tcW w:w="3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150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6"/>
                <w:szCs w:val="16"/>
                <w:color w:val="auto"/>
              </w:rPr>
              <w:t>Other expense (b)</w:t>
            </w:r>
          </w:p>
        </w:tc>
        <w:tc>
          <w:tcPr>
            <w:tcW w:w="3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(52)</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3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shd w:val="clear" w:color="auto" w:fill="CCEEFF"/>
          </w:tcPr>
          <w:p>
            <w:pPr>
              <w:spacing w:after="0"/>
              <w:rPr>
                <w:sz w:val="18"/>
                <w:szCs w:val="18"/>
                <w:color w:val="auto"/>
              </w:rPr>
            </w:pPr>
          </w:p>
        </w:tc>
        <w:tc>
          <w:tcPr>
            <w:tcW w:w="33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6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income includes interest, royalty and lease income; investment gains and losses; and other miscellaneous items. As of January 1, 2017, royalties are recorded in OI&amp;E instead of revenue.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expense includes a portion of pension and other retiree benefit costs. It also includes currency gains and losses and tax interest expense.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1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Borders>
              <w:bottom w:val="single" w:sz="8" w:color="CFF0FC"/>
            </w:tcBorders>
          </w:tcPr>
          <w:p>
            <w:pPr>
              <w:spacing w:after="0"/>
              <w:rPr>
                <w:sz w:val="18"/>
                <w:szCs w:val="18"/>
                <w:color w:val="auto"/>
              </w:rPr>
            </w:pPr>
          </w:p>
        </w:tc>
      </w:tr>
      <w:tr>
        <w:trPr>
          <w:trHeight w:val="212"/>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Prepaid taxes on intercompany inventory profits, net</w:t>
            </w:r>
          </w:p>
        </w:tc>
        <w:tc>
          <w:tcPr>
            <w:tcW w:w="600" w:type="dxa"/>
            <w:vAlign w:val="bottom"/>
            <w:shd w:val="clear" w:color="auto" w:fill="CFF0FC"/>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132</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FF0FC"/>
          </w:tcPr>
          <w:p>
            <w:pPr>
              <w:spacing w:after="0"/>
              <w:rPr>
                <w:sz w:val="18"/>
                <w:szCs w:val="18"/>
                <w:color w:val="auto"/>
              </w:rPr>
            </w:pPr>
          </w:p>
        </w:tc>
      </w:tr>
      <w:tr>
        <w:trPr>
          <w:trHeight w:val="213"/>
        </w:trPr>
        <w:tc>
          <w:tcPr>
            <w:tcW w:w="9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FF0FC"/>
            </w:tcBorders>
          </w:tcPr>
          <w:p>
            <w:pPr>
              <w:spacing w:after="0"/>
              <w:rPr>
                <w:sz w:val="18"/>
                <w:szCs w:val="18"/>
                <w:color w:val="auto"/>
              </w:rPr>
            </w:pPr>
          </w:p>
        </w:tc>
      </w:tr>
      <w:tr>
        <w:trPr>
          <w:trHeight w:val="210"/>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600" w:type="dxa"/>
            <w:vAlign w:val="bottom"/>
            <w:shd w:val="clear" w:color="auto" w:fill="CFF0FC"/>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440</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FF0FC"/>
          </w:tcPr>
          <w:p>
            <w:pPr>
              <w:spacing w:after="0"/>
              <w:rPr>
                <w:sz w:val="18"/>
                <w:szCs w:val="18"/>
                <w:color w:val="auto"/>
              </w:rPr>
            </w:pPr>
          </w:p>
        </w:tc>
      </w:tr>
      <w:tr>
        <w:trPr>
          <w:trHeight w:val="20"/>
        </w:trPr>
        <w:tc>
          <w:tcPr>
            <w:tcW w:w="9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at cost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Depreciable</w:t>
            </w: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646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Lives (Years)</w:t>
            </w: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FF0FC"/>
            </w:tcBorders>
          </w:tcPr>
          <w:p>
            <w:pPr>
              <w:spacing w:after="0"/>
              <w:rPr>
                <w:sz w:val="18"/>
                <w:szCs w:val="18"/>
                <w:color w:val="auto"/>
              </w:rPr>
            </w:pPr>
          </w:p>
        </w:tc>
      </w:tr>
      <w:tr>
        <w:trPr>
          <w:trHeight w:val="212"/>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Land</w:t>
            </w: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n/a</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128</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FF0FC"/>
          </w:tcPr>
          <w:p>
            <w:pPr>
              <w:spacing w:after="0"/>
              <w:rPr>
                <w:sz w:val="18"/>
                <w:szCs w:val="18"/>
                <w:color w:val="auto"/>
              </w:rPr>
            </w:pPr>
          </w:p>
        </w:tc>
      </w:tr>
      <w:tr>
        <w:trPr>
          <w:trHeight w:val="213"/>
        </w:trPr>
        <w:tc>
          <w:tcPr>
            <w:tcW w:w="6460" w:type="dxa"/>
            <w:vAlign w:val="bottom"/>
          </w:tcPr>
          <w:p>
            <w:pPr>
              <w:spacing w:after="0"/>
              <w:rPr>
                <w:sz w:val="20"/>
                <w:szCs w:val="20"/>
                <w:color w:val="auto"/>
              </w:rPr>
            </w:pPr>
            <w:r>
              <w:rPr>
                <w:rFonts w:ascii="Arial" w:cs="Arial" w:eastAsia="Arial" w:hAnsi="Arial"/>
                <w:sz w:val="16"/>
                <w:szCs w:val="16"/>
                <w:color w:val="auto"/>
              </w:rPr>
              <w:t>Buildings and improvements</w:t>
            </w: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5 - 40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2,497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2,467</w:t>
            </w:r>
          </w:p>
        </w:tc>
        <w:tc>
          <w:tcPr>
            <w:tcW w:w="120" w:type="dxa"/>
            <w:vAlign w:val="bottom"/>
          </w:tcPr>
          <w:p>
            <w:pPr>
              <w:spacing w:after="0"/>
              <w:rPr>
                <w:sz w:val="18"/>
                <w:szCs w:val="18"/>
                <w:color w:val="auto"/>
              </w:rPr>
            </w:pPr>
          </w:p>
        </w:tc>
      </w:tr>
      <w:tr>
        <w:trPr>
          <w:trHeight w:val="219"/>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1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2 - 10</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2,800</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2,195</w:t>
            </w:r>
          </w:p>
        </w:tc>
        <w:tc>
          <w:tcPr>
            <w:tcW w:w="120" w:type="dxa"/>
            <w:vAlign w:val="bottom"/>
            <w:shd w:val="clear" w:color="auto" w:fill="CFF0FC"/>
          </w:tcPr>
          <w:p>
            <w:pPr>
              <w:spacing w:after="0"/>
              <w:rPr>
                <w:sz w:val="19"/>
                <w:szCs w:val="19"/>
                <w:color w:val="auto"/>
              </w:rPr>
            </w:pPr>
          </w:p>
        </w:tc>
      </w:tr>
      <w:tr>
        <w:trPr>
          <w:trHeight w:val="207"/>
        </w:trPr>
        <w:tc>
          <w:tcPr>
            <w:tcW w:w="6460" w:type="dxa"/>
            <w:vAlign w:val="bottom"/>
          </w:tcPr>
          <w:p>
            <w:pPr>
              <w:spacing w:after="0"/>
              <w:rPr>
                <w:sz w:val="20"/>
                <w:szCs w:val="20"/>
                <w:color w:val="auto"/>
              </w:rPr>
            </w:pPr>
            <w:r>
              <w:rPr>
                <w:rFonts w:ascii="Arial" w:cs="Arial" w:eastAsia="Arial" w:hAnsi="Arial"/>
                <w:sz w:val="16"/>
                <w:szCs w:val="16"/>
                <w:color w:val="auto"/>
              </w:rPr>
              <w:t>Total</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5,425</w:t>
            </w:r>
          </w:p>
        </w:tc>
        <w:tc>
          <w:tcPr>
            <w:tcW w:w="30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4,789</w:t>
            </w:r>
          </w:p>
        </w:tc>
        <w:tc>
          <w:tcPr>
            <w:tcW w:w="120" w:type="dxa"/>
            <w:vAlign w:val="bottom"/>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liabilities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Borders>
              <w:bottom w:val="single" w:sz="8" w:color="CFF0FC"/>
            </w:tcBorders>
          </w:tcPr>
          <w:p>
            <w:pPr>
              <w:spacing w:after="0"/>
              <w:rPr>
                <w:sz w:val="18"/>
                <w:szCs w:val="18"/>
                <w:color w:val="auto"/>
              </w:rPr>
            </w:pPr>
          </w:p>
        </w:tc>
      </w:tr>
      <w:tr>
        <w:trPr>
          <w:trHeight w:val="212"/>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Long-term portion of tax on indefinitely reinvested earnings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506</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FF0FC"/>
          </w:tcPr>
          <w:p>
            <w:pPr>
              <w:spacing w:after="0"/>
              <w:rPr>
                <w:sz w:val="18"/>
                <w:szCs w:val="18"/>
                <w:color w:val="auto"/>
              </w:rPr>
            </w:pPr>
          </w:p>
        </w:tc>
      </w:tr>
      <w:tr>
        <w:trPr>
          <w:trHeight w:val="213"/>
        </w:trPr>
        <w:tc>
          <w:tcPr>
            <w:tcW w:w="9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684</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FF0FC"/>
            </w:tcBorders>
          </w:tcPr>
          <w:p>
            <w:pPr>
              <w:spacing w:after="0"/>
              <w:rPr>
                <w:sz w:val="18"/>
                <w:szCs w:val="18"/>
                <w:color w:val="auto"/>
              </w:rPr>
            </w:pPr>
          </w:p>
        </w:tc>
      </w:tr>
      <w:tr>
        <w:trPr>
          <w:trHeight w:val="210"/>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1,190</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FF0FC"/>
          </w:tcPr>
          <w:p>
            <w:pPr>
              <w:spacing w:after="0"/>
              <w:rPr>
                <w:sz w:val="18"/>
                <w:szCs w:val="18"/>
                <w:color w:val="auto"/>
              </w:rPr>
            </w:pPr>
          </w:p>
        </w:tc>
      </w:tr>
      <w:tr>
        <w:trPr>
          <w:trHeight w:val="20"/>
        </w:trPr>
        <w:tc>
          <w:tcPr>
            <w:tcW w:w="9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net of taxes (AOCI)</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Postretirement benefit plans (a):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tcPr>
          <w:p>
            <w:pPr>
              <w:ind w:left="140"/>
              <w:spacing w:after="0"/>
              <w:rPr>
                <w:sz w:val="20"/>
                <w:szCs w:val="20"/>
                <w:color w:val="auto"/>
              </w:rPr>
            </w:pPr>
            <w:r>
              <w:rPr>
                <w:rFonts w:ascii="Arial" w:cs="Arial" w:eastAsia="Arial" w:hAnsi="Arial"/>
                <w:sz w:val="16"/>
                <w:szCs w:val="16"/>
                <w:color w:val="auto"/>
              </w:rPr>
              <w:t>Net actuarial loss</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(473)</w:t>
            </w:r>
          </w:p>
        </w:tc>
        <w:tc>
          <w:tcPr>
            <w:tcW w:w="4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9"/>
        </w:trPr>
        <w:tc>
          <w:tcPr>
            <w:tcW w:w="9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Prior service credit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Cash flow hedge derivative instruments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(473)</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4120" w:hanging="5612"/>
        <w:spacing w:after="0" w:line="528" w:lineRule="auto"/>
        <w:tabs>
          <w:tab w:leader="none" w:pos="5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$30 million for the adoption of ASU 2018-02. See Note 2 for additional information.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in 2018, 2017 and 2016. The table below details where these transactions are recorded in our Consolidated 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For Years Ended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5"/>
              </w:rPr>
              <w:t>Impact to</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1"/>
              </w:rPr>
              <w:t>Related Statement</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w w:val="89"/>
              </w:rPr>
              <w:t>2017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1"/>
              </w:rPr>
              <w:t>of Income Lines</w:t>
            </w:r>
          </w:p>
        </w:tc>
        <w:tc>
          <w:tcPr>
            <w:tcW w:w="0" w:type="dxa"/>
            <w:vAlign w:val="bottom"/>
          </w:tcPr>
          <w:p>
            <w:pPr>
              <w:spacing w:after="0"/>
              <w:rPr>
                <w:sz w:val="1"/>
                <w:szCs w:val="1"/>
                <w:color w:val="auto"/>
              </w:rPr>
            </w:pPr>
          </w:p>
        </w:tc>
      </w:tr>
      <w:tr>
        <w:trPr>
          <w:trHeight w:val="212"/>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Net actuarial losses of defined benefit plans:</w:t>
            </w:r>
          </w:p>
        </w:tc>
        <w:tc>
          <w:tcPr>
            <w:tcW w:w="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4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660" w:type="dxa"/>
            <w:vAlign w:val="bottom"/>
            <w:gridSpan w:val="2"/>
          </w:tcPr>
          <w:p>
            <w:pPr>
              <w:jc w:val="right"/>
              <w:ind w:right="4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80" w:type="dxa"/>
            <w:vAlign w:val="bottom"/>
          </w:tcPr>
          <w:p>
            <w:pPr>
              <w:spacing w:after="0"/>
              <w:rPr>
                <w:sz w:val="18"/>
                <w:szCs w:val="18"/>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8"/>
                <w:szCs w:val="18"/>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480" w:type="dxa"/>
            <w:vAlign w:val="bottom"/>
            <w:gridSpan w:val="2"/>
          </w:tcPr>
          <w:p>
            <w:pPr>
              <w:ind w:left="40"/>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19"/>
        </w:trPr>
        <w:tc>
          <w:tcPr>
            <w:tcW w:w="4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(15)</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w:t>
            </w:r>
          </w:p>
        </w:tc>
        <w:tc>
          <w:tcPr>
            <w:tcW w:w="6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8"/>
              </w:rPr>
              <w:t>(25)</w:t>
            </w:r>
          </w:p>
        </w:tc>
        <w:tc>
          <w:tcPr>
            <w:tcW w:w="3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gridSpan w:val="2"/>
            <w:vMerge w:val="restart"/>
          </w:tcPr>
          <w:p>
            <w:pPr>
              <w:ind w:left="4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47"/>
        </w:trPr>
        <w:tc>
          <w:tcPr>
            <w:tcW w:w="486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80" w:type="dxa"/>
            <w:vAlign w:val="bottom"/>
          </w:tcPr>
          <w:p>
            <w:pPr>
              <w:spacing w:after="0"/>
              <w:rPr>
                <w:sz w:val="21"/>
                <w:szCs w:val="21"/>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21"/>
                <w:szCs w:val="21"/>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3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8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4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Prior service credit of defined benefit plans:</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660" w:type="dxa"/>
            <w:vAlign w:val="bottom"/>
            <w:gridSpan w:val="2"/>
            <w:shd w:val="clear" w:color="auto" w:fill="CFF0FC"/>
          </w:tcPr>
          <w:p>
            <w:pPr>
              <w:jc w:val="right"/>
              <w:ind w:right="443"/>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68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w:t>
            </w:r>
          </w:p>
        </w:tc>
        <w:tc>
          <w:tcPr>
            <w:tcW w:w="620" w:type="dxa"/>
            <w:vAlign w:val="bottom"/>
            <w:shd w:val="clear" w:color="auto" w:fill="CFF0FC"/>
          </w:tcPr>
          <w:p>
            <w:pPr>
              <w:jc w:val="right"/>
              <w:ind w:right="463"/>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3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tcPr>
          <w:p>
            <w:pPr>
              <w:spacing w:after="0"/>
              <w:rPr>
                <w:sz w:val="18"/>
                <w:szCs w:val="18"/>
                <w:color w:val="auto"/>
              </w:rPr>
            </w:pPr>
          </w:p>
        </w:tc>
        <w:tc>
          <w:tcPr>
            <w:tcW w:w="3480" w:type="dxa"/>
            <w:vAlign w:val="bottom"/>
            <w:tcBorders>
              <w:bottom w:val="single" w:sz="8" w:color="CFF0FC"/>
            </w:tcBorders>
            <w:gridSpan w:val="2"/>
          </w:tcPr>
          <w:p>
            <w:pPr>
              <w:ind w:left="40"/>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3"/>
              <w:spacing w:after="0"/>
              <w:rPr>
                <w:sz w:val="20"/>
                <w:szCs w:val="20"/>
                <w:color w:val="auto"/>
              </w:rPr>
            </w:pPr>
            <w:r>
              <w:rPr>
                <w:rFonts w:ascii="Arial" w:cs="Arial" w:eastAsia="Arial" w:hAnsi="Arial"/>
                <w:sz w:val="15"/>
                <w:szCs w:val="15"/>
                <w:b w:val="1"/>
                <w:bCs w:val="1"/>
                <w:color w:val="auto"/>
                <w:w w:val="71"/>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68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w:t>
            </w:r>
          </w:p>
        </w:tc>
        <w:tc>
          <w:tcPr>
            <w:tcW w:w="620" w:type="dxa"/>
            <w:vAlign w:val="bottom"/>
            <w:shd w:val="clear" w:color="auto" w:fill="CFF0FC"/>
          </w:tcPr>
          <w:p>
            <w:pPr>
              <w:jc w:val="right"/>
              <w:ind w:right="463"/>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3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Derivative instruments:</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Amortization of treasury-rate locks</w:t>
            </w:r>
          </w:p>
        </w:tc>
        <w:tc>
          <w:tcPr>
            <w:tcW w:w="660" w:type="dxa"/>
            <w:vAlign w:val="bottom"/>
            <w:gridSpan w:val="2"/>
          </w:tcPr>
          <w:p>
            <w:pPr>
              <w:jc w:val="right"/>
              <w:ind w:right="443"/>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80" w:type="dxa"/>
            <w:vAlign w:val="bottom"/>
            <w:gridSpan w:val="2"/>
          </w:tcPr>
          <w:p>
            <w:pPr>
              <w:ind w:left="40"/>
              <w:spacing w:after="0"/>
              <w:rPr>
                <w:sz w:val="20"/>
                <w:szCs w:val="20"/>
                <w:color w:val="auto"/>
              </w:rPr>
            </w:pPr>
            <w:r>
              <w:rPr>
                <w:rFonts w:ascii="Arial" w:cs="Arial" w:eastAsia="Arial" w:hAnsi="Arial"/>
                <w:sz w:val="16"/>
                <w:szCs w:val="16"/>
                <w:color w:val="auto"/>
              </w:rPr>
              <w:t>Increase to interest and debt expense</w:t>
            </w:r>
          </w:p>
        </w:tc>
        <w:tc>
          <w:tcPr>
            <w:tcW w:w="0" w:type="dxa"/>
            <w:vAlign w:val="bottom"/>
          </w:tcPr>
          <w:p>
            <w:pPr>
              <w:spacing w:after="0"/>
              <w:rPr>
                <w:sz w:val="1"/>
                <w:szCs w:val="1"/>
                <w:color w:val="auto"/>
              </w:rPr>
            </w:pPr>
          </w:p>
        </w:tc>
      </w:tr>
      <w:tr>
        <w:trPr>
          <w:trHeight w:val="219"/>
        </w:trPr>
        <w:tc>
          <w:tcPr>
            <w:tcW w:w="4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7"/>
        </w:trPr>
        <w:tc>
          <w:tcPr>
            <w:tcW w:w="4860" w:type="dxa"/>
            <w:vAlign w:val="bottom"/>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tcPr>
          <w:p>
            <w:pPr>
              <w:spacing w:after="0"/>
              <w:rPr>
                <w:sz w:val="17"/>
                <w:szCs w:val="17"/>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3480" w:type="dxa"/>
            <w:vAlign w:val="bottom"/>
            <w:gridSpan w:val="2"/>
          </w:tcPr>
          <w:p>
            <w:pPr>
              <w:ind w:left="4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Detailed in Note 9.</w:t>
      </w:r>
    </w:p>
    <w:p>
      <w:pPr>
        <w:spacing w:after="0" w:line="200" w:lineRule="exact"/>
        <w:rPr>
          <w:sz w:val="20"/>
          <w:szCs w:val="20"/>
          <w:color w:val="auto"/>
        </w:rPr>
      </w:pPr>
    </w:p>
    <w:p>
      <w:pPr>
        <w:spacing w:after="0" w:line="228"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Quarterly financial data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2018 Quarters</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2017 Quarters</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8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4th</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3rd</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2nd</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1st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4th</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3rd</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2nd</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1st</w:t>
            </w:r>
          </w:p>
        </w:tc>
        <w:tc>
          <w:tcPr>
            <w:tcW w:w="120" w:type="dxa"/>
            <w:vAlign w:val="bottom"/>
            <w:tcBorders>
              <w:bottom w:val="single" w:sz="8" w:color="CCEEFF"/>
            </w:tcBorders>
          </w:tcPr>
          <w:p>
            <w:pPr>
              <w:spacing w:after="0"/>
              <w:rPr>
                <w:sz w:val="18"/>
                <w:szCs w:val="18"/>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20" w:type="dxa"/>
            <w:vAlign w:val="bottom"/>
            <w:shd w:val="clear" w:color="auto" w:fill="CCEEFF"/>
          </w:tcPr>
          <w:p>
            <w:pPr>
              <w:spacing w:after="0"/>
              <w:rPr>
                <w:sz w:val="18"/>
                <w:szCs w:val="18"/>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6"/>
                <w:szCs w:val="16"/>
                <w:color w:val="auto"/>
              </w:rPr>
              <w:t>Gross profit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2,407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2,804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2,619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2,447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18"/>
                <w:szCs w:val="18"/>
                <w:color w:val="auto"/>
              </w:rPr>
            </w:pPr>
          </w:p>
        </w:tc>
      </w:tr>
      <w:tr>
        <w:trPr>
          <w:trHeight w:val="219"/>
        </w:trPr>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Included in operating profit:</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Acquisition charges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r>
      <w:tr>
        <w:trPr>
          <w:trHeight w:val="219"/>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charges/other</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6"/>
                <w:szCs w:val="16"/>
                <w:color w:val="auto"/>
              </w:rPr>
              <w:t>Operating profit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1,516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1,937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8"/>
                <w:szCs w:val="18"/>
                <w:color w:val="auto"/>
              </w:rPr>
            </w:pPr>
          </w:p>
        </w:tc>
      </w:tr>
      <w:tr>
        <w:trPr>
          <w:trHeight w:val="219"/>
        </w:trPr>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9"/>
                <w:szCs w:val="19"/>
                <w:color w:val="auto"/>
              </w:rPr>
            </w:pPr>
          </w:p>
        </w:tc>
      </w:tr>
      <w:tr>
        <w:trPr>
          <w:trHeight w:val="216"/>
        </w:trPr>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Basic EPS</w:t>
            </w:r>
          </w:p>
        </w:tc>
        <w:tc>
          <w:tcPr>
            <w:tcW w:w="10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w:t>
            </w:r>
          </w:p>
        </w:tc>
        <w:tc>
          <w:tcPr>
            <w:tcW w:w="3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shd w:val="clear" w:color="auto" w:fill="CCEEFF"/>
          </w:tcPr>
          <w:p>
            <w:pPr>
              <w:spacing w:after="0"/>
              <w:rPr>
                <w:sz w:val="18"/>
                <w:szCs w:val="18"/>
                <w:color w:val="auto"/>
              </w:rPr>
            </w:pPr>
          </w:p>
        </w:tc>
      </w:tr>
      <w:tr>
        <w:trPr>
          <w:trHeight w:val="210"/>
        </w:trPr>
        <w:tc>
          <w:tcPr>
            <w:tcW w:w="2840" w:type="dxa"/>
            <w:vAlign w:val="bottom"/>
          </w:tcPr>
          <w:p>
            <w:pPr>
              <w:spacing w:after="0"/>
              <w:rPr>
                <w:sz w:val="20"/>
                <w:szCs w:val="20"/>
                <w:color w:val="auto"/>
              </w:rPr>
            </w:pPr>
            <w:r>
              <w:rPr>
                <w:rFonts w:ascii="Arial" w:cs="Arial" w:eastAsia="Arial" w:hAnsi="Arial"/>
                <w:sz w:val="16"/>
                <w:szCs w:val="16"/>
                <w:color w:val="auto"/>
              </w:rPr>
              <w:t>Diluted EPS</w:t>
            </w:r>
          </w:p>
        </w:tc>
        <w:tc>
          <w:tcPr>
            <w:tcW w:w="10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3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0.34</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1.26</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0.97</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consolidated balance sheets of Texas Instruments Incorporated (the Company) as of December 31, 2018 and 2017, the related consolidated statements of income, comprehensive income,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2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22, 2019 expressed an unqualified opinion thereon.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139700</wp:posOffset>
            </wp:positionV>
            <wp:extent cx="1629410" cy="428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56" w:name="page57"/>
    <w:bookmarkEnd w:id="56"/>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25" w:lineRule="exact"/>
        <w:rPr>
          <w:sz w:val="20"/>
          <w:szCs w:val="20"/>
          <w:color w:val="auto"/>
        </w:rPr>
      </w:pPr>
    </w:p>
    <w:p>
      <w:pPr>
        <w:jc w:val="both"/>
        <w:ind w:right="280"/>
        <w:spacing w:after="0" w:line="276" w:lineRule="auto"/>
        <w:rPr>
          <w:sz w:val="20"/>
          <w:szCs w:val="20"/>
          <w:color w:val="auto"/>
        </w:rPr>
      </w:pPr>
      <w:r>
        <w:rPr>
          <w:rFonts w:ascii="Arial" w:cs="Arial" w:eastAsia="Arial" w:hAnsi="Arial"/>
          <w:sz w:val="17"/>
          <w:szCs w:val="17"/>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2018 that has materially affected, or is reasonably likely to materially affect, our internal control over financial reporting.</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2018. In making this assessment, we used the criteria set forth by the Committee of Sponsoring Organizations of the Treadway Commission (2013 framework) (the COSO criteria) in Internal Control − Integrated Framework. Based on our assessment, we believe that, as of December 31, 2018, our internal control over financial reporting is effective based on the COSO criteria.</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Texas Instruments Incorporated’s internal control over financial reporting as of December 31, 2018,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2018, based on the COSO criteria.</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Texas Instruments Incorporated as of December 31, 2018 and 2017, the related consolidated statements of income, comprehensive income, shareholders’ equity and cash flows for each of the three years in the period ended December 31, 2018, and the related notes, and our report dated February 22,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141605</wp:posOffset>
            </wp:positionV>
            <wp:extent cx="1629410"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information with respect to directors’ names, ages, positions, term of office, periods of service and business experience, which is contained under the caption “Election of directors” in our proxy statement for the 2019 annual meeting of stockholders, is incorporated herein by reference to such proxy statement.</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2019 annual meeting of stockholders is incorporated herein by reference to such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of Ethics</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2019 annual meeting of stockholders is incorporated herein by reference to such proxy statement.</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2019 annual meeting of stockholders is incorporated herein by reference to such proxy statement, provided that the Compensation Committee report shall not be deemed filed with this Form 10-K.</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2019 annual meeting of stockholders is incorporated herein by reference to such proxy statement.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9" w:name="page60"/>
    <w:bookmarkEnd w:id="59"/>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Number of Securities to</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jc w:val="center"/>
              <w:ind w:right="220"/>
              <w:spacing w:after="0"/>
              <w:rPr>
                <w:sz w:val="20"/>
                <w:szCs w:val="20"/>
                <w:color w:val="auto"/>
              </w:rPr>
            </w:pPr>
            <w:r>
              <w:rPr>
                <w:rFonts w:ascii="Arial" w:cs="Arial" w:eastAsia="Arial" w:hAnsi="Arial"/>
                <w:sz w:val="16"/>
                <w:szCs w:val="16"/>
                <w:b w:val="1"/>
                <w:bCs w:val="1"/>
                <w:color w:val="auto"/>
                <w:w w:val="91"/>
              </w:rPr>
              <w:t>Number of Securities</w:t>
            </w: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left="159"/>
              <w:spacing w:after="0"/>
              <w:rPr>
                <w:sz w:val="20"/>
                <w:szCs w:val="20"/>
                <w:color w:val="auto"/>
              </w:rPr>
            </w:pPr>
            <w:r>
              <w:rPr>
                <w:rFonts w:ascii="Arial" w:cs="Arial" w:eastAsia="Arial" w:hAnsi="Arial"/>
                <w:sz w:val="16"/>
                <w:szCs w:val="16"/>
                <w:b w:val="1"/>
                <w:bCs w:val="1"/>
                <w:color w:val="auto"/>
                <w:w w:val="88"/>
              </w:rPr>
              <w:t>be Issued Upon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jc w:val="center"/>
              <w:ind w:right="220"/>
              <w:spacing w:after="0"/>
              <w:rPr>
                <w:sz w:val="20"/>
                <w:szCs w:val="20"/>
                <w:color w:val="auto"/>
              </w:rPr>
            </w:pPr>
            <w:r>
              <w:rPr>
                <w:rFonts w:ascii="Arial" w:cs="Arial" w:eastAsia="Arial" w:hAnsi="Arial"/>
                <w:sz w:val="16"/>
                <w:szCs w:val="16"/>
                <w:b w:val="1"/>
                <w:bCs w:val="1"/>
                <w:color w:val="auto"/>
                <w:w w:val="92"/>
              </w:rPr>
              <w:t>Remaining Available for</w:t>
            </w: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left="139"/>
              <w:spacing w:after="0"/>
              <w:rPr>
                <w:sz w:val="20"/>
                <w:szCs w:val="20"/>
                <w:color w:val="auto"/>
              </w:rPr>
            </w:pPr>
            <w:r>
              <w:rPr>
                <w:rFonts w:ascii="Arial" w:cs="Arial" w:eastAsia="Arial" w:hAnsi="Arial"/>
                <w:sz w:val="16"/>
                <w:szCs w:val="16"/>
                <w:b w:val="1"/>
                <w:bCs w:val="1"/>
                <w:color w:val="auto"/>
                <w:w w:val="88"/>
              </w:rPr>
              <w:t>Exercise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 Average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jc w:val="center"/>
              <w:ind w:right="220"/>
              <w:spacing w:after="0"/>
              <w:rPr>
                <w:sz w:val="20"/>
                <w:szCs w:val="20"/>
                <w:color w:val="auto"/>
              </w:rPr>
            </w:pPr>
            <w:r>
              <w:rPr>
                <w:rFonts w:ascii="Arial" w:cs="Arial" w:eastAsia="Arial" w:hAnsi="Arial"/>
                <w:sz w:val="16"/>
                <w:szCs w:val="16"/>
                <w:b w:val="1"/>
                <w:bCs w:val="1"/>
                <w:color w:val="auto"/>
                <w:w w:val="90"/>
              </w:rPr>
              <w:t>Future Issuance under</w:t>
            </w: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Outstanding Options,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Exercise Price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jc w:val="center"/>
              <w:ind w:right="220"/>
              <w:spacing w:after="0"/>
              <w:rPr>
                <w:sz w:val="20"/>
                <w:szCs w:val="20"/>
                <w:color w:val="auto"/>
              </w:rPr>
            </w:pPr>
            <w:r>
              <w:rPr>
                <w:rFonts w:ascii="Arial" w:cs="Arial" w:eastAsia="Arial" w:hAnsi="Arial"/>
                <w:sz w:val="16"/>
                <w:szCs w:val="16"/>
                <w:b w:val="1"/>
                <w:bCs w:val="1"/>
                <w:color w:val="auto"/>
                <w:w w:val="90"/>
              </w:rPr>
              <w:t>Equity Compensation Plans</w:t>
            </w: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Warrants and Rights</w:t>
            </w:r>
          </w:p>
        </w:tc>
        <w:tc>
          <w:tcPr>
            <w:tcW w:w="120" w:type="dxa"/>
            <w:vAlign w:val="bottom"/>
          </w:tcPr>
          <w:p>
            <w:pPr>
              <w:spacing w:after="0"/>
              <w:rPr>
                <w:sz w:val="17"/>
                <w:szCs w:val="17"/>
                <w:color w:val="auto"/>
              </w:rPr>
            </w:pPr>
          </w:p>
        </w:tc>
        <w:tc>
          <w:tcPr>
            <w:tcW w:w="1800" w:type="dxa"/>
            <w:vAlign w:val="bottom"/>
            <w:gridSpan w:val="4"/>
          </w:tcPr>
          <w:p>
            <w:pPr>
              <w:ind w:left="100"/>
              <w:spacing w:after="0"/>
              <w:rPr>
                <w:sz w:val="20"/>
                <w:szCs w:val="20"/>
                <w:color w:val="auto"/>
              </w:rPr>
            </w:pPr>
            <w:r>
              <w:rPr>
                <w:rFonts w:ascii="Arial" w:cs="Arial" w:eastAsia="Arial" w:hAnsi="Arial"/>
                <w:sz w:val="16"/>
                <w:szCs w:val="16"/>
                <w:b w:val="1"/>
                <w:bCs w:val="1"/>
                <w:color w:val="auto"/>
              </w:rPr>
              <w:t>Outstanding Options,</w:t>
            </w:r>
          </w:p>
        </w:tc>
        <w:tc>
          <w:tcPr>
            <w:tcW w:w="2340" w:type="dxa"/>
            <w:vAlign w:val="bottom"/>
          </w:tcPr>
          <w:p>
            <w:pPr>
              <w:jc w:val="center"/>
              <w:ind w:right="220"/>
              <w:spacing w:after="0"/>
              <w:rPr>
                <w:sz w:val="20"/>
                <w:szCs w:val="20"/>
                <w:color w:val="auto"/>
              </w:rPr>
            </w:pPr>
            <w:r>
              <w:rPr>
                <w:rFonts w:ascii="Arial" w:cs="Arial" w:eastAsia="Arial" w:hAnsi="Arial"/>
                <w:sz w:val="16"/>
                <w:szCs w:val="16"/>
                <w:b w:val="1"/>
                <w:bCs w:val="1"/>
                <w:color w:val="auto"/>
                <w:w w:val="87"/>
              </w:rPr>
              <w:t>(excluding securities</w:t>
            </w:r>
          </w:p>
        </w:tc>
      </w:tr>
      <w:tr>
        <w:trPr>
          <w:trHeight w:val="213"/>
        </w:trPr>
        <w:tc>
          <w:tcPr>
            <w:tcW w:w="5380" w:type="dxa"/>
            <w:vAlign w:val="bottom"/>
          </w:tcPr>
          <w:p>
            <w:pPr>
              <w:spacing w:after="0"/>
              <w:rPr>
                <w:sz w:val="20"/>
                <w:szCs w:val="20"/>
                <w:color w:val="auto"/>
              </w:rPr>
            </w:pPr>
            <w:r>
              <w:rPr>
                <w:rFonts w:ascii="Arial" w:cs="Arial" w:eastAsia="Arial" w:hAnsi="Arial"/>
                <w:sz w:val="16"/>
                <w:szCs w:val="16"/>
                <w:b w:val="1"/>
                <w:bCs w:val="1"/>
                <w:color w:val="auto"/>
              </w:rPr>
              <w:t>Plan Category</w:t>
            </w:r>
          </w:p>
        </w:tc>
        <w:tc>
          <w:tcPr>
            <w:tcW w:w="120" w:type="dxa"/>
            <w:vAlign w:val="bottom"/>
          </w:tcPr>
          <w:p>
            <w:pPr>
              <w:spacing w:after="0"/>
              <w:rPr>
                <w:sz w:val="18"/>
                <w:szCs w:val="18"/>
                <w:color w:val="auto"/>
              </w:rPr>
            </w:pPr>
          </w:p>
        </w:tc>
        <w:tc>
          <w:tcPr>
            <w:tcW w:w="1420" w:type="dxa"/>
            <w:vAlign w:val="bottom"/>
          </w:tcPr>
          <w:p>
            <w:pPr>
              <w:jc w:val="center"/>
              <w:ind w:left="139"/>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19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Warrants and Rights (2)</w:t>
            </w:r>
          </w:p>
        </w:tc>
        <w:tc>
          <w:tcPr>
            <w:tcW w:w="2340" w:type="dxa"/>
            <w:vAlign w:val="bottom"/>
          </w:tcPr>
          <w:p>
            <w:pPr>
              <w:jc w:val="center"/>
              <w:ind w:right="220"/>
              <w:spacing w:after="0"/>
              <w:rPr>
                <w:sz w:val="20"/>
                <w:szCs w:val="20"/>
                <w:color w:val="auto"/>
              </w:rPr>
            </w:pPr>
            <w:r>
              <w:rPr>
                <w:rFonts w:ascii="Arial" w:cs="Arial" w:eastAsia="Arial" w:hAnsi="Arial"/>
                <w:sz w:val="16"/>
                <w:szCs w:val="16"/>
                <w:b w:val="1"/>
                <w:bCs w:val="1"/>
                <w:color w:val="auto"/>
                <w:w w:val="91"/>
              </w:rPr>
              <w:t>reflected in column (1)) (3)</w:t>
            </w:r>
          </w:p>
        </w:tc>
      </w:tr>
      <w:tr>
        <w:trPr>
          <w:trHeight w:val="21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47,037,697</w:t>
            </w:r>
          </w:p>
        </w:tc>
        <w:tc>
          <w:tcPr>
            <w:tcW w:w="24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4"/>
                <w:szCs w:val="14"/>
                <w:color w:val="auto"/>
                <w:w w:val="93"/>
              </w:rPr>
              <w:t>(a)</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56.24</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(b)</w:t>
            </w:r>
          </w:p>
        </w:tc>
        <w:tc>
          <w:tcPr>
            <w:tcW w:w="100" w:type="dxa"/>
            <w:vAlign w:val="bottom"/>
            <w:tcBorders>
              <w:top w:val="single" w:sz="8" w:color="CFF0FC"/>
            </w:tcBorders>
            <w:shd w:val="clear" w:color="auto" w:fill="CFF0FC"/>
          </w:tcPr>
          <w:p>
            <w:pPr>
              <w:spacing w:after="0"/>
              <w:rPr>
                <w:sz w:val="18"/>
                <w:szCs w:val="18"/>
                <w:color w:val="auto"/>
              </w:rPr>
            </w:pPr>
          </w:p>
        </w:tc>
        <w:tc>
          <w:tcPr>
            <w:tcW w:w="2340" w:type="dxa"/>
            <w:vAlign w:val="bottom"/>
            <w:tcBorders>
              <w:top w:val="single" w:sz="8" w:color="auto"/>
            </w:tcBorders>
            <w:shd w:val="clear" w:color="auto" w:fill="CFF0FC"/>
          </w:tcPr>
          <w:p>
            <w:pPr>
              <w:jc w:val="right"/>
              <w:spacing w:after="0" w:line="212" w:lineRule="exact"/>
              <w:rPr>
                <w:sz w:val="20"/>
                <w:szCs w:val="20"/>
                <w:color w:val="auto"/>
              </w:rPr>
            </w:pPr>
            <w:r>
              <w:rPr>
                <w:rFonts w:ascii="Arial" w:cs="Arial" w:eastAsia="Arial" w:hAnsi="Arial"/>
                <w:sz w:val="15"/>
                <w:szCs w:val="15"/>
                <w:color w:val="auto"/>
              </w:rPr>
              <w:t xml:space="preserve">84,722,515  </w:t>
            </w:r>
            <w:r>
              <w:rPr>
                <w:rFonts w:ascii="Arial" w:cs="Arial" w:eastAsia="Arial" w:hAnsi="Arial"/>
                <w:sz w:val="24"/>
                <w:szCs w:val="24"/>
                <w:color w:val="auto"/>
                <w:vertAlign w:val="subscript"/>
              </w:rPr>
              <w:t>(c)</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420" w:type="dxa"/>
            <w:vAlign w:val="bottom"/>
          </w:tcPr>
          <w:p>
            <w:pPr>
              <w:jc w:val="right"/>
              <w:spacing w:after="0"/>
              <w:rPr>
                <w:sz w:val="20"/>
                <w:szCs w:val="20"/>
                <w:color w:val="auto"/>
              </w:rPr>
            </w:pPr>
            <w:r>
              <w:rPr>
                <w:rFonts w:ascii="Arial" w:cs="Arial" w:eastAsia="Arial" w:hAnsi="Arial"/>
                <w:sz w:val="16"/>
                <w:szCs w:val="16"/>
                <w:color w:val="auto"/>
              </w:rPr>
              <w:t>558,052</w:t>
            </w:r>
          </w:p>
        </w:tc>
        <w:tc>
          <w:tcPr>
            <w:tcW w:w="240" w:type="dxa"/>
            <w:vAlign w:val="bottom"/>
          </w:tcPr>
          <w:p>
            <w:pPr>
              <w:ind w:left="60"/>
              <w:spacing w:after="0"/>
              <w:rPr>
                <w:sz w:val="20"/>
                <w:szCs w:val="20"/>
                <w:color w:val="auto"/>
              </w:rPr>
            </w:pPr>
            <w:r>
              <w:rPr>
                <w:rFonts w:ascii="Arial" w:cs="Arial" w:eastAsia="Arial" w:hAnsi="Arial"/>
                <w:sz w:val="14"/>
                <w:szCs w:val="14"/>
                <w:color w:val="auto"/>
                <w:w w:val="93"/>
              </w:rPr>
              <w:t>(d)</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56.10</w:t>
            </w:r>
          </w:p>
        </w:tc>
        <w:tc>
          <w:tcPr>
            <w:tcW w:w="300" w:type="dxa"/>
            <w:vAlign w:val="bottom"/>
            <w:gridSpan w:val="2"/>
          </w:tcPr>
          <w:p>
            <w:pPr>
              <w:spacing w:after="0"/>
              <w:rPr>
                <w:sz w:val="20"/>
                <w:szCs w:val="20"/>
                <w:color w:val="auto"/>
              </w:rPr>
            </w:pPr>
            <w:r>
              <w:rPr>
                <w:rFonts w:ascii="Arial" w:cs="Arial" w:eastAsia="Arial" w:hAnsi="Arial"/>
                <w:sz w:val="14"/>
                <w:szCs w:val="14"/>
                <w:color w:val="auto"/>
              </w:rPr>
              <w:t>(b)</w:t>
            </w:r>
          </w:p>
        </w:tc>
        <w:tc>
          <w:tcPr>
            <w:tcW w:w="2340" w:type="dxa"/>
            <w:vAlign w:val="bottom"/>
          </w:tcPr>
          <w:p>
            <w:pPr>
              <w:jc w:val="right"/>
              <w:ind w:right="220"/>
              <w:spacing w:after="0"/>
              <w:rPr>
                <w:sz w:val="20"/>
                <w:szCs w:val="20"/>
                <w:color w:val="auto"/>
              </w:rPr>
            </w:pPr>
            <w:r>
              <w:rPr>
                <w:rFonts w:ascii="Arial" w:cs="Arial" w:eastAsia="Arial" w:hAnsi="Arial"/>
                <w:sz w:val="16"/>
                <w:szCs w:val="16"/>
                <w:color w:val="auto"/>
              </w:rPr>
              <w:t>—</w:t>
            </w:r>
          </w:p>
        </w:tc>
      </w:tr>
      <w:tr>
        <w:trPr>
          <w:trHeight w:val="216"/>
        </w:trPr>
        <w:tc>
          <w:tcPr>
            <w:tcW w:w="5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47,595,749</w:t>
            </w:r>
          </w:p>
        </w:tc>
        <w:tc>
          <w:tcPr>
            <w:tcW w:w="240" w:type="dxa"/>
            <w:vAlign w:val="bottom"/>
            <w:shd w:val="clear" w:color="auto" w:fill="CFF0FC"/>
          </w:tcPr>
          <w:p>
            <w:pPr>
              <w:ind w:left="60"/>
              <w:spacing w:after="0"/>
              <w:rPr>
                <w:sz w:val="20"/>
                <w:szCs w:val="20"/>
                <w:color w:val="auto"/>
              </w:rPr>
            </w:pPr>
            <w:r>
              <w:rPr>
                <w:rFonts w:ascii="Arial" w:cs="Arial" w:eastAsia="Arial" w:hAnsi="Arial"/>
                <w:sz w:val="14"/>
                <w:szCs w:val="14"/>
                <w:color w:val="auto"/>
                <w:w w:val="93"/>
              </w:rPr>
              <w:t>(e)</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56.24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40" w:type="dxa"/>
            <w:vAlign w:val="bottom"/>
            <w:shd w:val="clear" w:color="auto" w:fill="CFF0FC"/>
          </w:tcPr>
          <w:p>
            <w:pPr>
              <w:jc w:val="right"/>
              <w:ind w:right="220"/>
              <w:spacing w:after="0"/>
              <w:rPr>
                <w:sz w:val="20"/>
                <w:szCs w:val="20"/>
                <w:color w:val="auto"/>
              </w:rPr>
            </w:pPr>
            <w:r>
              <w:rPr>
                <w:rFonts w:ascii="Arial" w:cs="Arial" w:eastAsia="Arial" w:hAnsi="Arial"/>
                <w:sz w:val="16"/>
                <w:szCs w:val="16"/>
                <w:color w:val="auto"/>
              </w:rPr>
              <w:t>84,722,515</w:t>
            </w:r>
          </w:p>
        </w:tc>
      </w:tr>
    </w:tbl>
    <w:p>
      <w:pPr>
        <w:spacing w:after="0" w:line="202" w:lineRule="exact"/>
        <w:rPr>
          <w:sz w:val="20"/>
          <w:szCs w:val="20"/>
          <w:color w:val="auto"/>
        </w:rPr>
      </w:pPr>
    </w:p>
    <w:p>
      <w:pPr>
        <w:ind w:left="460" w:right="14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2003 Director Compensation Plan (the “2003 Director Plan”), the Texas Instruments 2009 Long-Term Incentive Plan (the “2009 LTIP”) and predecessor stockholder-approved plans, the Texas Instruments 2009 Director Compensation Plan (the “2009 Director Plan”), the TI Employees 2014 Stock Purchase Plan (the “2014 ESPP”) and the Texas Instruments 2018 Director Compensation Plan (the “2018 Director Plan”).</w:t>
      </w:r>
    </w:p>
    <w:p>
      <w:pPr>
        <w:spacing w:after="0" w:line="78" w:lineRule="exact"/>
        <w:rPr>
          <w:rFonts w:ascii="Arial" w:cs="Arial" w:eastAsia="Arial" w:hAnsi="Arial"/>
          <w:sz w:val="18"/>
          <w:szCs w:val="18"/>
          <w:color w:val="auto"/>
        </w:rPr>
      </w:pPr>
    </w:p>
    <w:p>
      <w:pPr>
        <w:ind w:left="480" w:right="140" w:hanging="472"/>
        <w:spacing w:after="0" w:line="277"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 average exercise price.</w:t>
      </w:r>
    </w:p>
    <w:p>
      <w:pPr>
        <w:spacing w:after="0" w:line="62" w:lineRule="exact"/>
        <w:rPr>
          <w:rFonts w:ascii="Arial" w:cs="Arial" w:eastAsia="Arial" w:hAnsi="Arial"/>
          <w:sz w:val="18"/>
          <w:szCs w:val="18"/>
          <w:color w:val="auto"/>
        </w:rPr>
      </w:pPr>
    </w:p>
    <w:p>
      <w:pPr>
        <w:ind w:left="480" w:right="240" w:hanging="472"/>
        <w:spacing w:after="0" w:line="259"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2014 ESPP and the 2018 Director Plan. 48,175,749 shares remain available for future issuance under the 2009 LTIP and 1,991,665 shares remain available for future issuance under the 2018 Director Plan. Under the 2009 LTIP and the 2018 Director Plan, awards may be granted in the form of restricted stock units, options or other stock-based awards such as restricted stock.</w:t>
      </w:r>
    </w:p>
    <w:p>
      <w:pPr>
        <w:spacing w:after="0" w:line="78" w:lineRule="exact"/>
        <w:rPr>
          <w:rFonts w:ascii="Arial" w:cs="Arial" w:eastAsia="Arial" w:hAnsi="Arial"/>
          <w:sz w:val="18"/>
          <w:szCs w:val="18"/>
          <w:color w:val="auto"/>
        </w:rPr>
      </w:pPr>
    </w:p>
    <w:p>
      <w:pPr>
        <w:ind w:left="480" w:right="60" w:hanging="472"/>
        <w:spacing w:after="0" w:line="289" w:lineRule="auto"/>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shares to be issued under the Texas Instruments 2003 Long-Term Incentive Plan (the “2003 LTIP”). The 2003 LTIP was replaced by the 2009 LTIP, which was approved by stockholders. No further grants may be made under the 2003 LTIP. Only non-management employees were eligible to receive awards under the 2003 LTIP. The 2003 LTIP authorized the grant of shares in the form of restricted stock units, options or other stock-based awards such as restricted stock. The plan is administered by a committee of independent directors (the Committee). The Committee had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could be purchased under any other stock-based award under the 2003 LTIP could not be less than 100 percent of the fair market value of the stock or other security on the effective date of the grant of the option, right or award.</w:t>
      </w:r>
    </w:p>
    <w:p>
      <w:pPr>
        <w:spacing w:after="0" w:line="58" w:lineRule="exact"/>
        <w:rPr>
          <w:rFonts w:ascii="Arial" w:cs="Arial" w:eastAsia="Arial" w:hAnsi="Arial"/>
          <w:sz w:val="16"/>
          <w:szCs w:val="16"/>
          <w:color w:val="auto"/>
        </w:rPr>
      </w:pPr>
    </w:p>
    <w:p>
      <w:pPr>
        <w:jc w:val="both"/>
        <w:ind w:left="480" w:right="80"/>
        <w:spacing w:after="0" w:line="264" w:lineRule="auto"/>
        <w:rPr>
          <w:rFonts w:ascii="Arial" w:cs="Arial" w:eastAsia="Arial" w:hAnsi="Arial"/>
          <w:sz w:val="16"/>
          <w:szCs w:val="16"/>
          <w:color w:val="auto"/>
        </w:rPr>
      </w:pPr>
      <w:r>
        <w:rPr>
          <w:rFonts w:ascii="Arial" w:cs="Arial" w:eastAsia="Arial" w:hAnsi="Arial"/>
          <w:sz w:val="18"/>
          <w:szCs w:val="18"/>
          <w:color w:val="auto"/>
        </w:rPr>
        <w:t>Also includes shares to be issued under the Texas Instruments Directors Deferred Compensation Plan and the Texas Instruments Restricted Stock Unit Plan for Directors. These plans were replaced by the stockholder-approved 2003 Director Plan (which was replaced by the 2009 Director Plan), and no further grants may be made under them.</w:t>
      </w:r>
    </w:p>
    <w:p>
      <w:pPr>
        <w:spacing w:after="0" w:line="73" w:lineRule="exact"/>
        <w:rPr>
          <w:rFonts w:ascii="Arial" w:cs="Arial" w:eastAsia="Arial" w:hAnsi="Arial"/>
          <w:sz w:val="16"/>
          <w:szCs w:val="16"/>
          <w:color w:val="auto"/>
        </w:rPr>
      </w:pPr>
    </w:p>
    <w:p>
      <w:pPr>
        <w:ind w:left="480" w:right="220" w:hanging="472"/>
        <w:spacing w:after="0" w:line="26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39,905,454 shares for issuance upon exercise of outstanding grants of options, 7,305,543 shares for issuance upon vesting of outstanding grants of restricted stock units, 229,836 shares for issuance under the 2014 ESPP and 154,916 shares for issuance in settlement of directors’ deferred compensation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225"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2019 annual meeting of stockholders is incorporated herein by reference to such proxy statement.</w:t>
      </w:r>
    </w:p>
    <w:p>
      <w:pPr>
        <w:spacing w:after="0" w:line="1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contained under the captions “Related person transactions” and “Director independence” in our proxy statement for the 2019 annual meeting of stockholders is incorporated herein by reference to such proxy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2019 annual meeting of stockholders is incorporated herein by reference to such proxy statement.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00" w:type="dxa"/>
            <w:vAlign w:val="bottom"/>
            <w:tcBorders>
              <w:top w:val="single" w:sz="8" w:color="auto"/>
              <w:left w:val="single" w:sz="8" w:color="auto"/>
              <w:right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right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Incorporated by Reference</w:t>
            </w:r>
          </w:p>
        </w:tc>
        <w:tc>
          <w:tcPr>
            <w:tcW w:w="1440" w:type="dxa"/>
            <w:vAlign w:val="bottom"/>
            <w:tcBorders>
              <w:top w:val="single" w:sz="8" w:color="auto"/>
              <w:bottom w:val="single" w:sz="8" w:color="auto"/>
              <w:right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spacing w:after="0"/>
              <w:rPr>
                <w:sz w:val="20"/>
                <w:szCs w:val="20"/>
                <w:color w:val="auto"/>
              </w:rPr>
            </w:pPr>
          </w:p>
        </w:tc>
      </w:tr>
      <w:tr>
        <w:trPr>
          <w:trHeight w:val="188"/>
        </w:trPr>
        <w:tc>
          <w:tcPr>
            <w:tcW w:w="1200" w:type="dxa"/>
            <w:vAlign w:val="bottom"/>
            <w:tcBorders>
              <w:left w:val="single" w:sz="8" w:color="auto"/>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Filed or</w:t>
            </w:r>
          </w:p>
        </w:tc>
      </w:tr>
      <w:tr>
        <w:trPr>
          <w:trHeight w:val="203"/>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Designation of</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40" w:type="dxa"/>
            <w:vAlign w:val="bottom"/>
            <w:tcBorders>
              <w:right w:val="single" w:sz="8" w:color="auto"/>
            </w:tcBorders>
          </w:tcPr>
          <w:p>
            <w:pPr>
              <w:ind w:left="400"/>
              <w:spacing w:after="0"/>
              <w:rPr>
                <w:sz w:val="20"/>
                <w:szCs w:val="20"/>
                <w:color w:val="auto"/>
              </w:rPr>
            </w:pPr>
            <w:r>
              <w:rPr>
                <w:rFonts w:ascii="Arial" w:cs="Arial" w:eastAsia="Arial" w:hAnsi="Arial"/>
                <w:sz w:val="16"/>
                <w:szCs w:val="16"/>
                <w:b w:val="1"/>
                <w:bCs w:val="1"/>
                <w:color w:val="auto"/>
              </w:rPr>
              <w:t>Exhibit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Furnished</w:t>
            </w:r>
          </w:p>
        </w:tc>
      </w:tr>
      <w:tr>
        <w:trPr>
          <w:trHeight w:val="213"/>
        </w:trPr>
        <w:tc>
          <w:tcPr>
            <w:tcW w:w="1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Exhibit</w:t>
            </w: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gridSpan w:val="20"/>
          </w:tcPr>
          <w:p>
            <w:pPr>
              <w:ind w:left="80"/>
              <w:spacing w:after="0"/>
              <w:rPr>
                <w:sz w:val="20"/>
                <w:szCs w:val="20"/>
                <w:color w:val="auto"/>
              </w:rPr>
            </w:pPr>
            <w:r>
              <w:rPr>
                <w:rFonts w:ascii="Arial" w:cs="Arial" w:eastAsia="Arial" w:hAnsi="Arial"/>
                <w:sz w:val="16"/>
                <w:szCs w:val="16"/>
                <w:b w:val="1"/>
                <w:bCs w:val="1"/>
                <w:color w:val="auto"/>
              </w:rPr>
              <w:t>Description of Exhibit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Form</w:t>
            </w: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w w:val="99"/>
              </w:rPr>
              <w:t>File Number</w:t>
            </w:r>
          </w:p>
        </w:tc>
        <w:tc>
          <w:tcPr>
            <w:tcW w:w="23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Date of Filing</w:t>
            </w:r>
          </w:p>
        </w:tc>
        <w:tc>
          <w:tcPr>
            <w:tcW w:w="14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6"/>
                <w:szCs w:val="16"/>
                <w:b w:val="1"/>
                <w:bCs w:val="1"/>
                <w:color w:val="auto"/>
              </w:rPr>
              <w:t>Number</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r>
      <w:tr>
        <w:trPr>
          <w:trHeight w:val="172"/>
        </w:trPr>
        <w:tc>
          <w:tcPr>
            <w:tcW w:w="1200" w:type="dxa"/>
            <w:vAlign w:val="bottom"/>
            <w:tcBorders>
              <w:left w:val="single" w:sz="8" w:color="auto"/>
              <w:bottom w:val="single" w:sz="8" w:color="CCEEFF"/>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b w:val="1"/>
                <w:bCs w:val="1"/>
                <w:color w:val="auto"/>
              </w:rPr>
              <w:t>3(a)</w:t>
            </w:r>
          </w:p>
        </w:tc>
        <w:tc>
          <w:tcPr>
            <w:tcW w:w="3540" w:type="dxa"/>
            <w:vAlign w:val="bottom"/>
            <w:tcBorders>
              <w:bottom w:val="single" w:sz="8" w:color="0000EE"/>
            </w:tcBorders>
            <w:gridSpan w:val="20"/>
            <w:shd w:val="clear" w:color="auto" w:fill="CCEEFF"/>
          </w:tcPr>
          <w:p>
            <w:pPr>
              <w:spacing w:after="0" w:line="172" w:lineRule="exact"/>
              <w:rPr>
                <w:rFonts w:ascii="Arial" w:cs="Arial" w:eastAsia="Arial" w:hAnsi="Arial"/>
                <w:sz w:val="16"/>
                <w:szCs w:val="16"/>
                <w:color w:val="0000EE"/>
                <w:w w:val="92"/>
              </w:rPr>
            </w:pPr>
            <w:hyperlink r:id="rId76">
              <w:r>
                <w:rPr>
                  <w:rFonts w:ascii="Arial" w:cs="Arial" w:eastAsia="Arial" w:hAnsi="Arial"/>
                  <w:sz w:val="16"/>
                  <w:szCs w:val="16"/>
                  <w:color w:val="0000EE"/>
                  <w:w w:val="92"/>
                </w:rPr>
                <w:t>Restated Certificate of Incorporation of the Registrant,</w:t>
              </w:r>
            </w:hyperlink>
          </w:p>
        </w:tc>
        <w:tc>
          <w:tcPr>
            <w:tcW w:w="220" w:type="dxa"/>
            <w:vAlign w:val="bottom"/>
            <w:tcBorders>
              <w:bottom w:val="single" w:sz="8" w:color="CCEEFF"/>
              <w:right w:val="single" w:sz="8" w:color="auto"/>
            </w:tcBorders>
            <w:gridSpan w:val="2"/>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ind w:left="40"/>
              <w:spacing w:after="0" w:line="172" w:lineRule="exact"/>
              <w:rPr>
                <w:sz w:val="20"/>
                <w:szCs w:val="20"/>
                <w:color w:val="auto"/>
              </w:rPr>
            </w:pPr>
            <w:r>
              <w:rPr>
                <w:rFonts w:ascii="Arial" w:cs="Arial" w:eastAsia="Arial" w:hAnsi="Arial"/>
                <w:sz w:val="16"/>
                <w:szCs w:val="16"/>
                <w:color w:val="auto"/>
              </w:rPr>
              <w:t>10-K</w:t>
            </w:r>
          </w:p>
        </w:tc>
        <w:tc>
          <w:tcPr>
            <w:tcW w:w="1120" w:type="dxa"/>
            <w:vAlign w:val="bottom"/>
            <w:tcBorders>
              <w:bottom w:val="single" w:sz="8" w:color="CCEEFF"/>
            </w:tcBorders>
            <w:shd w:val="clear" w:color="auto" w:fill="CCEEFF"/>
          </w:tcPr>
          <w:p>
            <w:pPr>
              <w:ind w:left="180"/>
              <w:spacing w:after="0" w:line="172"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CCEEFF"/>
            </w:tcBorders>
            <w:shd w:val="clear" w:color="auto" w:fill="CCEEFF"/>
          </w:tcPr>
          <w:p>
            <w:pPr>
              <w:ind w:left="560"/>
              <w:spacing w:after="0" w:line="172" w:lineRule="exact"/>
              <w:rPr>
                <w:sz w:val="20"/>
                <w:szCs w:val="20"/>
                <w:color w:val="auto"/>
              </w:rPr>
            </w:pPr>
            <w:r>
              <w:rPr>
                <w:rFonts w:ascii="Arial" w:cs="Arial" w:eastAsia="Arial" w:hAnsi="Arial"/>
                <w:sz w:val="16"/>
                <w:szCs w:val="16"/>
                <w:color w:val="auto"/>
              </w:rPr>
              <w:t>February 24, 2015</w:t>
            </w:r>
          </w:p>
        </w:tc>
        <w:tc>
          <w:tcPr>
            <w:tcW w:w="1440" w:type="dxa"/>
            <w:vAlign w:val="bottom"/>
            <w:tcBorders>
              <w:bottom w:val="single" w:sz="8" w:color="CCEEFF"/>
              <w:right w:val="single" w:sz="8" w:color="auto"/>
            </w:tcBorders>
            <w:shd w:val="clear" w:color="auto" w:fill="CCEEFF"/>
          </w:tcPr>
          <w:p>
            <w:pPr>
              <w:ind w:left="400"/>
              <w:spacing w:after="0" w:line="172" w:lineRule="exact"/>
              <w:rPr>
                <w:sz w:val="20"/>
                <w:szCs w:val="20"/>
                <w:color w:val="auto"/>
              </w:rPr>
            </w:pPr>
            <w:r>
              <w:rPr>
                <w:rFonts w:ascii="Arial" w:cs="Arial" w:eastAsia="Arial" w:hAnsi="Arial"/>
                <w:sz w:val="16"/>
                <w:szCs w:val="16"/>
                <w:color w:val="auto"/>
              </w:rPr>
              <w:t>3(a)</w:t>
            </w:r>
          </w:p>
        </w:tc>
        <w:tc>
          <w:tcPr>
            <w:tcW w:w="100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223"/>
        </w:trPr>
        <w:tc>
          <w:tcPr>
            <w:tcW w:w="12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3760" w:type="dxa"/>
            <w:vAlign w:val="bottom"/>
            <w:tcBorders>
              <w:bottom w:val="single" w:sz="8" w:color="auto"/>
              <w:right w:val="single" w:sz="8" w:color="auto"/>
            </w:tcBorders>
            <w:gridSpan w:val="22"/>
            <w:shd w:val="clear" w:color="auto" w:fill="CCEEFF"/>
          </w:tcPr>
          <w:p>
            <w:pPr>
              <w:spacing w:after="0" w:line="183" w:lineRule="exact"/>
              <w:rPr>
                <w:rFonts w:ascii="Arial" w:cs="Arial" w:eastAsia="Arial" w:hAnsi="Arial"/>
                <w:sz w:val="16"/>
                <w:szCs w:val="16"/>
                <w:color w:val="0000EE"/>
              </w:rPr>
            </w:pPr>
            <w:hyperlink r:id="rId76">
              <w:r>
                <w:rPr>
                  <w:rFonts w:ascii="Arial" w:cs="Arial" w:eastAsia="Arial" w:hAnsi="Arial"/>
                  <w:sz w:val="16"/>
                  <w:szCs w:val="16"/>
                  <w:color w:val="0000EE"/>
                </w:rPr>
                <w:t>dated April 18, 1985, as amended</w:t>
              </w:r>
            </w:hyperlink>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3(b)</w:t>
            </w:r>
          </w:p>
        </w:tc>
        <w:tc>
          <w:tcPr>
            <w:tcW w:w="3760" w:type="dxa"/>
            <w:vAlign w:val="bottom"/>
            <w:tcBorders>
              <w:right w:val="single" w:sz="8" w:color="auto"/>
            </w:tcBorders>
            <w:gridSpan w:val="22"/>
          </w:tcPr>
          <w:p>
            <w:pPr>
              <w:spacing w:after="0" w:line="169" w:lineRule="exact"/>
              <w:rPr>
                <w:rFonts w:ascii="Arial" w:cs="Arial" w:eastAsia="Arial" w:hAnsi="Arial"/>
                <w:sz w:val="16"/>
                <w:szCs w:val="16"/>
                <w:color w:val="0000EE"/>
              </w:rPr>
            </w:pPr>
            <w:hyperlink r:id="rId77">
              <w:r>
                <w:rPr>
                  <w:rFonts w:ascii="Arial" w:cs="Arial" w:eastAsia="Arial" w:hAnsi="Arial"/>
                  <w:sz w:val="16"/>
                  <w:szCs w:val="16"/>
                  <w:color w:val="0000EE"/>
                </w:rPr>
                <w:t>By-Laws of the Registrant</w:t>
              </w:r>
            </w:hyperlink>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December 12, 2016</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3</w:t>
            </w:r>
          </w:p>
        </w:tc>
        <w:tc>
          <w:tcPr>
            <w:tcW w:w="1000" w:type="dxa"/>
            <w:vAlign w:val="bottom"/>
            <w:tcBorders>
              <w:right w:val="single" w:sz="8" w:color="auto"/>
            </w:tcBorders>
          </w:tcPr>
          <w:p>
            <w:pPr>
              <w:spacing w:after="0"/>
              <w:rPr>
                <w:sz w:val="14"/>
                <w:szCs w:val="14"/>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4(a)</w:t>
            </w:r>
          </w:p>
        </w:tc>
        <w:tc>
          <w:tcPr>
            <w:tcW w:w="3760" w:type="dxa"/>
            <w:vAlign w:val="bottom"/>
            <w:tcBorders>
              <w:bottom w:val="single" w:sz="8" w:color="auto"/>
              <w:right w:val="single" w:sz="8" w:color="auto"/>
            </w:tcBorders>
            <w:gridSpan w:val="22"/>
            <w:shd w:val="clear" w:color="auto" w:fill="CCEEFF"/>
          </w:tcPr>
          <w:p>
            <w:pPr>
              <w:spacing w:after="0" w:line="169" w:lineRule="exact"/>
              <w:rPr>
                <w:rFonts w:ascii="Arial" w:cs="Arial" w:eastAsia="Arial" w:hAnsi="Arial"/>
                <w:sz w:val="16"/>
                <w:szCs w:val="16"/>
                <w:color w:val="0000EE"/>
              </w:rPr>
            </w:pPr>
            <w:hyperlink r:id="rId78">
              <w:r>
                <w:rPr>
                  <w:rFonts w:ascii="Arial" w:cs="Arial" w:eastAsia="Arial" w:hAnsi="Arial"/>
                  <w:sz w:val="16"/>
                  <w:szCs w:val="16"/>
                  <w:color w:val="0000EE"/>
                </w:rPr>
                <w:t>Indenture</w:t>
              </w:r>
            </w:hyperlink>
          </w:p>
        </w:tc>
        <w:tc>
          <w:tcPr>
            <w:tcW w:w="600" w:type="dxa"/>
            <w:vAlign w:val="bottom"/>
            <w:tcBorders>
              <w:bottom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Borders>
              <w:bottom w:val="single" w:sz="8" w:color="auto"/>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auto"/>
            </w:tcBorders>
            <w:shd w:val="clear" w:color="auto" w:fill="CCEEFF"/>
          </w:tcPr>
          <w:p>
            <w:pPr>
              <w:ind w:left="560"/>
              <w:spacing w:after="0" w:line="169" w:lineRule="exact"/>
              <w:rPr>
                <w:sz w:val="20"/>
                <w:szCs w:val="20"/>
                <w:color w:val="auto"/>
              </w:rPr>
            </w:pPr>
            <w:r>
              <w:rPr>
                <w:rFonts w:ascii="Arial" w:cs="Arial" w:eastAsia="Arial" w:hAnsi="Arial"/>
                <w:sz w:val="16"/>
                <w:szCs w:val="16"/>
                <w:color w:val="auto"/>
              </w:rPr>
              <w:t>May 23, 2011</w:t>
            </w:r>
          </w:p>
        </w:tc>
        <w:tc>
          <w:tcPr>
            <w:tcW w:w="1440" w:type="dxa"/>
            <w:vAlign w:val="bottom"/>
            <w:tcBorders>
              <w:bottom w:val="single" w:sz="8" w:color="auto"/>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4.2</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4(b)</w:t>
            </w:r>
          </w:p>
        </w:tc>
        <w:tc>
          <w:tcPr>
            <w:tcW w:w="3760" w:type="dxa"/>
            <w:vAlign w:val="bottom"/>
            <w:tcBorders>
              <w:right w:val="single" w:sz="8" w:color="auto"/>
            </w:tcBorders>
            <w:gridSpan w:val="22"/>
          </w:tcPr>
          <w:p>
            <w:pPr>
              <w:spacing w:after="0" w:line="169" w:lineRule="exact"/>
              <w:rPr>
                <w:rFonts w:ascii="Arial" w:cs="Arial" w:eastAsia="Arial" w:hAnsi="Arial"/>
                <w:sz w:val="16"/>
                <w:szCs w:val="16"/>
                <w:color w:val="0000EE"/>
              </w:rPr>
            </w:pPr>
            <w:hyperlink r:id="rId79">
              <w:r>
                <w:rPr>
                  <w:rFonts w:ascii="Arial" w:cs="Arial" w:eastAsia="Arial" w:hAnsi="Arial"/>
                  <w:sz w:val="16"/>
                  <w:szCs w:val="16"/>
                  <w:color w:val="0000EE"/>
                </w:rPr>
                <w:t>Officer’s Certificate</w:t>
              </w:r>
            </w:hyperlink>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May 8, 2013</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4.2</w:t>
            </w:r>
          </w:p>
        </w:tc>
        <w:tc>
          <w:tcPr>
            <w:tcW w:w="1000" w:type="dxa"/>
            <w:vAlign w:val="bottom"/>
            <w:tcBorders>
              <w:right w:val="single" w:sz="8" w:color="auto"/>
            </w:tcBorders>
          </w:tcPr>
          <w:p>
            <w:pPr>
              <w:spacing w:after="0"/>
              <w:rPr>
                <w:sz w:val="14"/>
                <w:szCs w:val="14"/>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4(c)</w:t>
            </w:r>
          </w:p>
        </w:tc>
        <w:tc>
          <w:tcPr>
            <w:tcW w:w="3760" w:type="dxa"/>
            <w:vAlign w:val="bottom"/>
            <w:tcBorders>
              <w:bottom w:val="single" w:sz="8" w:color="auto"/>
              <w:right w:val="single" w:sz="8" w:color="auto"/>
            </w:tcBorders>
            <w:gridSpan w:val="22"/>
            <w:shd w:val="clear" w:color="auto" w:fill="CCEEFF"/>
          </w:tcPr>
          <w:p>
            <w:pPr>
              <w:spacing w:after="0" w:line="169" w:lineRule="exact"/>
              <w:rPr>
                <w:rFonts w:ascii="Arial" w:cs="Arial" w:eastAsia="Arial" w:hAnsi="Arial"/>
                <w:sz w:val="16"/>
                <w:szCs w:val="16"/>
                <w:color w:val="0000EE"/>
              </w:rPr>
            </w:pPr>
            <w:hyperlink r:id="rId80">
              <w:r>
                <w:rPr>
                  <w:rFonts w:ascii="Arial" w:cs="Arial" w:eastAsia="Arial" w:hAnsi="Arial"/>
                  <w:sz w:val="16"/>
                  <w:szCs w:val="16"/>
                  <w:color w:val="0000EE"/>
                </w:rPr>
                <w:t>Officer’s Certificate</w:t>
              </w:r>
            </w:hyperlink>
          </w:p>
        </w:tc>
        <w:tc>
          <w:tcPr>
            <w:tcW w:w="600" w:type="dxa"/>
            <w:vAlign w:val="bottom"/>
            <w:tcBorders>
              <w:bottom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Borders>
              <w:bottom w:val="single" w:sz="8" w:color="auto"/>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auto"/>
            </w:tcBorders>
            <w:shd w:val="clear" w:color="auto" w:fill="CCEEFF"/>
          </w:tcPr>
          <w:p>
            <w:pPr>
              <w:ind w:left="560"/>
              <w:spacing w:after="0" w:line="169" w:lineRule="exact"/>
              <w:rPr>
                <w:sz w:val="20"/>
                <w:szCs w:val="20"/>
                <w:color w:val="auto"/>
              </w:rPr>
            </w:pPr>
            <w:r>
              <w:rPr>
                <w:rFonts w:ascii="Arial" w:cs="Arial" w:eastAsia="Arial" w:hAnsi="Arial"/>
                <w:sz w:val="16"/>
                <w:szCs w:val="16"/>
                <w:color w:val="auto"/>
              </w:rPr>
              <w:t>March 12, 2014</w:t>
            </w:r>
          </w:p>
        </w:tc>
        <w:tc>
          <w:tcPr>
            <w:tcW w:w="1440" w:type="dxa"/>
            <w:vAlign w:val="bottom"/>
            <w:tcBorders>
              <w:bottom w:val="single" w:sz="8" w:color="auto"/>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4.2</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4(d)</w:t>
            </w:r>
          </w:p>
        </w:tc>
        <w:tc>
          <w:tcPr>
            <w:tcW w:w="3760" w:type="dxa"/>
            <w:vAlign w:val="bottom"/>
            <w:tcBorders>
              <w:right w:val="single" w:sz="8" w:color="auto"/>
            </w:tcBorders>
            <w:gridSpan w:val="22"/>
          </w:tcPr>
          <w:p>
            <w:pPr>
              <w:spacing w:after="0" w:line="169" w:lineRule="exact"/>
              <w:rPr>
                <w:rFonts w:ascii="Arial" w:cs="Arial" w:eastAsia="Arial" w:hAnsi="Arial"/>
                <w:sz w:val="16"/>
                <w:szCs w:val="16"/>
                <w:color w:val="0000EE"/>
              </w:rPr>
            </w:pPr>
            <w:hyperlink r:id="rId81">
              <w:r>
                <w:rPr>
                  <w:rFonts w:ascii="Arial" w:cs="Arial" w:eastAsia="Arial" w:hAnsi="Arial"/>
                  <w:sz w:val="16"/>
                  <w:szCs w:val="16"/>
                  <w:color w:val="0000EE"/>
                </w:rPr>
                <w:t>Officer’s Certificate</w:t>
              </w:r>
            </w:hyperlink>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May 6, 2015</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4.1</w:t>
            </w:r>
          </w:p>
        </w:tc>
        <w:tc>
          <w:tcPr>
            <w:tcW w:w="1000" w:type="dxa"/>
            <w:vAlign w:val="bottom"/>
            <w:tcBorders>
              <w:right w:val="single" w:sz="8" w:color="auto"/>
            </w:tcBorders>
          </w:tcPr>
          <w:p>
            <w:pPr>
              <w:spacing w:after="0"/>
              <w:rPr>
                <w:sz w:val="14"/>
                <w:szCs w:val="14"/>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4(e)</w:t>
            </w:r>
          </w:p>
        </w:tc>
        <w:tc>
          <w:tcPr>
            <w:tcW w:w="3760" w:type="dxa"/>
            <w:vAlign w:val="bottom"/>
            <w:tcBorders>
              <w:bottom w:val="single" w:sz="8" w:color="auto"/>
              <w:right w:val="single" w:sz="8" w:color="auto"/>
            </w:tcBorders>
            <w:gridSpan w:val="22"/>
            <w:shd w:val="clear" w:color="auto" w:fill="CCEEFF"/>
          </w:tcPr>
          <w:p>
            <w:pPr>
              <w:spacing w:after="0" w:line="169" w:lineRule="exact"/>
              <w:rPr>
                <w:rFonts w:ascii="Arial" w:cs="Arial" w:eastAsia="Arial" w:hAnsi="Arial"/>
                <w:sz w:val="16"/>
                <w:szCs w:val="16"/>
                <w:color w:val="0000EE"/>
              </w:rPr>
            </w:pPr>
            <w:hyperlink r:id="rId82">
              <w:r>
                <w:rPr>
                  <w:rFonts w:ascii="Arial" w:cs="Arial" w:eastAsia="Arial" w:hAnsi="Arial"/>
                  <w:sz w:val="16"/>
                  <w:szCs w:val="16"/>
                  <w:color w:val="0000EE"/>
                </w:rPr>
                <w:t>Officer’s Certificate</w:t>
              </w:r>
            </w:hyperlink>
          </w:p>
        </w:tc>
        <w:tc>
          <w:tcPr>
            <w:tcW w:w="600" w:type="dxa"/>
            <w:vAlign w:val="bottom"/>
            <w:tcBorders>
              <w:bottom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Borders>
              <w:bottom w:val="single" w:sz="8" w:color="auto"/>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auto"/>
            </w:tcBorders>
            <w:shd w:val="clear" w:color="auto" w:fill="CCEEFF"/>
          </w:tcPr>
          <w:p>
            <w:pPr>
              <w:ind w:left="560"/>
              <w:spacing w:after="0" w:line="169" w:lineRule="exact"/>
              <w:rPr>
                <w:sz w:val="20"/>
                <w:szCs w:val="20"/>
                <w:color w:val="auto"/>
              </w:rPr>
            </w:pPr>
            <w:r>
              <w:rPr>
                <w:rFonts w:ascii="Arial" w:cs="Arial" w:eastAsia="Arial" w:hAnsi="Arial"/>
                <w:sz w:val="16"/>
                <w:szCs w:val="16"/>
                <w:color w:val="auto"/>
              </w:rPr>
              <w:t>May 6, 2016</w:t>
            </w:r>
          </w:p>
        </w:tc>
        <w:tc>
          <w:tcPr>
            <w:tcW w:w="1440" w:type="dxa"/>
            <w:vAlign w:val="bottom"/>
            <w:tcBorders>
              <w:bottom w:val="single" w:sz="8" w:color="auto"/>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4.1</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4(f)</w:t>
            </w:r>
          </w:p>
        </w:tc>
        <w:tc>
          <w:tcPr>
            <w:tcW w:w="3760" w:type="dxa"/>
            <w:vAlign w:val="bottom"/>
            <w:tcBorders>
              <w:right w:val="single" w:sz="8" w:color="auto"/>
            </w:tcBorders>
            <w:gridSpan w:val="22"/>
          </w:tcPr>
          <w:p>
            <w:pPr>
              <w:spacing w:after="0" w:line="169" w:lineRule="exact"/>
              <w:rPr>
                <w:rFonts w:ascii="Arial" w:cs="Arial" w:eastAsia="Arial" w:hAnsi="Arial"/>
                <w:sz w:val="16"/>
                <w:szCs w:val="16"/>
                <w:color w:val="0000EE"/>
              </w:rPr>
            </w:pPr>
            <w:hyperlink r:id="rId83">
              <w:r>
                <w:rPr>
                  <w:rFonts w:ascii="Arial" w:cs="Arial" w:eastAsia="Arial" w:hAnsi="Arial"/>
                  <w:sz w:val="16"/>
                  <w:szCs w:val="16"/>
                  <w:color w:val="0000EE"/>
                </w:rPr>
                <w:t>Officer’s Certificate</w:t>
              </w:r>
            </w:hyperlink>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May 4, 2017</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4.1</w:t>
            </w:r>
          </w:p>
        </w:tc>
        <w:tc>
          <w:tcPr>
            <w:tcW w:w="1000" w:type="dxa"/>
            <w:vAlign w:val="bottom"/>
            <w:tcBorders>
              <w:right w:val="single" w:sz="8" w:color="auto"/>
            </w:tcBorders>
          </w:tcPr>
          <w:p>
            <w:pPr>
              <w:spacing w:after="0"/>
              <w:rPr>
                <w:sz w:val="14"/>
                <w:szCs w:val="14"/>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4(g)</w:t>
            </w:r>
          </w:p>
        </w:tc>
        <w:tc>
          <w:tcPr>
            <w:tcW w:w="3760" w:type="dxa"/>
            <w:vAlign w:val="bottom"/>
            <w:tcBorders>
              <w:bottom w:val="single" w:sz="8" w:color="auto"/>
              <w:right w:val="single" w:sz="8" w:color="auto"/>
            </w:tcBorders>
            <w:gridSpan w:val="22"/>
            <w:shd w:val="clear" w:color="auto" w:fill="CCEEFF"/>
          </w:tcPr>
          <w:p>
            <w:pPr>
              <w:spacing w:after="0" w:line="169" w:lineRule="exact"/>
              <w:rPr>
                <w:rFonts w:ascii="Arial" w:cs="Arial" w:eastAsia="Arial" w:hAnsi="Arial"/>
                <w:sz w:val="16"/>
                <w:szCs w:val="16"/>
                <w:color w:val="0000EE"/>
              </w:rPr>
            </w:pPr>
            <w:hyperlink r:id="rId84">
              <w:r>
                <w:rPr>
                  <w:rFonts w:ascii="Arial" w:cs="Arial" w:eastAsia="Arial" w:hAnsi="Arial"/>
                  <w:sz w:val="16"/>
                  <w:szCs w:val="16"/>
                  <w:color w:val="0000EE"/>
                </w:rPr>
                <w:t>Officer’s Certificate</w:t>
              </w:r>
            </w:hyperlink>
          </w:p>
        </w:tc>
        <w:tc>
          <w:tcPr>
            <w:tcW w:w="600" w:type="dxa"/>
            <w:vAlign w:val="bottom"/>
            <w:tcBorders>
              <w:bottom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Borders>
              <w:bottom w:val="single" w:sz="8" w:color="auto"/>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auto"/>
            </w:tcBorders>
            <w:shd w:val="clear" w:color="auto" w:fill="CCEEFF"/>
          </w:tcPr>
          <w:p>
            <w:pPr>
              <w:ind w:left="560"/>
              <w:spacing w:after="0" w:line="169" w:lineRule="exact"/>
              <w:rPr>
                <w:sz w:val="20"/>
                <w:szCs w:val="20"/>
                <w:color w:val="auto"/>
              </w:rPr>
            </w:pPr>
            <w:r>
              <w:rPr>
                <w:rFonts w:ascii="Arial" w:cs="Arial" w:eastAsia="Arial" w:hAnsi="Arial"/>
                <w:sz w:val="16"/>
                <w:szCs w:val="16"/>
                <w:color w:val="auto"/>
              </w:rPr>
              <w:t>November 3, 2017</w:t>
            </w:r>
          </w:p>
        </w:tc>
        <w:tc>
          <w:tcPr>
            <w:tcW w:w="1440" w:type="dxa"/>
            <w:vAlign w:val="bottom"/>
            <w:tcBorders>
              <w:bottom w:val="single" w:sz="8" w:color="auto"/>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4.1</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4(h)</w:t>
            </w:r>
          </w:p>
        </w:tc>
        <w:tc>
          <w:tcPr>
            <w:tcW w:w="3760" w:type="dxa"/>
            <w:vAlign w:val="bottom"/>
            <w:tcBorders>
              <w:right w:val="single" w:sz="8" w:color="auto"/>
            </w:tcBorders>
            <w:gridSpan w:val="22"/>
          </w:tcPr>
          <w:p>
            <w:pPr>
              <w:spacing w:after="0" w:line="169" w:lineRule="exact"/>
              <w:rPr>
                <w:rFonts w:ascii="Arial" w:cs="Arial" w:eastAsia="Arial" w:hAnsi="Arial"/>
                <w:sz w:val="16"/>
                <w:szCs w:val="16"/>
                <w:color w:val="0000EE"/>
              </w:rPr>
            </w:pPr>
            <w:hyperlink r:id="rId85">
              <w:r>
                <w:rPr>
                  <w:rFonts w:ascii="Arial" w:cs="Arial" w:eastAsia="Arial" w:hAnsi="Arial"/>
                  <w:sz w:val="16"/>
                  <w:szCs w:val="16"/>
                  <w:color w:val="0000EE"/>
                </w:rPr>
                <w:t>Officer’s Certificate</w:t>
              </w:r>
            </w:hyperlink>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May 7, 2018</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4.1</w:t>
            </w:r>
          </w:p>
        </w:tc>
        <w:tc>
          <w:tcPr>
            <w:tcW w:w="1000" w:type="dxa"/>
            <w:vAlign w:val="bottom"/>
            <w:tcBorders>
              <w:right w:val="single" w:sz="8" w:color="auto"/>
            </w:tcBorders>
          </w:tcPr>
          <w:p>
            <w:pPr>
              <w:spacing w:after="0"/>
              <w:rPr>
                <w:sz w:val="14"/>
                <w:szCs w:val="14"/>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4(i)</w:t>
            </w:r>
          </w:p>
        </w:tc>
        <w:tc>
          <w:tcPr>
            <w:tcW w:w="3760" w:type="dxa"/>
            <w:vAlign w:val="bottom"/>
            <w:tcBorders>
              <w:bottom w:val="single" w:sz="8" w:color="auto"/>
              <w:right w:val="single" w:sz="8" w:color="auto"/>
            </w:tcBorders>
            <w:gridSpan w:val="22"/>
            <w:shd w:val="clear" w:color="auto" w:fill="CCEEFF"/>
          </w:tcPr>
          <w:p>
            <w:pPr>
              <w:spacing w:after="0" w:line="169" w:lineRule="exact"/>
              <w:rPr>
                <w:rFonts w:ascii="Arial" w:cs="Arial" w:eastAsia="Arial" w:hAnsi="Arial"/>
                <w:sz w:val="16"/>
                <w:szCs w:val="16"/>
                <w:color w:val="0000EE"/>
              </w:rPr>
            </w:pPr>
            <w:hyperlink r:id="rId86">
              <w:r>
                <w:rPr>
                  <w:rFonts w:ascii="Arial" w:cs="Arial" w:eastAsia="Arial" w:hAnsi="Arial"/>
                  <w:sz w:val="16"/>
                  <w:szCs w:val="16"/>
                  <w:color w:val="0000EE"/>
                </w:rPr>
                <w:t>Officer’s Certificate</w:t>
              </w:r>
            </w:hyperlink>
          </w:p>
        </w:tc>
        <w:tc>
          <w:tcPr>
            <w:tcW w:w="600" w:type="dxa"/>
            <w:vAlign w:val="bottom"/>
            <w:tcBorders>
              <w:bottom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8-K</w:t>
            </w:r>
          </w:p>
        </w:tc>
        <w:tc>
          <w:tcPr>
            <w:tcW w:w="1120" w:type="dxa"/>
            <w:vAlign w:val="bottom"/>
            <w:tcBorders>
              <w:bottom w:val="single" w:sz="8" w:color="auto"/>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auto"/>
            </w:tcBorders>
            <w:shd w:val="clear" w:color="auto" w:fill="CCEEFF"/>
          </w:tcPr>
          <w:p>
            <w:pPr>
              <w:ind w:left="560"/>
              <w:spacing w:after="0" w:line="169" w:lineRule="exact"/>
              <w:rPr>
                <w:sz w:val="20"/>
                <w:szCs w:val="20"/>
                <w:color w:val="auto"/>
              </w:rPr>
            </w:pPr>
            <w:r>
              <w:rPr>
                <w:rFonts w:ascii="Arial" w:cs="Arial" w:eastAsia="Arial" w:hAnsi="Arial"/>
                <w:sz w:val="16"/>
                <w:szCs w:val="16"/>
                <w:color w:val="auto"/>
              </w:rPr>
              <w:t>June 8, 2018</w:t>
            </w:r>
          </w:p>
        </w:tc>
        <w:tc>
          <w:tcPr>
            <w:tcW w:w="1440" w:type="dxa"/>
            <w:vAlign w:val="bottom"/>
            <w:tcBorders>
              <w:bottom w:val="single" w:sz="8" w:color="auto"/>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4.1</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10(a)</w:t>
            </w:r>
          </w:p>
        </w:tc>
        <w:tc>
          <w:tcPr>
            <w:tcW w:w="3760" w:type="dxa"/>
            <w:vAlign w:val="bottom"/>
            <w:tcBorders>
              <w:right w:val="single" w:sz="8" w:color="auto"/>
            </w:tcBorders>
            <w:gridSpan w:val="22"/>
          </w:tcPr>
          <w:p>
            <w:pPr>
              <w:spacing w:after="0" w:line="169" w:lineRule="exact"/>
              <w:rPr>
                <w:rFonts w:ascii="Arial" w:cs="Arial" w:eastAsia="Arial" w:hAnsi="Arial"/>
                <w:sz w:val="16"/>
                <w:szCs w:val="16"/>
                <w:color w:val="0000EE"/>
              </w:rPr>
            </w:pPr>
            <w:hyperlink r:id="rId87">
              <w:r>
                <w:rPr>
                  <w:rFonts w:ascii="Arial" w:cs="Arial" w:eastAsia="Arial" w:hAnsi="Arial"/>
                  <w:sz w:val="16"/>
                  <w:szCs w:val="16"/>
                  <w:color w:val="0000EE"/>
                </w:rPr>
                <w:t>TI Deferred Compensation Plan, as amended*</w:t>
              </w:r>
            </w:hyperlink>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February 24, 2016</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10(a)</w:t>
            </w:r>
          </w:p>
        </w:tc>
        <w:tc>
          <w:tcPr>
            <w:tcW w:w="1000" w:type="dxa"/>
            <w:vAlign w:val="bottom"/>
            <w:tcBorders>
              <w:right w:val="single" w:sz="8" w:color="auto"/>
            </w:tcBorders>
          </w:tcPr>
          <w:p>
            <w:pPr>
              <w:spacing w:after="0"/>
              <w:rPr>
                <w:sz w:val="14"/>
                <w:szCs w:val="14"/>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0" w:type="dxa"/>
            <w:vAlign w:val="bottom"/>
            <w:tcBorders>
              <w:left w:val="single" w:sz="8" w:color="auto"/>
              <w:bottom w:val="single" w:sz="8" w:color="CCEEFF"/>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10(b)</w:t>
            </w:r>
          </w:p>
        </w:tc>
        <w:tc>
          <w:tcPr>
            <w:tcW w:w="3440" w:type="dxa"/>
            <w:vAlign w:val="bottom"/>
            <w:tcBorders>
              <w:bottom w:val="single" w:sz="8" w:color="0000EE"/>
            </w:tcBorders>
            <w:gridSpan w:val="17"/>
            <w:shd w:val="clear" w:color="auto" w:fill="CCEEFF"/>
          </w:tcPr>
          <w:p>
            <w:pPr>
              <w:spacing w:after="0" w:line="169" w:lineRule="exact"/>
              <w:rPr>
                <w:rFonts w:ascii="Arial" w:cs="Arial" w:eastAsia="Arial" w:hAnsi="Arial"/>
                <w:sz w:val="16"/>
                <w:szCs w:val="16"/>
                <w:color w:val="0000EE"/>
                <w:w w:val="93"/>
              </w:rPr>
            </w:pPr>
            <w:hyperlink r:id="rId88">
              <w:r>
                <w:rPr>
                  <w:rFonts w:ascii="Arial" w:cs="Arial" w:eastAsia="Arial" w:hAnsi="Arial"/>
                  <w:sz w:val="16"/>
                  <w:szCs w:val="16"/>
                  <w:color w:val="0000EE"/>
                  <w:w w:val="93"/>
                </w:rPr>
                <w:t>TI Employees Non-Qualified Pension Plan, effective</w:t>
              </w:r>
            </w:hyperlink>
          </w:p>
        </w:tc>
        <w:tc>
          <w:tcPr>
            <w:tcW w:w="320" w:type="dxa"/>
            <w:vAlign w:val="bottom"/>
            <w:tcBorders>
              <w:bottom w:val="single" w:sz="8" w:color="CCEEFF"/>
              <w:right w:val="single" w:sz="8" w:color="auto"/>
            </w:tcBorders>
            <w:gridSpan w:val="5"/>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CCEEFF"/>
            </w:tcBorders>
            <w:shd w:val="clear" w:color="auto" w:fill="CCEEFF"/>
          </w:tcPr>
          <w:p>
            <w:pPr>
              <w:ind w:left="560"/>
              <w:spacing w:after="0" w:line="169" w:lineRule="exact"/>
              <w:rPr>
                <w:sz w:val="20"/>
                <w:szCs w:val="20"/>
                <w:color w:val="auto"/>
              </w:rPr>
            </w:pPr>
            <w:r>
              <w:rPr>
                <w:rFonts w:ascii="Arial" w:cs="Arial" w:eastAsia="Arial" w:hAnsi="Arial"/>
                <w:sz w:val="16"/>
                <w:szCs w:val="16"/>
                <w:color w:val="auto"/>
              </w:rPr>
              <w:t>February 24, 2016</w:t>
            </w:r>
          </w:p>
        </w:tc>
        <w:tc>
          <w:tcPr>
            <w:tcW w:w="1440" w:type="dxa"/>
            <w:vAlign w:val="bottom"/>
            <w:tcBorders>
              <w:bottom w:val="single" w:sz="8" w:color="CCEEFF"/>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10(b)</w:t>
            </w:r>
          </w:p>
        </w:tc>
        <w:tc>
          <w:tcPr>
            <w:tcW w:w="100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223"/>
        </w:trPr>
        <w:tc>
          <w:tcPr>
            <w:tcW w:w="12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3760" w:type="dxa"/>
            <w:vAlign w:val="bottom"/>
            <w:tcBorders>
              <w:bottom w:val="single" w:sz="8" w:color="auto"/>
              <w:right w:val="single" w:sz="8" w:color="auto"/>
            </w:tcBorders>
            <w:gridSpan w:val="22"/>
            <w:shd w:val="clear" w:color="auto" w:fill="CCEEFF"/>
          </w:tcPr>
          <w:p>
            <w:pPr>
              <w:spacing w:after="0" w:line="183" w:lineRule="exact"/>
              <w:rPr>
                <w:rFonts w:ascii="Arial" w:cs="Arial" w:eastAsia="Arial" w:hAnsi="Arial"/>
                <w:sz w:val="16"/>
                <w:szCs w:val="16"/>
                <w:color w:val="0000EE"/>
              </w:rPr>
            </w:pPr>
            <w:hyperlink r:id="rId88">
              <w:r>
                <w:rPr>
                  <w:rFonts w:ascii="Arial" w:cs="Arial" w:eastAsia="Arial" w:hAnsi="Arial"/>
                  <w:sz w:val="16"/>
                  <w:szCs w:val="16"/>
                  <w:color w:val="0000EE"/>
                </w:rPr>
                <w:t>January 1, 2009, as amended*</w:t>
              </w:r>
            </w:hyperlink>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10(c)</w:t>
            </w:r>
          </w:p>
        </w:tc>
        <w:tc>
          <w:tcPr>
            <w:tcW w:w="3760" w:type="dxa"/>
            <w:vAlign w:val="bottom"/>
            <w:tcBorders>
              <w:right w:val="single" w:sz="8" w:color="auto"/>
            </w:tcBorders>
            <w:gridSpan w:val="22"/>
          </w:tcPr>
          <w:p>
            <w:pPr>
              <w:spacing w:after="0" w:line="169" w:lineRule="exact"/>
              <w:rPr>
                <w:rFonts w:ascii="Arial" w:cs="Arial" w:eastAsia="Arial" w:hAnsi="Arial"/>
                <w:sz w:val="16"/>
                <w:szCs w:val="16"/>
                <w:color w:val="0000EE"/>
              </w:rPr>
            </w:pPr>
            <w:hyperlink r:id="rId89">
              <w:r>
                <w:rPr>
                  <w:rFonts w:ascii="Arial" w:cs="Arial" w:eastAsia="Arial" w:hAnsi="Arial"/>
                  <w:sz w:val="16"/>
                  <w:szCs w:val="16"/>
                  <w:color w:val="0000EE"/>
                </w:rPr>
                <w:t>TI Employees Non-Qualified Pension Plan II*</w:t>
              </w:r>
            </w:hyperlink>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February 24, 2016</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10(c)</w:t>
            </w:r>
          </w:p>
        </w:tc>
        <w:tc>
          <w:tcPr>
            <w:tcW w:w="1000" w:type="dxa"/>
            <w:vAlign w:val="bottom"/>
            <w:tcBorders>
              <w:right w:val="single" w:sz="8" w:color="auto"/>
            </w:tcBorders>
          </w:tcPr>
          <w:p>
            <w:pPr>
              <w:spacing w:after="0"/>
              <w:rPr>
                <w:sz w:val="14"/>
                <w:szCs w:val="14"/>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10(d)</w:t>
            </w:r>
          </w:p>
        </w:tc>
        <w:tc>
          <w:tcPr>
            <w:tcW w:w="3760" w:type="dxa"/>
            <w:vAlign w:val="bottom"/>
            <w:tcBorders>
              <w:right w:val="single" w:sz="8" w:color="auto"/>
            </w:tcBorders>
            <w:gridSpan w:val="22"/>
            <w:shd w:val="clear" w:color="auto" w:fill="CCEEFF"/>
          </w:tcPr>
          <w:p>
            <w:pPr>
              <w:spacing w:after="0" w:line="169" w:lineRule="exact"/>
              <w:rPr>
                <w:rFonts w:ascii="Arial" w:cs="Arial" w:eastAsia="Arial" w:hAnsi="Arial"/>
                <w:sz w:val="16"/>
                <w:szCs w:val="16"/>
                <w:color w:val="0000EE"/>
                <w:w w:val="96"/>
              </w:rPr>
            </w:pPr>
            <w:hyperlink r:id="rId90">
              <w:r>
                <w:rPr>
                  <w:rFonts w:ascii="Arial" w:cs="Arial" w:eastAsia="Arial" w:hAnsi="Arial"/>
                  <w:sz w:val="16"/>
                  <w:szCs w:val="16"/>
                  <w:color w:val="0000EE"/>
                  <w:w w:val="96"/>
                </w:rPr>
                <w:t>Texas Instruments Long-Term Incentive Plan, adopted</w:t>
              </w:r>
            </w:hyperlink>
          </w:p>
        </w:tc>
        <w:tc>
          <w:tcPr>
            <w:tcW w:w="60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shd w:val="clear" w:color="auto" w:fill="CCEEFF"/>
          </w:tcPr>
          <w:p>
            <w:pPr>
              <w:ind w:left="560"/>
              <w:spacing w:after="0" w:line="169" w:lineRule="exact"/>
              <w:rPr>
                <w:sz w:val="20"/>
                <w:szCs w:val="20"/>
                <w:color w:val="auto"/>
              </w:rPr>
            </w:pPr>
            <w:r>
              <w:rPr>
                <w:rFonts w:ascii="Arial" w:cs="Arial" w:eastAsia="Arial" w:hAnsi="Arial"/>
                <w:sz w:val="16"/>
                <w:szCs w:val="16"/>
                <w:color w:val="auto"/>
              </w:rPr>
              <w:t>February 24, 2012</w:t>
            </w:r>
          </w:p>
        </w:tc>
        <w:tc>
          <w:tcPr>
            <w:tcW w:w="1440" w:type="dxa"/>
            <w:vAlign w:val="bottom"/>
            <w:tcBorders>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10(c)</w:t>
            </w:r>
          </w:p>
        </w:tc>
        <w:tc>
          <w:tcPr>
            <w:tcW w:w="1000" w:type="dxa"/>
            <w:vAlign w:val="bottom"/>
            <w:tcBorders>
              <w:right w:val="single" w:sz="8" w:color="auto"/>
            </w:tcBorders>
            <w:shd w:val="clear" w:color="auto" w:fill="CCEEFF"/>
          </w:tcPr>
          <w:p>
            <w:pPr>
              <w:spacing w:after="0"/>
              <w:rPr>
                <w:sz w:val="14"/>
                <w:szCs w:val="14"/>
                <w:color w:val="auto"/>
              </w:rPr>
            </w:pPr>
          </w:p>
        </w:tc>
      </w:tr>
      <w:tr>
        <w:trPr>
          <w:trHeight w:val="223"/>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3520" w:type="dxa"/>
            <w:vAlign w:val="bottom"/>
            <w:tcBorders>
              <w:top w:val="single" w:sz="8" w:color="0000EE"/>
              <w:bottom w:val="single" w:sz="8" w:color="auto"/>
            </w:tcBorders>
            <w:gridSpan w:val="19"/>
            <w:shd w:val="clear" w:color="auto" w:fill="CCEEFF"/>
          </w:tcPr>
          <w:p>
            <w:pPr>
              <w:spacing w:after="0" w:line="183" w:lineRule="exact"/>
              <w:rPr>
                <w:rFonts w:ascii="Arial" w:cs="Arial" w:eastAsia="Arial" w:hAnsi="Arial"/>
                <w:sz w:val="16"/>
                <w:szCs w:val="16"/>
                <w:color w:val="0000EE"/>
              </w:rPr>
            </w:pPr>
            <w:hyperlink r:id="rId90">
              <w:r>
                <w:rPr>
                  <w:rFonts w:ascii="Arial" w:cs="Arial" w:eastAsia="Arial" w:hAnsi="Arial"/>
                  <w:sz w:val="16"/>
                  <w:szCs w:val="16"/>
                  <w:color w:val="0000EE"/>
                </w:rPr>
                <w:t>April 15, 1993*</w:t>
              </w:r>
            </w:hyperlink>
          </w:p>
        </w:tc>
        <w:tc>
          <w:tcPr>
            <w:tcW w:w="240" w:type="dxa"/>
            <w:vAlign w:val="bottom"/>
            <w:tcBorders>
              <w:top w:val="single" w:sz="8" w:color="CCEEFF"/>
              <w:bottom w:val="single" w:sz="8" w:color="auto"/>
              <w:right w:val="single" w:sz="8" w:color="auto"/>
            </w:tcBorders>
            <w:gridSpan w:val="3"/>
            <w:shd w:val="clear" w:color="auto" w:fill="CCEEFF"/>
          </w:tcPr>
          <w:p>
            <w:pPr>
              <w:spacing w:after="0"/>
              <w:rPr>
                <w:sz w:val="19"/>
                <w:szCs w:val="19"/>
                <w:color w:val="auto"/>
              </w:rPr>
            </w:pPr>
          </w:p>
        </w:tc>
        <w:tc>
          <w:tcPr>
            <w:tcW w:w="600" w:type="dxa"/>
            <w:vAlign w:val="bottom"/>
            <w:tcBorders>
              <w:top w:val="single" w:sz="8" w:color="CCEEFF"/>
              <w:bottom w:val="single" w:sz="8" w:color="auto"/>
            </w:tcBorders>
            <w:shd w:val="clear" w:color="auto" w:fill="CCEEFF"/>
          </w:tcPr>
          <w:p>
            <w:pPr>
              <w:spacing w:after="0"/>
              <w:rPr>
                <w:sz w:val="19"/>
                <w:szCs w:val="19"/>
                <w:color w:val="auto"/>
              </w:rPr>
            </w:pPr>
          </w:p>
        </w:tc>
        <w:tc>
          <w:tcPr>
            <w:tcW w:w="1120" w:type="dxa"/>
            <w:vAlign w:val="bottom"/>
            <w:tcBorders>
              <w:top w:val="single" w:sz="8" w:color="CCEEFF"/>
              <w:bottom w:val="single" w:sz="8" w:color="auto"/>
            </w:tcBorders>
            <w:shd w:val="clear" w:color="auto" w:fill="CCEEFF"/>
          </w:tcPr>
          <w:p>
            <w:pPr>
              <w:spacing w:after="0"/>
              <w:rPr>
                <w:sz w:val="19"/>
                <w:szCs w:val="19"/>
                <w:color w:val="auto"/>
              </w:rPr>
            </w:pPr>
          </w:p>
        </w:tc>
        <w:tc>
          <w:tcPr>
            <w:tcW w:w="2300" w:type="dxa"/>
            <w:vAlign w:val="bottom"/>
            <w:tcBorders>
              <w:top w:val="single" w:sz="8" w:color="CCEEFF"/>
              <w:bottom w:val="single" w:sz="8" w:color="auto"/>
            </w:tcBorders>
            <w:shd w:val="clear" w:color="auto" w:fill="CCEEFF"/>
          </w:tcPr>
          <w:p>
            <w:pPr>
              <w:spacing w:after="0"/>
              <w:rPr>
                <w:sz w:val="19"/>
                <w:szCs w:val="19"/>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10(e)</w:t>
            </w:r>
          </w:p>
        </w:tc>
        <w:tc>
          <w:tcPr>
            <w:tcW w:w="3760" w:type="dxa"/>
            <w:vAlign w:val="bottom"/>
            <w:tcBorders>
              <w:right w:val="single" w:sz="8" w:color="auto"/>
            </w:tcBorders>
            <w:gridSpan w:val="22"/>
          </w:tcPr>
          <w:p>
            <w:pPr>
              <w:spacing w:after="0" w:line="169" w:lineRule="exact"/>
              <w:rPr>
                <w:rFonts w:ascii="Arial" w:cs="Arial" w:eastAsia="Arial" w:hAnsi="Arial"/>
                <w:sz w:val="16"/>
                <w:szCs w:val="16"/>
                <w:color w:val="0000EE"/>
                <w:w w:val="97"/>
              </w:rPr>
            </w:pPr>
            <w:hyperlink r:id="rId91">
              <w:r>
                <w:rPr>
                  <w:rFonts w:ascii="Arial" w:cs="Arial" w:eastAsia="Arial" w:hAnsi="Arial"/>
                  <w:sz w:val="16"/>
                  <w:szCs w:val="16"/>
                  <w:color w:val="0000EE"/>
                  <w:w w:val="97"/>
                </w:rPr>
                <w:t>Texas Instruments 2000 Long-Term Incentive Plan as</w:t>
              </w:r>
            </w:hyperlink>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February 24, 2015</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10(e)</w:t>
            </w:r>
          </w:p>
        </w:tc>
        <w:tc>
          <w:tcPr>
            <w:tcW w:w="1000" w:type="dxa"/>
            <w:vAlign w:val="bottom"/>
            <w:tcBorders>
              <w:right w:val="single" w:sz="8" w:color="auto"/>
            </w:tcBorders>
          </w:tcPr>
          <w:p>
            <w:pPr>
              <w:spacing w:after="0"/>
              <w:rPr>
                <w:sz w:val="14"/>
                <w:szCs w:val="14"/>
                <w:color w:val="auto"/>
              </w:rPr>
            </w:pPr>
          </w:p>
        </w:tc>
      </w:tr>
      <w:tr>
        <w:trPr>
          <w:trHeight w:val="183"/>
        </w:trPr>
        <w:tc>
          <w:tcPr>
            <w:tcW w:w="1200" w:type="dxa"/>
            <w:vAlign w:val="bottom"/>
            <w:tcBorders>
              <w:left w:val="single" w:sz="8" w:color="auto"/>
              <w:right w:val="single" w:sz="8" w:color="auto"/>
            </w:tcBorders>
          </w:tcPr>
          <w:p>
            <w:pPr>
              <w:spacing w:after="0"/>
              <w:rPr>
                <w:sz w:val="15"/>
                <w:szCs w:val="15"/>
                <w:color w:val="auto"/>
              </w:rPr>
            </w:pPr>
          </w:p>
        </w:tc>
        <w:tc>
          <w:tcPr>
            <w:tcW w:w="3460" w:type="dxa"/>
            <w:vAlign w:val="bottom"/>
            <w:tcBorders>
              <w:top w:val="single" w:sz="8" w:color="0000EE"/>
            </w:tcBorders>
            <w:gridSpan w:val="18"/>
          </w:tcPr>
          <w:p>
            <w:pPr>
              <w:spacing w:after="0" w:line="183" w:lineRule="exact"/>
              <w:rPr>
                <w:rFonts w:ascii="Arial" w:cs="Arial" w:eastAsia="Arial" w:hAnsi="Arial"/>
                <w:sz w:val="16"/>
                <w:szCs w:val="16"/>
                <w:color w:val="0000EE"/>
              </w:rPr>
            </w:pPr>
            <w:hyperlink r:id="rId91">
              <w:r>
                <w:rPr>
                  <w:rFonts w:ascii="Arial" w:cs="Arial" w:eastAsia="Arial" w:hAnsi="Arial"/>
                  <w:sz w:val="16"/>
                  <w:szCs w:val="16"/>
                  <w:color w:val="0000EE"/>
                </w:rPr>
                <w:t>amended October 16, 2008*</w:t>
              </w:r>
            </w:hyperlink>
          </w:p>
        </w:tc>
        <w:tc>
          <w:tcPr>
            <w:tcW w:w="300" w:type="dxa"/>
            <w:vAlign w:val="bottom"/>
            <w:tcBorders>
              <w:right w:val="single" w:sz="8" w:color="auto"/>
            </w:tcBorders>
            <w:gridSpan w:val="4"/>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10(f)</w:t>
            </w:r>
          </w:p>
        </w:tc>
        <w:tc>
          <w:tcPr>
            <w:tcW w:w="3760" w:type="dxa"/>
            <w:vAlign w:val="bottom"/>
            <w:tcBorders>
              <w:right w:val="single" w:sz="8" w:color="auto"/>
            </w:tcBorders>
            <w:gridSpan w:val="22"/>
            <w:shd w:val="clear" w:color="auto" w:fill="CCEEFF"/>
          </w:tcPr>
          <w:p>
            <w:pPr>
              <w:spacing w:after="0" w:line="169" w:lineRule="exact"/>
              <w:rPr>
                <w:rFonts w:ascii="Arial" w:cs="Arial" w:eastAsia="Arial" w:hAnsi="Arial"/>
                <w:sz w:val="16"/>
                <w:szCs w:val="16"/>
                <w:color w:val="0000EE"/>
                <w:w w:val="97"/>
              </w:rPr>
            </w:pPr>
            <w:hyperlink r:id="rId92">
              <w:r>
                <w:rPr>
                  <w:rFonts w:ascii="Arial" w:cs="Arial" w:eastAsia="Arial" w:hAnsi="Arial"/>
                  <w:sz w:val="16"/>
                  <w:szCs w:val="16"/>
                  <w:color w:val="0000EE"/>
                  <w:w w:val="97"/>
                </w:rPr>
                <w:t>Texas Instruments 2003 Long-Term Incentive Plan as</w:t>
              </w:r>
            </w:hyperlink>
          </w:p>
        </w:tc>
        <w:tc>
          <w:tcPr>
            <w:tcW w:w="60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shd w:val="clear" w:color="auto" w:fill="CCEEFF"/>
          </w:tcPr>
          <w:p>
            <w:pPr>
              <w:ind w:left="560"/>
              <w:spacing w:after="0" w:line="169" w:lineRule="exact"/>
              <w:rPr>
                <w:sz w:val="20"/>
                <w:szCs w:val="20"/>
                <w:color w:val="auto"/>
              </w:rPr>
            </w:pPr>
            <w:r>
              <w:rPr>
                <w:rFonts w:ascii="Arial" w:cs="Arial" w:eastAsia="Arial" w:hAnsi="Arial"/>
                <w:sz w:val="16"/>
                <w:szCs w:val="16"/>
                <w:color w:val="auto"/>
              </w:rPr>
              <w:t>February 24, 2015</w:t>
            </w:r>
          </w:p>
        </w:tc>
        <w:tc>
          <w:tcPr>
            <w:tcW w:w="1440" w:type="dxa"/>
            <w:vAlign w:val="bottom"/>
            <w:tcBorders>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10(f)</w:t>
            </w:r>
          </w:p>
        </w:tc>
        <w:tc>
          <w:tcPr>
            <w:tcW w:w="1000" w:type="dxa"/>
            <w:vAlign w:val="bottom"/>
            <w:tcBorders>
              <w:right w:val="single" w:sz="8" w:color="auto"/>
            </w:tcBorders>
            <w:shd w:val="clear" w:color="auto" w:fill="CCEEFF"/>
          </w:tcPr>
          <w:p>
            <w:pPr>
              <w:spacing w:after="0"/>
              <w:rPr>
                <w:sz w:val="14"/>
                <w:szCs w:val="14"/>
                <w:color w:val="auto"/>
              </w:rPr>
            </w:pPr>
          </w:p>
        </w:tc>
      </w:tr>
      <w:tr>
        <w:trPr>
          <w:trHeight w:val="223"/>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3460" w:type="dxa"/>
            <w:vAlign w:val="bottom"/>
            <w:tcBorders>
              <w:top w:val="single" w:sz="8" w:color="0000EE"/>
              <w:bottom w:val="single" w:sz="8" w:color="auto"/>
            </w:tcBorders>
            <w:gridSpan w:val="18"/>
            <w:shd w:val="clear" w:color="auto" w:fill="CCEEFF"/>
          </w:tcPr>
          <w:p>
            <w:pPr>
              <w:spacing w:after="0" w:line="183" w:lineRule="exact"/>
              <w:rPr>
                <w:rFonts w:ascii="Arial" w:cs="Arial" w:eastAsia="Arial" w:hAnsi="Arial"/>
                <w:sz w:val="16"/>
                <w:szCs w:val="16"/>
                <w:color w:val="0000EE"/>
              </w:rPr>
            </w:pPr>
            <w:hyperlink r:id="rId92">
              <w:r>
                <w:rPr>
                  <w:rFonts w:ascii="Arial" w:cs="Arial" w:eastAsia="Arial" w:hAnsi="Arial"/>
                  <w:sz w:val="16"/>
                  <w:szCs w:val="16"/>
                  <w:color w:val="0000EE"/>
                </w:rPr>
                <w:t>amended October 16, 2008</w:t>
              </w:r>
            </w:hyperlink>
          </w:p>
        </w:tc>
        <w:tc>
          <w:tcPr>
            <w:tcW w:w="300" w:type="dxa"/>
            <w:vAlign w:val="bottom"/>
            <w:tcBorders>
              <w:top w:val="single" w:sz="8" w:color="CCEEFF"/>
              <w:bottom w:val="single" w:sz="8" w:color="auto"/>
              <w:right w:val="single" w:sz="8" w:color="auto"/>
            </w:tcBorders>
            <w:gridSpan w:val="4"/>
            <w:shd w:val="clear" w:color="auto" w:fill="CCEEFF"/>
          </w:tcPr>
          <w:p>
            <w:pPr>
              <w:spacing w:after="0"/>
              <w:rPr>
                <w:sz w:val="19"/>
                <w:szCs w:val="19"/>
                <w:color w:val="auto"/>
              </w:rPr>
            </w:pPr>
          </w:p>
        </w:tc>
        <w:tc>
          <w:tcPr>
            <w:tcW w:w="600" w:type="dxa"/>
            <w:vAlign w:val="bottom"/>
            <w:tcBorders>
              <w:top w:val="single" w:sz="8" w:color="CCEEFF"/>
              <w:bottom w:val="single" w:sz="8" w:color="auto"/>
            </w:tcBorders>
            <w:shd w:val="clear" w:color="auto" w:fill="CCEEFF"/>
          </w:tcPr>
          <w:p>
            <w:pPr>
              <w:spacing w:after="0"/>
              <w:rPr>
                <w:sz w:val="19"/>
                <w:szCs w:val="19"/>
                <w:color w:val="auto"/>
              </w:rPr>
            </w:pPr>
          </w:p>
        </w:tc>
        <w:tc>
          <w:tcPr>
            <w:tcW w:w="1120" w:type="dxa"/>
            <w:vAlign w:val="bottom"/>
            <w:tcBorders>
              <w:top w:val="single" w:sz="8" w:color="CCEEFF"/>
              <w:bottom w:val="single" w:sz="8" w:color="auto"/>
            </w:tcBorders>
            <w:shd w:val="clear" w:color="auto" w:fill="CCEEFF"/>
          </w:tcPr>
          <w:p>
            <w:pPr>
              <w:spacing w:after="0"/>
              <w:rPr>
                <w:sz w:val="19"/>
                <w:szCs w:val="19"/>
                <w:color w:val="auto"/>
              </w:rPr>
            </w:pPr>
          </w:p>
        </w:tc>
        <w:tc>
          <w:tcPr>
            <w:tcW w:w="2300" w:type="dxa"/>
            <w:vAlign w:val="bottom"/>
            <w:tcBorders>
              <w:top w:val="single" w:sz="8" w:color="CCEEFF"/>
              <w:bottom w:val="single" w:sz="8" w:color="auto"/>
            </w:tcBorders>
            <w:shd w:val="clear" w:color="auto" w:fill="CCEEFF"/>
          </w:tcPr>
          <w:p>
            <w:pPr>
              <w:spacing w:after="0"/>
              <w:rPr>
                <w:sz w:val="19"/>
                <w:szCs w:val="19"/>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10(g)</w:t>
            </w:r>
          </w:p>
        </w:tc>
        <w:tc>
          <w:tcPr>
            <w:tcW w:w="3180" w:type="dxa"/>
            <w:vAlign w:val="bottom"/>
            <w:tcBorders>
              <w:bottom w:val="single" w:sz="8" w:color="0000EE"/>
            </w:tcBorders>
            <w:gridSpan w:val="14"/>
          </w:tcPr>
          <w:p>
            <w:pPr>
              <w:spacing w:after="0" w:line="169" w:lineRule="exact"/>
              <w:rPr>
                <w:rFonts w:ascii="Arial" w:cs="Arial" w:eastAsia="Arial" w:hAnsi="Arial"/>
                <w:sz w:val="16"/>
                <w:szCs w:val="16"/>
                <w:color w:val="0000EE"/>
                <w:w w:val="91"/>
              </w:rPr>
            </w:pPr>
            <w:hyperlink r:id="rId93">
              <w:r>
                <w:rPr>
                  <w:rFonts w:ascii="Arial" w:cs="Arial" w:eastAsia="Arial" w:hAnsi="Arial"/>
                  <w:sz w:val="16"/>
                  <w:szCs w:val="16"/>
                  <w:color w:val="0000EE"/>
                  <w:w w:val="91"/>
                </w:rPr>
                <w:t>Texas Instruments Restricted Stock Unit Plan for</w:t>
              </w:r>
            </w:hyperlink>
          </w:p>
        </w:tc>
        <w:tc>
          <w:tcPr>
            <w:tcW w:w="580" w:type="dxa"/>
            <w:vAlign w:val="bottom"/>
            <w:tcBorders>
              <w:right w:val="single" w:sz="8" w:color="auto"/>
            </w:tcBorders>
            <w:gridSpan w:val="8"/>
          </w:tcPr>
          <w:p>
            <w:pPr>
              <w:spacing w:after="0"/>
              <w:rPr>
                <w:sz w:val="14"/>
                <w:szCs w:val="14"/>
                <w:color w:val="auto"/>
              </w:rPr>
            </w:pPr>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February 24, 2012</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10(h)</w:t>
            </w:r>
          </w:p>
        </w:tc>
        <w:tc>
          <w:tcPr>
            <w:tcW w:w="1000" w:type="dxa"/>
            <w:vAlign w:val="bottom"/>
            <w:tcBorders>
              <w:right w:val="single" w:sz="8" w:color="auto"/>
            </w:tcBorders>
          </w:tcPr>
          <w:p>
            <w:pPr>
              <w:spacing w:after="0"/>
              <w:rPr>
                <w:sz w:val="14"/>
                <w:szCs w:val="14"/>
                <w:color w:val="auto"/>
              </w:rPr>
            </w:pPr>
          </w:p>
        </w:tc>
      </w:tr>
      <w:tr>
        <w:trPr>
          <w:trHeight w:val="183"/>
        </w:trPr>
        <w:tc>
          <w:tcPr>
            <w:tcW w:w="120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gridSpan w:val="22"/>
          </w:tcPr>
          <w:p>
            <w:pPr>
              <w:spacing w:after="0" w:line="183" w:lineRule="exact"/>
              <w:rPr>
                <w:rFonts w:ascii="Arial" w:cs="Arial" w:eastAsia="Arial" w:hAnsi="Arial"/>
                <w:sz w:val="16"/>
                <w:szCs w:val="16"/>
                <w:color w:val="0000EE"/>
              </w:rPr>
            </w:pPr>
            <w:hyperlink r:id="rId93">
              <w:r>
                <w:rPr>
                  <w:rFonts w:ascii="Arial" w:cs="Arial" w:eastAsia="Arial" w:hAnsi="Arial"/>
                  <w:sz w:val="16"/>
                  <w:szCs w:val="16"/>
                  <w:color w:val="0000EE"/>
                </w:rPr>
                <w:t>Directors, as amended, dated April 16, 1998</w:t>
              </w:r>
            </w:hyperlink>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0" w:type="dxa"/>
            <w:vAlign w:val="bottom"/>
            <w:tcBorders>
              <w:left w:val="single" w:sz="8" w:color="auto"/>
              <w:bottom w:val="single" w:sz="8" w:color="CCEEFF"/>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10(h)</w:t>
            </w:r>
          </w:p>
        </w:tc>
        <w:tc>
          <w:tcPr>
            <w:tcW w:w="3420" w:type="dxa"/>
            <w:vAlign w:val="bottom"/>
            <w:tcBorders>
              <w:bottom w:val="single" w:sz="8" w:color="0000EE"/>
            </w:tcBorders>
            <w:gridSpan w:val="16"/>
            <w:shd w:val="clear" w:color="auto" w:fill="CCEEFF"/>
          </w:tcPr>
          <w:p>
            <w:pPr>
              <w:spacing w:after="0" w:line="169" w:lineRule="exact"/>
              <w:rPr>
                <w:rFonts w:ascii="Arial" w:cs="Arial" w:eastAsia="Arial" w:hAnsi="Arial"/>
                <w:sz w:val="16"/>
                <w:szCs w:val="16"/>
                <w:color w:val="0000EE"/>
                <w:w w:val="90"/>
              </w:rPr>
            </w:pPr>
            <w:hyperlink r:id="rId94">
              <w:r>
                <w:rPr>
                  <w:rFonts w:ascii="Arial" w:cs="Arial" w:eastAsia="Arial" w:hAnsi="Arial"/>
                  <w:sz w:val="16"/>
                  <w:szCs w:val="16"/>
                  <w:color w:val="0000EE"/>
                  <w:w w:val="90"/>
                </w:rPr>
                <w:t>Texas Instruments Directors Deferred Compensation</w:t>
              </w:r>
            </w:hyperlink>
          </w:p>
        </w:tc>
        <w:tc>
          <w:tcPr>
            <w:tcW w:w="340" w:type="dxa"/>
            <w:vAlign w:val="bottom"/>
            <w:tcBorders>
              <w:bottom w:val="single" w:sz="8" w:color="CCEEFF"/>
              <w:right w:val="single" w:sz="8" w:color="auto"/>
            </w:tcBorders>
            <w:gridSpan w:val="6"/>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CCEEFF"/>
            </w:tcBorders>
            <w:shd w:val="clear" w:color="auto" w:fill="CCEEFF"/>
          </w:tcPr>
          <w:p>
            <w:pPr>
              <w:ind w:left="560"/>
              <w:spacing w:after="0" w:line="169" w:lineRule="exact"/>
              <w:rPr>
                <w:sz w:val="20"/>
                <w:szCs w:val="20"/>
                <w:color w:val="auto"/>
              </w:rPr>
            </w:pPr>
            <w:r>
              <w:rPr>
                <w:rFonts w:ascii="Arial" w:cs="Arial" w:eastAsia="Arial" w:hAnsi="Arial"/>
                <w:sz w:val="16"/>
                <w:szCs w:val="16"/>
                <w:color w:val="auto"/>
              </w:rPr>
              <w:t>February 24, 2012</w:t>
            </w:r>
          </w:p>
        </w:tc>
        <w:tc>
          <w:tcPr>
            <w:tcW w:w="1440" w:type="dxa"/>
            <w:vAlign w:val="bottom"/>
            <w:tcBorders>
              <w:bottom w:val="single" w:sz="8" w:color="CCEEFF"/>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10(i)</w:t>
            </w:r>
          </w:p>
        </w:tc>
        <w:tc>
          <w:tcPr>
            <w:tcW w:w="100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223"/>
        </w:trPr>
        <w:tc>
          <w:tcPr>
            <w:tcW w:w="12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3760" w:type="dxa"/>
            <w:vAlign w:val="bottom"/>
            <w:tcBorders>
              <w:bottom w:val="single" w:sz="8" w:color="auto"/>
              <w:right w:val="single" w:sz="8" w:color="auto"/>
            </w:tcBorders>
            <w:gridSpan w:val="22"/>
            <w:shd w:val="clear" w:color="auto" w:fill="CCEEFF"/>
          </w:tcPr>
          <w:p>
            <w:pPr>
              <w:spacing w:after="0" w:line="183" w:lineRule="exact"/>
              <w:rPr>
                <w:rFonts w:ascii="Arial" w:cs="Arial" w:eastAsia="Arial" w:hAnsi="Arial"/>
                <w:sz w:val="16"/>
                <w:szCs w:val="16"/>
                <w:color w:val="0000EE"/>
              </w:rPr>
            </w:pPr>
            <w:hyperlink r:id="rId94">
              <w:r>
                <w:rPr>
                  <w:rFonts w:ascii="Arial" w:cs="Arial" w:eastAsia="Arial" w:hAnsi="Arial"/>
                  <w:sz w:val="16"/>
                  <w:szCs w:val="16"/>
                  <w:color w:val="0000EE"/>
                </w:rPr>
                <w:t>Plan, as amended, dated April 16, 1998</w:t>
              </w:r>
            </w:hyperlink>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10(i)</w:t>
            </w:r>
          </w:p>
        </w:tc>
        <w:tc>
          <w:tcPr>
            <w:tcW w:w="3760" w:type="dxa"/>
            <w:vAlign w:val="bottom"/>
            <w:tcBorders>
              <w:right w:val="single" w:sz="8" w:color="auto"/>
            </w:tcBorders>
            <w:gridSpan w:val="22"/>
          </w:tcPr>
          <w:p>
            <w:pPr>
              <w:spacing w:after="0" w:line="169" w:lineRule="exact"/>
              <w:rPr>
                <w:rFonts w:ascii="Arial" w:cs="Arial" w:eastAsia="Arial" w:hAnsi="Arial"/>
                <w:sz w:val="16"/>
                <w:szCs w:val="16"/>
                <w:color w:val="0000EE"/>
                <w:w w:val="93"/>
              </w:rPr>
            </w:pPr>
            <w:hyperlink r:id="rId95">
              <w:r>
                <w:rPr>
                  <w:rFonts w:ascii="Arial" w:cs="Arial" w:eastAsia="Arial" w:hAnsi="Arial"/>
                  <w:sz w:val="16"/>
                  <w:szCs w:val="16"/>
                  <w:color w:val="0000EE"/>
                  <w:w w:val="93"/>
                </w:rPr>
                <w:t>Texas Instruments 2003 Director Compensation Plan as</w:t>
              </w:r>
            </w:hyperlink>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February 24, 2015</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10(j)</w:t>
            </w:r>
          </w:p>
        </w:tc>
        <w:tc>
          <w:tcPr>
            <w:tcW w:w="1000" w:type="dxa"/>
            <w:vAlign w:val="bottom"/>
            <w:tcBorders>
              <w:right w:val="single" w:sz="8" w:color="auto"/>
            </w:tcBorders>
          </w:tcPr>
          <w:p>
            <w:pPr>
              <w:spacing w:after="0"/>
              <w:rPr>
                <w:sz w:val="14"/>
                <w:szCs w:val="14"/>
                <w:color w:val="auto"/>
              </w:rPr>
            </w:pPr>
          </w:p>
        </w:tc>
      </w:tr>
      <w:tr>
        <w:trPr>
          <w:trHeight w:val="183"/>
        </w:trPr>
        <w:tc>
          <w:tcPr>
            <w:tcW w:w="1200" w:type="dxa"/>
            <w:vAlign w:val="bottom"/>
            <w:tcBorders>
              <w:left w:val="single" w:sz="8" w:color="auto"/>
              <w:right w:val="single" w:sz="8" w:color="auto"/>
            </w:tcBorders>
          </w:tcPr>
          <w:p>
            <w:pPr>
              <w:spacing w:after="0"/>
              <w:rPr>
                <w:sz w:val="15"/>
                <w:szCs w:val="15"/>
                <w:color w:val="auto"/>
              </w:rPr>
            </w:pPr>
          </w:p>
        </w:tc>
        <w:tc>
          <w:tcPr>
            <w:tcW w:w="360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r:id="rId95">
              <w:r>
                <w:rPr>
                  <w:rFonts w:ascii="Arial" w:cs="Arial" w:eastAsia="Arial" w:hAnsi="Arial"/>
                  <w:sz w:val="16"/>
                  <w:szCs w:val="16"/>
                  <w:color w:val="0000EE"/>
                </w:rPr>
                <w:t>amended January 19, 2012</w:t>
              </w:r>
            </w:hyperlink>
          </w:p>
        </w:tc>
        <w:tc>
          <w:tcPr>
            <w:tcW w:w="16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0" w:type="dxa"/>
            <w:vAlign w:val="bottom"/>
            <w:tcBorders>
              <w:left w:val="single" w:sz="8" w:color="auto"/>
              <w:bottom w:val="single" w:sz="8" w:color="CCEEFF"/>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10(j)</w:t>
            </w:r>
          </w:p>
        </w:tc>
        <w:tc>
          <w:tcPr>
            <w:tcW w:w="3400" w:type="dxa"/>
            <w:vAlign w:val="bottom"/>
            <w:tcBorders>
              <w:bottom w:val="single" w:sz="8" w:color="0000EE"/>
            </w:tcBorders>
            <w:gridSpan w:val="15"/>
            <w:shd w:val="clear" w:color="auto" w:fill="CCEEFF"/>
          </w:tcPr>
          <w:p>
            <w:pPr>
              <w:spacing w:after="0" w:line="169" w:lineRule="exact"/>
              <w:rPr>
                <w:rFonts w:ascii="Arial" w:cs="Arial" w:eastAsia="Arial" w:hAnsi="Arial"/>
                <w:sz w:val="16"/>
                <w:szCs w:val="16"/>
                <w:color w:val="0000EE"/>
                <w:w w:val="94"/>
              </w:rPr>
            </w:pPr>
            <w:hyperlink r:id="rId96">
              <w:r>
                <w:rPr>
                  <w:rFonts w:ascii="Arial" w:cs="Arial" w:eastAsia="Arial" w:hAnsi="Arial"/>
                  <w:sz w:val="16"/>
                  <w:szCs w:val="16"/>
                  <w:color w:val="0000EE"/>
                  <w:w w:val="94"/>
                </w:rPr>
                <w:t>Form of Non-Qualified Stock Option Agreement for</w:t>
              </w:r>
            </w:hyperlink>
          </w:p>
        </w:tc>
        <w:tc>
          <w:tcPr>
            <w:tcW w:w="360" w:type="dxa"/>
            <w:vAlign w:val="bottom"/>
            <w:tcBorders>
              <w:bottom w:val="single" w:sz="8" w:color="CCEEFF"/>
              <w:right w:val="single" w:sz="8" w:color="auto"/>
            </w:tcBorders>
            <w:gridSpan w:val="7"/>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CCEEFF"/>
            </w:tcBorders>
            <w:shd w:val="clear" w:color="auto" w:fill="CCEEFF"/>
          </w:tcPr>
          <w:p>
            <w:pPr>
              <w:ind w:left="560"/>
              <w:spacing w:after="0" w:line="169" w:lineRule="exact"/>
              <w:rPr>
                <w:sz w:val="20"/>
                <w:szCs w:val="20"/>
                <w:color w:val="auto"/>
              </w:rPr>
            </w:pPr>
            <w:r>
              <w:rPr>
                <w:rFonts w:ascii="Arial" w:cs="Arial" w:eastAsia="Arial" w:hAnsi="Arial"/>
                <w:sz w:val="16"/>
                <w:szCs w:val="16"/>
                <w:color w:val="auto"/>
              </w:rPr>
              <w:t>February 23, 2017</w:t>
            </w:r>
          </w:p>
        </w:tc>
        <w:tc>
          <w:tcPr>
            <w:tcW w:w="1440" w:type="dxa"/>
            <w:vAlign w:val="bottom"/>
            <w:tcBorders>
              <w:bottom w:val="single" w:sz="8" w:color="CCEEFF"/>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10(k)</w:t>
            </w:r>
          </w:p>
        </w:tc>
        <w:tc>
          <w:tcPr>
            <w:tcW w:w="100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83"/>
        </w:trPr>
        <w:tc>
          <w:tcPr>
            <w:tcW w:w="1200" w:type="dxa"/>
            <w:vAlign w:val="bottom"/>
            <w:tcBorders>
              <w:left w:val="single" w:sz="8" w:color="auto"/>
              <w:right w:val="single" w:sz="8" w:color="auto"/>
            </w:tcBorders>
            <w:shd w:val="clear" w:color="auto" w:fill="CCEEFF"/>
          </w:tcPr>
          <w:p>
            <w:pPr>
              <w:spacing w:after="0"/>
              <w:rPr>
                <w:sz w:val="15"/>
                <w:szCs w:val="15"/>
                <w:color w:val="auto"/>
              </w:rPr>
            </w:pPr>
          </w:p>
        </w:tc>
        <w:tc>
          <w:tcPr>
            <w:tcW w:w="3760" w:type="dxa"/>
            <w:vAlign w:val="bottom"/>
            <w:tcBorders>
              <w:right w:val="single" w:sz="8" w:color="auto"/>
            </w:tcBorders>
            <w:gridSpan w:val="22"/>
            <w:shd w:val="clear" w:color="auto" w:fill="CCEEFF"/>
          </w:tcPr>
          <w:p>
            <w:pPr>
              <w:spacing w:after="0" w:line="183" w:lineRule="exact"/>
              <w:rPr>
                <w:rFonts w:ascii="Arial" w:cs="Arial" w:eastAsia="Arial" w:hAnsi="Arial"/>
                <w:sz w:val="16"/>
                <w:szCs w:val="16"/>
                <w:color w:val="0000EE"/>
                <w:w w:val="98"/>
              </w:rPr>
            </w:pPr>
            <w:hyperlink r:id="rId96">
              <w:r>
                <w:rPr>
                  <w:rFonts w:ascii="Arial" w:cs="Arial" w:eastAsia="Arial" w:hAnsi="Arial"/>
                  <w:sz w:val="16"/>
                  <w:szCs w:val="16"/>
                  <w:color w:val="0000EE"/>
                  <w:w w:val="98"/>
                </w:rPr>
                <w:t>Executive Officers under the Texas Instruments 2009</w:t>
              </w:r>
            </w:hyperlink>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440" w:type="dxa"/>
            <w:vAlign w:val="bottom"/>
            <w:tcBorders>
              <w:right w:val="single" w:sz="8" w:color="auto"/>
            </w:tcBorders>
            <w:shd w:val="clear" w:color="auto" w:fill="CCEEFF"/>
          </w:tcPr>
          <w:p>
            <w:pPr>
              <w:spacing w:after="0"/>
              <w:rPr>
                <w:sz w:val="15"/>
                <w:szCs w:val="15"/>
                <w:color w:val="auto"/>
              </w:rPr>
            </w:pPr>
          </w:p>
        </w:tc>
        <w:tc>
          <w:tcPr>
            <w:tcW w:w="1000" w:type="dxa"/>
            <w:vAlign w:val="bottom"/>
            <w:tcBorders>
              <w:right w:val="single" w:sz="8" w:color="auto"/>
            </w:tcBorders>
            <w:shd w:val="clear" w:color="auto" w:fill="CCEEFF"/>
          </w:tcPr>
          <w:p>
            <w:pPr>
              <w:spacing w:after="0"/>
              <w:rPr>
                <w:sz w:val="15"/>
                <w:szCs w:val="15"/>
                <w:color w:val="auto"/>
              </w:rPr>
            </w:pPr>
          </w:p>
        </w:tc>
      </w:tr>
      <w:tr>
        <w:trPr>
          <w:trHeight w:val="223"/>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3440" w:type="dxa"/>
            <w:vAlign w:val="bottom"/>
            <w:tcBorders>
              <w:top w:val="single" w:sz="8" w:color="0000EE"/>
              <w:bottom w:val="single" w:sz="8" w:color="auto"/>
            </w:tcBorders>
            <w:gridSpan w:val="17"/>
            <w:shd w:val="clear" w:color="auto" w:fill="CCEEFF"/>
          </w:tcPr>
          <w:p>
            <w:pPr>
              <w:spacing w:after="0" w:line="183" w:lineRule="exact"/>
              <w:rPr>
                <w:rFonts w:ascii="Arial" w:cs="Arial" w:eastAsia="Arial" w:hAnsi="Arial"/>
                <w:sz w:val="16"/>
                <w:szCs w:val="16"/>
                <w:color w:val="0000EE"/>
              </w:rPr>
            </w:pPr>
            <w:hyperlink r:id="rId96">
              <w:r>
                <w:rPr>
                  <w:rFonts w:ascii="Arial" w:cs="Arial" w:eastAsia="Arial" w:hAnsi="Arial"/>
                  <w:sz w:val="16"/>
                  <w:szCs w:val="16"/>
                  <w:color w:val="0000EE"/>
                </w:rPr>
                <w:t>Long-Term Incentive Plan*</w:t>
              </w:r>
            </w:hyperlink>
          </w:p>
        </w:tc>
        <w:tc>
          <w:tcPr>
            <w:tcW w:w="320" w:type="dxa"/>
            <w:vAlign w:val="bottom"/>
            <w:tcBorders>
              <w:top w:val="single" w:sz="8" w:color="CCEEFF"/>
              <w:bottom w:val="single" w:sz="8" w:color="auto"/>
              <w:right w:val="single" w:sz="8" w:color="auto"/>
            </w:tcBorders>
            <w:gridSpan w:val="5"/>
            <w:shd w:val="clear" w:color="auto" w:fill="CCEEFF"/>
          </w:tcPr>
          <w:p>
            <w:pPr>
              <w:spacing w:after="0"/>
              <w:rPr>
                <w:sz w:val="19"/>
                <w:szCs w:val="19"/>
                <w:color w:val="auto"/>
              </w:rPr>
            </w:pPr>
          </w:p>
        </w:tc>
        <w:tc>
          <w:tcPr>
            <w:tcW w:w="600" w:type="dxa"/>
            <w:vAlign w:val="bottom"/>
            <w:tcBorders>
              <w:top w:val="single" w:sz="8" w:color="CCEEFF"/>
              <w:bottom w:val="single" w:sz="8" w:color="auto"/>
            </w:tcBorders>
            <w:shd w:val="clear" w:color="auto" w:fill="CCEEFF"/>
          </w:tcPr>
          <w:p>
            <w:pPr>
              <w:spacing w:after="0"/>
              <w:rPr>
                <w:sz w:val="19"/>
                <w:szCs w:val="19"/>
                <w:color w:val="auto"/>
              </w:rPr>
            </w:pPr>
          </w:p>
        </w:tc>
        <w:tc>
          <w:tcPr>
            <w:tcW w:w="1120" w:type="dxa"/>
            <w:vAlign w:val="bottom"/>
            <w:tcBorders>
              <w:top w:val="single" w:sz="8" w:color="CCEEFF"/>
              <w:bottom w:val="single" w:sz="8" w:color="auto"/>
            </w:tcBorders>
            <w:shd w:val="clear" w:color="auto" w:fill="CCEEFF"/>
          </w:tcPr>
          <w:p>
            <w:pPr>
              <w:spacing w:after="0"/>
              <w:rPr>
                <w:sz w:val="19"/>
                <w:szCs w:val="19"/>
                <w:color w:val="auto"/>
              </w:rPr>
            </w:pPr>
          </w:p>
        </w:tc>
        <w:tc>
          <w:tcPr>
            <w:tcW w:w="2300" w:type="dxa"/>
            <w:vAlign w:val="bottom"/>
            <w:tcBorders>
              <w:top w:val="single" w:sz="8" w:color="CCEEFF"/>
              <w:bottom w:val="single" w:sz="8" w:color="auto"/>
            </w:tcBorders>
            <w:shd w:val="clear" w:color="auto" w:fill="CCEEFF"/>
          </w:tcPr>
          <w:p>
            <w:pPr>
              <w:spacing w:after="0"/>
              <w:rPr>
                <w:sz w:val="19"/>
                <w:szCs w:val="19"/>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10(k)</w:t>
            </w:r>
          </w:p>
        </w:tc>
        <w:tc>
          <w:tcPr>
            <w:tcW w:w="3420" w:type="dxa"/>
            <w:vAlign w:val="bottom"/>
            <w:tcBorders>
              <w:bottom w:val="single" w:sz="8" w:color="0000EE"/>
            </w:tcBorders>
            <w:gridSpan w:val="16"/>
          </w:tcPr>
          <w:p>
            <w:pPr>
              <w:spacing w:after="0" w:line="169" w:lineRule="exact"/>
              <w:rPr>
                <w:rFonts w:ascii="Arial" w:cs="Arial" w:eastAsia="Arial" w:hAnsi="Arial"/>
                <w:sz w:val="16"/>
                <w:szCs w:val="16"/>
                <w:color w:val="0000EE"/>
                <w:w w:val="93"/>
              </w:rPr>
            </w:pPr>
            <w:hyperlink r:id="rId97">
              <w:r>
                <w:rPr>
                  <w:rFonts w:ascii="Arial" w:cs="Arial" w:eastAsia="Arial" w:hAnsi="Arial"/>
                  <w:sz w:val="16"/>
                  <w:szCs w:val="16"/>
                  <w:color w:val="0000EE"/>
                  <w:w w:val="93"/>
                </w:rPr>
                <w:t>Form of Restricted Stock Unit Award Agreement for</w:t>
              </w:r>
            </w:hyperlink>
          </w:p>
        </w:tc>
        <w:tc>
          <w:tcPr>
            <w:tcW w:w="340" w:type="dxa"/>
            <w:vAlign w:val="bottom"/>
            <w:tcBorders>
              <w:right w:val="single" w:sz="8" w:color="auto"/>
            </w:tcBorders>
            <w:gridSpan w:val="6"/>
          </w:tcPr>
          <w:p>
            <w:pPr>
              <w:spacing w:after="0"/>
              <w:rPr>
                <w:sz w:val="14"/>
                <w:szCs w:val="14"/>
                <w:color w:val="auto"/>
              </w:rPr>
            </w:pPr>
          </w:p>
        </w:tc>
        <w:tc>
          <w:tcPr>
            <w:tcW w:w="600" w:type="dxa"/>
            <w:vAlign w:val="bottom"/>
          </w:tcPr>
          <w:p>
            <w:pPr>
              <w:ind w:left="4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ind w:left="18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February 23, 2017</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10(l)</w:t>
            </w:r>
          </w:p>
        </w:tc>
        <w:tc>
          <w:tcPr>
            <w:tcW w:w="1000" w:type="dxa"/>
            <w:vAlign w:val="bottom"/>
            <w:tcBorders>
              <w:right w:val="single" w:sz="8" w:color="auto"/>
            </w:tcBorders>
          </w:tcPr>
          <w:p>
            <w:pPr>
              <w:spacing w:after="0"/>
              <w:rPr>
                <w:sz w:val="14"/>
                <w:szCs w:val="14"/>
                <w:color w:val="auto"/>
              </w:rPr>
            </w:pPr>
          </w:p>
        </w:tc>
      </w:tr>
      <w:tr>
        <w:trPr>
          <w:trHeight w:val="183"/>
        </w:trPr>
        <w:tc>
          <w:tcPr>
            <w:tcW w:w="120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gridSpan w:val="22"/>
          </w:tcPr>
          <w:p>
            <w:pPr>
              <w:spacing w:after="0" w:line="183" w:lineRule="exact"/>
              <w:rPr>
                <w:rFonts w:ascii="Arial" w:cs="Arial" w:eastAsia="Arial" w:hAnsi="Arial"/>
                <w:sz w:val="16"/>
                <w:szCs w:val="16"/>
                <w:color w:val="0000EE"/>
                <w:w w:val="98"/>
              </w:rPr>
            </w:pPr>
            <w:hyperlink r:id="rId97">
              <w:r>
                <w:rPr>
                  <w:rFonts w:ascii="Arial" w:cs="Arial" w:eastAsia="Arial" w:hAnsi="Arial"/>
                  <w:sz w:val="16"/>
                  <w:szCs w:val="16"/>
                  <w:color w:val="0000EE"/>
                  <w:w w:val="98"/>
                </w:rPr>
                <w:t>Executive Officers under the Texas Instruments 2009</w:t>
              </w:r>
            </w:hyperlink>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r>
      <w:tr>
        <w:trPr>
          <w:trHeight w:val="183"/>
        </w:trPr>
        <w:tc>
          <w:tcPr>
            <w:tcW w:w="1200" w:type="dxa"/>
            <w:vAlign w:val="bottom"/>
            <w:tcBorders>
              <w:left w:val="single" w:sz="8" w:color="auto"/>
              <w:right w:val="single" w:sz="8" w:color="auto"/>
            </w:tcBorders>
          </w:tcPr>
          <w:p>
            <w:pPr>
              <w:spacing w:after="0"/>
              <w:rPr>
                <w:sz w:val="15"/>
                <w:szCs w:val="15"/>
                <w:color w:val="auto"/>
              </w:rPr>
            </w:pPr>
          </w:p>
        </w:tc>
        <w:tc>
          <w:tcPr>
            <w:tcW w:w="3440" w:type="dxa"/>
            <w:vAlign w:val="bottom"/>
            <w:tcBorders>
              <w:top w:val="single" w:sz="8" w:color="0000EE"/>
            </w:tcBorders>
            <w:gridSpan w:val="17"/>
          </w:tcPr>
          <w:p>
            <w:pPr>
              <w:spacing w:after="0" w:line="183" w:lineRule="exact"/>
              <w:rPr>
                <w:rFonts w:ascii="Arial" w:cs="Arial" w:eastAsia="Arial" w:hAnsi="Arial"/>
                <w:sz w:val="16"/>
                <w:szCs w:val="16"/>
                <w:color w:val="0000EE"/>
              </w:rPr>
            </w:pPr>
            <w:hyperlink r:id="rId97">
              <w:r>
                <w:rPr>
                  <w:rFonts w:ascii="Arial" w:cs="Arial" w:eastAsia="Arial" w:hAnsi="Arial"/>
                  <w:sz w:val="16"/>
                  <w:szCs w:val="16"/>
                  <w:color w:val="0000EE"/>
                </w:rPr>
                <w:t>Long-Term Incentive Plan*</w:t>
              </w:r>
            </w:hyperlink>
          </w:p>
        </w:tc>
        <w:tc>
          <w:tcPr>
            <w:tcW w:w="320" w:type="dxa"/>
            <w:vAlign w:val="bottom"/>
            <w:tcBorders>
              <w:right w:val="single" w:sz="8" w:color="auto"/>
            </w:tcBorders>
            <w:gridSpan w:val="5"/>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37"/>
        </w:trPr>
        <w:tc>
          <w:tcPr>
            <w:tcW w:w="1200" w:type="dxa"/>
            <w:vAlign w:val="bottom"/>
            <w:tcBorders>
              <w:top w:val="single" w:sz="8" w:color="auto"/>
              <w:left w:val="single" w:sz="8" w:color="auto"/>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2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Incorporated by Reference</w:t>
            </w:r>
          </w:p>
        </w:tc>
        <w:tc>
          <w:tcPr>
            <w:tcW w:w="1440" w:type="dxa"/>
            <w:vAlign w:val="bottom"/>
            <w:tcBorders>
              <w:top w:val="single" w:sz="8" w:color="auto"/>
              <w:bottom w:val="single" w:sz="8" w:color="auto"/>
              <w:right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spacing w:after="0"/>
              <w:rPr>
                <w:sz w:val="20"/>
                <w:szCs w:val="20"/>
                <w:color w:val="auto"/>
              </w:rPr>
            </w:pPr>
          </w:p>
        </w:tc>
      </w:tr>
      <w:tr>
        <w:trPr>
          <w:trHeight w:val="188"/>
        </w:trPr>
        <w:tc>
          <w:tcPr>
            <w:tcW w:w="1200" w:type="dxa"/>
            <w:vAlign w:val="bottom"/>
            <w:tcBorders>
              <w:left w:val="single" w:sz="8" w:color="auto"/>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Filed or</w:t>
            </w:r>
          </w:p>
        </w:tc>
      </w:tr>
      <w:tr>
        <w:trPr>
          <w:trHeight w:val="203"/>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Designation of</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40" w:type="dxa"/>
            <w:vAlign w:val="bottom"/>
            <w:tcBorders>
              <w:right w:val="single" w:sz="8" w:color="auto"/>
            </w:tcBorders>
          </w:tcPr>
          <w:p>
            <w:pPr>
              <w:ind w:left="400"/>
              <w:spacing w:after="0"/>
              <w:rPr>
                <w:sz w:val="20"/>
                <w:szCs w:val="20"/>
                <w:color w:val="auto"/>
              </w:rPr>
            </w:pPr>
            <w:r>
              <w:rPr>
                <w:rFonts w:ascii="Arial" w:cs="Arial" w:eastAsia="Arial" w:hAnsi="Arial"/>
                <w:sz w:val="16"/>
                <w:szCs w:val="16"/>
                <w:b w:val="1"/>
                <w:bCs w:val="1"/>
                <w:color w:val="auto"/>
              </w:rPr>
              <w:t>Exhibit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Furnished</w:t>
            </w:r>
          </w:p>
        </w:tc>
      </w:tr>
      <w:tr>
        <w:trPr>
          <w:trHeight w:val="213"/>
        </w:trPr>
        <w:tc>
          <w:tcPr>
            <w:tcW w:w="1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Exhibit</w:t>
            </w:r>
          </w:p>
        </w:tc>
        <w:tc>
          <w:tcPr>
            <w:tcW w:w="320" w:type="dxa"/>
            <w:vAlign w:val="bottom"/>
            <w:tcBorders>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gridSpan w:val="13"/>
          </w:tcPr>
          <w:p>
            <w:pPr>
              <w:ind w:left="780"/>
              <w:spacing w:after="0"/>
              <w:rPr>
                <w:sz w:val="20"/>
                <w:szCs w:val="20"/>
                <w:color w:val="auto"/>
              </w:rPr>
            </w:pPr>
            <w:r>
              <w:rPr>
                <w:rFonts w:ascii="Arial" w:cs="Arial" w:eastAsia="Arial" w:hAnsi="Arial"/>
                <w:sz w:val="16"/>
                <w:szCs w:val="16"/>
                <w:b w:val="1"/>
                <w:bCs w:val="1"/>
                <w:color w:val="auto"/>
              </w:rPr>
              <w:t>Description of Exhibit</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Form</w:t>
            </w: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9"/>
              </w:rPr>
              <w:t>File Number</w:t>
            </w:r>
          </w:p>
        </w:tc>
        <w:tc>
          <w:tcPr>
            <w:tcW w:w="23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Date of Filing</w:t>
            </w:r>
          </w:p>
        </w:tc>
        <w:tc>
          <w:tcPr>
            <w:tcW w:w="14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6"/>
                <w:szCs w:val="16"/>
                <w:b w:val="1"/>
                <w:bCs w:val="1"/>
                <w:color w:val="auto"/>
              </w:rPr>
              <w:t>Number</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r>
      <w:tr>
        <w:trPr>
          <w:trHeight w:val="172"/>
        </w:trPr>
        <w:tc>
          <w:tcPr>
            <w:tcW w:w="1200" w:type="dxa"/>
            <w:vAlign w:val="bottom"/>
            <w:tcBorders>
              <w:left w:val="single" w:sz="8" w:color="auto"/>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b w:val="1"/>
                <w:bCs w:val="1"/>
                <w:color w:val="auto"/>
              </w:rPr>
              <w:t>10(l)</w:t>
            </w:r>
          </w:p>
        </w:tc>
        <w:tc>
          <w:tcPr>
            <w:tcW w:w="3760" w:type="dxa"/>
            <w:vAlign w:val="bottom"/>
            <w:tcBorders>
              <w:right w:val="single" w:sz="8" w:color="auto"/>
            </w:tcBorders>
            <w:gridSpan w:val="14"/>
            <w:shd w:val="clear" w:color="auto" w:fill="CCEEFF"/>
          </w:tcPr>
          <w:p>
            <w:pPr>
              <w:spacing w:after="0" w:line="172" w:lineRule="exact"/>
              <w:rPr>
                <w:rFonts w:ascii="Arial" w:cs="Arial" w:eastAsia="Arial" w:hAnsi="Arial"/>
                <w:sz w:val="16"/>
                <w:szCs w:val="16"/>
                <w:color w:val="0000EE"/>
                <w:w w:val="97"/>
              </w:rPr>
            </w:pPr>
            <w:hyperlink r:id="rId99">
              <w:r>
                <w:rPr>
                  <w:rFonts w:ascii="Arial" w:cs="Arial" w:eastAsia="Arial" w:hAnsi="Arial"/>
                  <w:sz w:val="16"/>
                  <w:szCs w:val="16"/>
                  <w:color w:val="0000EE"/>
                  <w:w w:val="97"/>
                </w:rPr>
                <w:t>Texas Instruments 2009 Long-Term Incentive Plan as</w:t>
              </w:r>
            </w:hyperlink>
          </w:p>
        </w:tc>
        <w:tc>
          <w:tcPr>
            <w:tcW w:w="720" w:type="dxa"/>
            <w:vAlign w:val="bottom"/>
            <w:shd w:val="clear" w:color="auto" w:fill="CCEEFF"/>
          </w:tcPr>
          <w:p>
            <w:pPr>
              <w:ind w:left="40"/>
              <w:spacing w:after="0" w:line="172" w:lineRule="exact"/>
              <w:rPr>
                <w:sz w:val="20"/>
                <w:szCs w:val="20"/>
                <w:color w:val="auto"/>
              </w:rPr>
            </w:pPr>
            <w:r>
              <w:rPr>
                <w:rFonts w:ascii="Arial" w:cs="Arial" w:eastAsia="Arial" w:hAnsi="Arial"/>
                <w:sz w:val="16"/>
                <w:szCs w:val="16"/>
                <w:color w:val="auto"/>
              </w:rPr>
              <w:t>DEF 14A</w:t>
            </w:r>
          </w:p>
        </w:tc>
        <w:tc>
          <w:tcPr>
            <w:tcW w:w="1000" w:type="dxa"/>
            <w:vAlign w:val="bottom"/>
            <w:shd w:val="clear" w:color="auto" w:fill="CCEEFF"/>
          </w:tcPr>
          <w:p>
            <w:pPr>
              <w:ind w:left="60"/>
              <w:spacing w:after="0" w:line="172" w:lineRule="exact"/>
              <w:rPr>
                <w:sz w:val="20"/>
                <w:szCs w:val="20"/>
                <w:color w:val="auto"/>
              </w:rPr>
            </w:pPr>
            <w:r>
              <w:rPr>
                <w:rFonts w:ascii="Arial" w:cs="Arial" w:eastAsia="Arial" w:hAnsi="Arial"/>
                <w:sz w:val="16"/>
                <w:szCs w:val="16"/>
                <w:color w:val="auto"/>
              </w:rPr>
              <w:t>001-3761</w:t>
            </w:r>
          </w:p>
        </w:tc>
        <w:tc>
          <w:tcPr>
            <w:tcW w:w="2300" w:type="dxa"/>
            <w:vAlign w:val="bottom"/>
            <w:shd w:val="clear" w:color="auto" w:fill="CCEEFF"/>
          </w:tcPr>
          <w:p>
            <w:pPr>
              <w:ind w:left="560"/>
              <w:spacing w:after="0" w:line="172" w:lineRule="exact"/>
              <w:rPr>
                <w:sz w:val="20"/>
                <w:szCs w:val="20"/>
                <w:color w:val="auto"/>
              </w:rPr>
            </w:pPr>
            <w:r>
              <w:rPr>
                <w:rFonts w:ascii="Arial" w:cs="Arial" w:eastAsia="Arial" w:hAnsi="Arial"/>
                <w:sz w:val="16"/>
                <w:szCs w:val="16"/>
                <w:color w:val="auto"/>
              </w:rPr>
              <w:t>March 9, 2016</w:t>
            </w:r>
          </w:p>
        </w:tc>
        <w:tc>
          <w:tcPr>
            <w:tcW w:w="1440" w:type="dxa"/>
            <w:vAlign w:val="bottom"/>
            <w:tcBorders>
              <w:right w:val="single" w:sz="8" w:color="auto"/>
            </w:tcBorders>
            <w:shd w:val="clear" w:color="auto" w:fill="CCEEFF"/>
          </w:tcPr>
          <w:p>
            <w:pPr>
              <w:ind w:left="400"/>
              <w:spacing w:after="0" w:line="172" w:lineRule="exact"/>
              <w:rPr>
                <w:sz w:val="20"/>
                <w:szCs w:val="20"/>
                <w:color w:val="auto"/>
              </w:rPr>
            </w:pPr>
            <w:r>
              <w:rPr>
                <w:rFonts w:ascii="Arial" w:cs="Arial" w:eastAsia="Arial" w:hAnsi="Arial"/>
                <w:sz w:val="16"/>
                <w:szCs w:val="16"/>
                <w:color w:val="auto"/>
              </w:rPr>
              <w:t>Appendix B</w:t>
            </w:r>
          </w:p>
        </w:tc>
        <w:tc>
          <w:tcPr>
            <w:tcW w:w="1000" w:type="dxa"/>
            <w:vAlign w:val="bottom"/>
            <w:tcBorders>
              <w:right w:val="single" w:sz="8" w:color="auto"/>
            </w:tcBorders>
            <w:shd w:val="clear" w:color="auto" w:fill="CCEEFF"/>
          </w:tcPr>
          <w:p>
            <w:pPr>
              <w:spacing w:after="0"/>
              <w:rPr>
                <w:sz w:val="14"/>
                <w:szCs w:val="14"/>
                <w:color w:val="auto"/>
              </w:rPr>
            </w:pPr>
          </w:p>
        </w:tc>
      </w:tr>
      <w:tr>
        <w:trPr>
          <w:trHeight w:val="223"/>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3460" w:type="dxa"/>
            <w:vAlign w:val="bottom"/>
            <w:tcBorders>
              <w:top w:val="single" w:sz="8" w:color="0000EE"/>
              <w:bottom w:val="single" w:sz="8" w:color="auto"/>
            </w:tcBorders>
            <w:gridSpan w:val="10"/>
            <w:shd w:val="clear" w:color="auto" w:fill="CCEEFF"/>
          </w:tcPr>
          <w:p>
            <w:pPr>
              <w:spacing w:after="0" w:line="183" w:lineRule="exact"/>
              <w:rPr>
                <w:rFonts w:ascii="Arial" w:cs="Arial" w:eastAsia="Arial" w:hAnsi="Arial"/>
                <w:sz w:val="16"/>
                <w:szCs w:val="16"/>
                <w:color w:val="0000EE"/>
              </w:rPr>
            </w:pPr>
            <w:hyperlink r:id="rId99">
              <w:r>
                <w:rPr>
                  <w:rFonts w:ascii="Arial" w:cs="Arial" w:eastAsia="Arial" w:hAnsi="Arial"/>
                  <w:sz w:val="16"/>
                  <w:szCs w:val="16"/>
                  <w:color w:val="0000EE"/>
                </w:rPr>
                <w:t>amended April 21, 2016*</w:t>
              </w:r>
            </w:hyperlink>
          </w:p>
        </w:tc>
        <w:tc>
          <w:tcPr>
            <w:tcW w:w="300" w:type="dxa"/>
            <w:vAlign w:val="bottom"/>
            <w:tcBorders>
              <w:top w:val="single" w:sz="8" w:color="CCEEFF"/>
              <w:bottom w:val="single" w:sz="8" w:color="auto"/>
              <w:right w:val="single" w:sz="8" w:color="auto"/>
            </w:tcBorders>
            <w:gridSpan w:val="4"/>
            <w:shd w:val="clear" w:color="auto" w:fill="CCEEFF"/>
          </w:tcPr>
          <w:p>
            <w:pPr>
              <w:spacing w:after="0"/>
              <w:rPr>
                <w:sz w:val="19"/>
                <w:szCs w:val="19"/>
                <w:color w:val="auto"/>
              </w:rPr>
            </w:pPr>
          </w:p>
        </w:tc>
        <w:tc>
          <w:tcPr>
            <w:tcW w:w="720" w:type="dxa"/>
            <w:vAlign w:val="bottom"/>
            <w:tcBorders>
              <w:top w:val="single" w:sz="8" w:color="CCEEFF"/>
              <w:bottom w:val="single" w:sz="8" w:color="auto"/>
            </w:tcBorders>
            <w:shd w:val="clear" w:color="auto" w:fill="CCEEFF"/>
          </w:tcPr>
          <w:p>
            <w:pPr>
              <w:spacing w:after="0"/>
              <w:rPr>
                <w:sz w:val="19"/>
                <w:szCs w:val="19"/>
                <w:color w:val="auto"/>
              </w:rPr>
            </w:pPr>
          </w:p>
        </w:tc>
        <w:tc>
          <w:tcPr>
            <w:tcW w:w="1000" w:type="dxa"/>
            <w:vAlign w:val="bottom"/>
            <w:tcBorders>
              <w:top w:val="single" w:sz="8" w:color="CCEEFF"/>
              <w:bottom w:val="single" w:sz="8" w:color="auto"/>
            </w:tcBorders>
            <w:shd w:val="clear" w:color="auto" w:fill="CCEEFF"/>
          </w:tcPr>
          <w:p>
            <w:pPr>
              <w:spacing w:after="0"/>
              <w:rPr>
                <w:sz w:val="19"/>
                <w:szCs w:val="19"/>
                <w:color w:val="auto"/>
              </w:rPr>
            </w:pPr>
          </w:p>
        </w:tc>
        <w:tc>
          <w:tcPr>
            <w:tcW w:w="2300" w:type="dxa"/>
            <w:vAlign w:val="bottom"/>
            <w:tcBorders>
              <w:top w:val="single" w:sz="8" w:color="CCEEFF"/>
              <w:bottom w:val="single" w:sz="8" w:color="auto"/>
            </w:tcBorders>
            <w:shd w:val="clear" w:color="auto" w:fill="CCEEFF"/>
          </w:tcPr>
          <w:p>
            <w:pPr>
              <w:spacing w:after="0"/>
              <w:rPr>
                <w:sz w:val="19"/>
                <w:szCs w:val="19"/>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10(m)</w:t>
            </w:r>
          </w:p>
        </w:tc>
        <w:tc>
          <w:tcPr>
            <w:tcW w:w="3760" w:type="dxa"/>
            <w:vAlign w:val="bottom"/>
            <w:tcBorders>
              <w:right w:val="single" w:sz="8" w:color="auto"/>
            </w:tcBorders>
            <w:gridSpan w:val="14"/>
          </w:tcPr>
          <w:p>
            <w:pPr>
              <w:spacing w:after="0" w:line="169" w:lineRule="exact"/>
              <w:rPr>
                <w:rFonts w:ascii="Arial" w:cs="Arial" w:eastAsia="Arial" w:hAnsi="Arial"/>
                <w:sz w:val="16"/>
                <w:szCs w:val="16"/>
                <w:color w:val="0000EE"/>
                <w:w w:val="93"/>
              </w:rPr>
            </w:pPr>
            <w:hyperlink r:id="rId100">
              <w:r>
                <w:rPr>
                  <w:rFonts w:ascii="Arial" w:cs="Arial" w:eastAsia="Arial" w:hAnsi="Arial"/>
                  <w:sz w:val="16"/>
                  <w:szCs w:val="16"/>
                  <w:color w:val="0000EE"/>
                  <w:w w:val="93"/>
                </w:rPr>
                <w:t>Texas Instruments 2009 Director Compensation Plan as</w:t>
              </w:r>
            </w:hyperlink>
          </w:p>
        </w:tc>
        <w:tc>
          <w:tcPr>
            <w:tcW w:w="720" w:type="dxa"/>
            <w:vAlign w:val="bottom"/>
          </w:tcPr>
          <w:p>
            <w:pPr>
              <w:ind w:left="40"/>
              <w:spacing w:after="0" w:line="169" w:lineRule="exact"/>
              <w:rPr>
                <w:sz w:val="20"/>
                <w:szCs w:val="20"/>
                <w:color w:val="auto"/>
              </w:rPr>
            </w:pPr>
            <w:r>
              <w:rPr>
                <w:rFonts w:ascii="Arial" w:cs="Arial" w:eastAsia="Arial" w:hAnsi="Arial"/>
                <w:sz w:val="16"/>
                <w:szCs w:val="16"/>
                <w:color w:val="auto"/>
              </w:rPr>
              <w:t>10-K</w:t>
            </w:r>
          </w:p>
        </w:tc>
        <w:tc>
          <w:tcPr>
            <w:tcW w:w="1000" w:type="dxa"/>
            <w:vAlign w:val="bottom"/>
          </w:tcPr>
          <w:p>
            <w:pPr>
              <w:ind w:left="6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Pr>
          <w:p>
            <w:pPr>
              <w:ind w:left="560"/>
              <w:spacing w:after="0" w:line="169" w:lineRule="exact"/>
              <w:rPr>
                <w:sz w:val="20"/>
                <w:szCs w:val="20"/>
                <w:color w:val="auto"/>
              </w:rPr>
            </w:pPr>
            <w:r>
              <w:rPr>
                <w:rFonts w:ascii="Arial" w:cs="Arial" w:eastAsia="Arial" w:hAnsi="Arial"/>
                <w:sz w:val="16"/>
                <w:szCs w:val="16"/>
                <w:color w:val="auto"/>
              </w:rPr>
              <w:t>February 23, 2017</w:t>
            </w:r>
          </w:p>
        </w:tc>
        <w:tc>
          <w:tcPr>
            <w:tcW w:w="1440" w:type="dxa"/>
            <w:vAlign w:val="bottom"/>
            <w:tcBorders>
              <w:right w:val="single" w:sz="8" w:color="auto"/>
            </w:tcBorders>
          </w:tcPr>
          <w:p>
            <w:pPr>
              <w:ind w:left="400"/>
              <w:spacing w:after="0" w:line="169" w:lineRule="exact"/>
              <w:rPr>
                <w:sz w:val="20"/>
                <w:szCs w:val="20"/>
                <w:color w:val="auto"/>
              </w:rPr>
            </w:pPr>
            <w:r>
              <w:rPr>
                <w:rFonts w:ascii="Arial" w:cs="Arial" w:eastAsia="Arial" w:hAnsi="Arial"/>
                <w:sz w:val="16"/>
                <w:szCs w:val="16"/>
                <w:color w:val="auto"/>
              </w:rPr>
              <w:t>10(n)</w:t>
            </w:r>
          </w:p>
        </w:tc>
        <w:tc>
          <w:tcPr>
            <w:tcW w:w="1000" w:type="dxa"/>
            <w:vAlign w:val="bottom"/>
            <w:tcBorders>
              <w:right w:val="single" w:sz="8" w:color="auto"/>
            </w:tcBorders>
          </w:tcPr>
          <w:p>
            <w:pPr>
              <w:spacing w:after="0"/>
              <w:rPr>
                <w:sz w:val="14"/>
                <w:szCs w:val="14"/>
                <w:color w:val="auto"/>
              </w:rPr>
            </w:pPr>
          </w:p>
        </w:tc>
      </w:tr>
      <w:tr>
        <w:trPr>
          <w:trHeight w:val="183"/>
        </w:trPr>
        <w:tc>
          <w:tcPr>
            <w:tcW w:w="1200" w:type="dxa"/>
            <w:vAlign w:val="bottom"/>
            <w:tcBorders>
              <w:left w:val="single" w:sz="8" w:color="auto"/>
              <w:right w:val="single" w:sz="8" w:color="auto"/>
            </w:tcBorders>
          </w:tcPr>
          <w:p>
            <w:pPr>
              <w:spacing w:after="0"/>
              <w:rPr>
                <w:sz w:val="15"/>
                <w:szCs w:val="15"/>
                <w:color w:val="auto"/>
              </w:rPr>
            </w:pPr>
          </w:p>
        </w:tc>
        <w:tc>
          <w:tcPr>
            <w:tcW w:w="3600" w:type="dxa"/>
            <w:vAlign w:val="bottom"/>
            <w:tcBorders>
              <w:top w:val="single" w:sz="8" w:color="0000EE"/>
            </w:tcBorders>
            <w:gridSpan w:val="13"/>
          </w:tcPr>
          <w:p>
            <w:pPr>
              <w:spacing w:after="0" w:line="183" w:lineRule="exact"/>
              <w:rPr>
                <w:rFonts w:ascii="Arial" w:cs="Arial" w:eastAsia="Arial" w:hAnsi="Arial"/>
                <w:sz w:val="16"/>
                <w:szCs w:val="16"/>
                <w:color w:val="0000EE"/>
              </w:rPr>
            </w:pPr>
            <w:hyperlink r:id="rId100">
              <w:r>
                <w:rPr>
                  <w:rFonts w:ascii="Arial" w:cs="Arial" w:eastAsia="Arial" w:hAnsi="Arial"/>
                  <w:sz w:val="16"/>
                  <w:szCs w:val="16"/>
                  <w:color w:val="0000EE"/>
                </w:rPr>
                <w:t>amended January 19, 2012</w:t>
              </w:r>
            </w:hyperlink>
          </w:p>
        </w:tc>
        <w:tc>
          <w:tcPr>
            <w:tcW w:w="16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10(n)</w:t>
            </w:r>
          </w:p>
        </w:tc>
        <w:tc>
          <w:tcPr>
            <w:tcW w:w="3760" w:type="dxa"/>
            <w:vAlign w:val="bottom"/>
            <w:tcBorders>
              <w:bottom w:val="single" w:sz="8" w:color="auto"/>
              <w:right w:val="single" w:sz="8" w:color="auto"/>
            </w:tcBorders>
            <w:gridSpan w:val="14"/>
            <w:shd w:val="clear" w:color="auto" w:fill="CCEEFF"/>
          </w:tcPr>
          <w:p>
            <w:pPr>
              <w:spacing w:after="0" w:line="169" w:lineRule="exact"/>
              <w:rPr>
                <w:rFonts w:ascii="Arial" w:cs="Arial" w:eastAsia="Arial" w:hAnsi="Arial"/>
                <w:sz w:val="16"/>
                <w:szCs w:val="16"/>
                <w:color w:val="0000EE"/>
                <w:w w:val="98"/>
              </w:rPr>
            </w:pPr>
            <w:hyperlink r:id="rId101">
              <w:r>
                <w:rPr>
                  <w:rFonts w:ascii="Arial" w:cs="Arial" w:eastAsia="Arial" w:hAnsi="Arial"/>
                  <w:sz w:val="16"/>
                  <w:szCs w:val="16"/>
                  <w:color w:val="0000EE"/>
                  <w:w w:val="98"/>
                </w:rPr>
                <w:t>Texas Instruments 2018 Director Compensation Plan</w:t>
              </w:r>
            </w:hyperlink>
          </w:p>
        </w:tc>
        <w:tc>
          <w:tcPr>
            <w:tcW w:w="720" w:type="dxa"/>
            <w:vAlign w:val="bottom"/>
            <w:tcBorders>
              <w:bottom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10-Q</w:t>
            </w:r>
          </w:p>
        </w:tc>
        <w:tc>
          <w:tcPr>
            <w:tcW w:w="1000" w:type="dxa"/>
            <w:vAlign w:val="bottom"/>
            <w:tcBorders>
              <w:bottom w:val="single" w:sz="8" w:color="auto"/>
            </w:tcBorders>
            <w:shd w:val="clear" w:color="auto" w:fill="CCEEFF"/>
          </w:tcPr>
          <w:p>
            <w:pPr>
              <w:ind w:left="60"/>
              <w:spacing w:after="0" w:line="169" w:lineRule="exact"/>
              <w:rPr>
                <w:sz w:val="20"/>
                <w:szCs w:val="20"/>
                <w:color w:val="auto"/>
              </w:rPr>
            </w:pPr>
            <w:r>
              <w:rPr>
                <w:rFonts w:ascii="Arial" w:cs="Arial" w:eastAsia="Arial" w:hAnsi="Arial"/>
                <w:sz w:val="16"/>
                <w:szCs w:val="16"/>
                <w:color w:val="auto"/>
              </w:rPr>
              <w:t>001-3761</w:t>
            </w:r>
          </w:p>
        </w:tc>
        <w:tc>
          <w:tcPr>
            <w:tcW w:w="2300" w:type="dxa"/>
            <w:vAlign w:val="bottom"/>
            <w:tcBorders>
              <w:bottom w:val="single" w:sz="8" w:color="auto"/>
            </w:tcBorders>
            <w:shd w:val="clear" w:color="auto" w:fill="CCEEFF"/>
          </w:tcPr>
          <w:p>
            <w:pPr>
              <w:ind w:left="560"/>
              <w:spacing w:after="0" w:line="169" w:lineRule="exact"/>
              <w:rPr>
                <w:sz w:val="20"/>
                <w:szCs w:val="20"/>
                <w:color w:val="auto"/>
              </w:rPr>
            </w:pPr>
            <w:r>
              <w:rPr>
                <w:rFonts w:ascii="Arial" w:cs="Arial" w:eastAsia="Arial" w:hAnsi="Arial"/>
                <w:sz w:val="16"/>
                <w:szCs w:val="16"/>
                <w:color w:val="auto"/>
              </w:rPr>
              <w:t>August 2, 2018</w:t>
            </w:r>
          </w:p>
        </w:tc>
        <w:tc>
          <w:tcPr>
            <w:tcW w:w="1440" w:type="dxa"/>
            <w:vAlign w:val="bottom"/>
            <w:tcBorders>
              <w:bottom w:val="single" w:sz="8" w:color="auto"/>
              <w:right w:val="single" w:sz="8" w:color="auto"/>
            </w:tcBorders>
            <w:shd w:val="clear" w:color="auto" w:fill="CCEEFF"/>
          </w:tcPr>
          <w:p>
            <w:pPr>
              <w:ind w:left="400"/>
              <w:spacing w:after="0" w:line="169" w:lineRule="exact"/>
              <w:rPr>
                <w:sz w:val="20"/>
                <w:szCs w:val="20"/>
                <w:color w:val="auto"/>
              </w:rPr>
            </w:pPr>
            <w:r>
              <w:rPr>
                <w:rFonts w:ascii="Arial" w:cs="Arial" w:eastAsia="Arial" w:hAnsi="Arial"/>
                <w:sz w:val="16"/>
                <w:szCs w:val="16"/>
                <w:color w:val="auto"/>
              </w:rPr>
              <w:t>10(a)</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21</w:t>
            </w:r>
          </w:p>
        </w:tc>
        <w:tc>
          <w:tcPr>
            <w:tcW w:w="3760" w:type="dxa"/>
            <w:vAlign w:val="bottom"/>
            <w:tcBorders>
              <w:right w:val="single" w:sz="8" w:color="auto"/>
            </w:tcBorders>
            <w:gridSpan w:val="14"/>
          </w:tcPr>
          <w:p>
            <w:pPr>
              <w:spacing w:after="0" w:line="169" w:lineRule="exact"/>
              <w:rPr>
                <w:rFonts w:ascii="Arial" w:cs="Arial" w:eastAsia="Arial" w:hAnsi="Arial"/>
                <w:sz w:val="16"/>
                <w:szCs w:val="16"/>
                <w:color w:val="0000EE"/>
              </w:rPr>
            </w:pPr>
            <w:hyperlink w:anchor="page67">
              <w:r>
                <w:rPr>
                  <w:rFonts w:ascii="Arial" w:cs="Arial" w:eastAsia="Arial" w:hAnsi="Arial"/>
                  <w:sz w:val="16"/>
                  <w:szCs w:val="16"/>
                  <w:color w:val="0000EE"/>
                </w:rPr>
                <w:t>List of Subsidiaries of the Registrant</w:t>
              </w:r>
            </w:hyperlink>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X</w:t>
            </w: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23</w:t>
            </w:r>
          </w:p>
        </w:tc>
        <w:tc>
          <w:tcPr>
            <w:tcW w:w="3760" w:type="dxa"/>
            <w:vAlign w:val="bottom"/>
            <w:tcBorders>
              <w:right w:val="single" w:sz="8" w:color="auto"/>
            </w:tcBorders>
            <w:gridSpan w:val="14"/>
            <w:shd w:val="clear" w:color="auto" w:fill="CCEEFF"/>
          </w:tcPr>
          <w:p>
            <w:pPr>
              <w:spacing w:after="0" w:line="169" w:lineRule="exact"/>
              <w:rPr>
                <w:rFonts w:ascii="Arial" w:cs="Arial" w:eastAsia="Arial" w:hAnsi="Arial"/>
                <w:sz w:val="16"/>
                <w:szCs w:val="16"/>
                <w:color w:val="0000EE"/>
                <w:w w:val="96"/>
              </w:rPr>
            </w:pPr>
            <w:hyperlink w:anchor="page69">
              <w:r>
                <w:rPr>
                  <w:rFonts w:ascii="Arial" w:cs="Arial" w:eastAsia="Arial" w:hAnsi="Arial"/>
                  <w:sz w:val="16"/>
                  <w:szCs w:val="16"/>
                  <w:color w:val="0000EE"/>
                  <w:w w:val="96"/>
                </w:rPr>
                <w:t>Consent of Independent Registered Public Accounting</w:t>
              </w:r>
            </w:hyperlink>
          </w:p>
        </w:tc>
        <w:tc>
          <w:tcPr>
            <w:tcW w:w="7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440" w:type="dxa"/>
            <w:vAlign w:val="bottom"/>
            <w:tcBorders>
              <w:right w:val="single" w:sz="8" w:color="auto"/>
            </w:tcBorders>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r>
      <w:tr>
        <w:trPr>
          <w:trHeight w:val="223"/>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3520" w:type="dxa"/>
            <w:vAlign w:val="bottom"/>
            <w:tcBorders>
              <w:top w:val="single" w:sz="8" w:color="0000EE"/>
              <w:bottom w:val="single" w:sz="8" w:color="auto"/>
            </w:tcBorders>
            <w:gridSpan w:val="12"/>
            <w:shd w:val="clear" w:color="auto" w:fill="CCEEFF"/>
          </w:tcPr>
          <w:p>
            <w:pPr>
              <w:spacing w:after="0" w:line="183" w:lineRule="exact"/>
              <w:rPr>
                <w:rFonts w:ascii="Arial" w:cs="Arial" w:eastAsia="Arial" w:hAnsi="Arial"/>
                <w:sz w:val="16"/>
                <w:szCs w:val="16"/>
                <w:color w:val="0000EE"/>
              </w:rPr>
            </w:pPr>
            <w:hyperlink w:anchor="page69">
              <w:r>
                <w:rPr>
                  <w:rFonts w:ascii="Arial" w:cs="Arial" w:eastAsia="Arial" w:hAnsi="Arial"/>
                  <w:sz w:val="16"/>
                  <w:szCs w:val="16"/>
                  <w:color w:val="0000EE"/>
                </w:rPr>
                <w:t>Firm</w:t>
              </w:r>
            </w:hyperlink>
          </w:p>
        </w:tc>
        <w:tc>
          <w:tcPr>
            <w:tcW w:w="240" w:type="dxa"/>
            <w:vAlign w:val="bottom"/>
            <w:tcBorders>
              <w:top w:val="single" w:sz="8" w:color="CCEEFF"/>
              <w:bottom w:val="single" w:sz="8" w:color="auto"/>
              <w:right w:val="single" w:sz="8" w:color="auto"/>
            </w:tcBorders>
            <w:gridSpan w:val="2"/>
            <w:shd w:val="clear" w:color="auto" w:fill="CCEEFF"/>
          </w:tcPr>
          <w:p>
            <w:pPr>
              <w:spacing w:after="0"/>
              <w:rPr>
                <w:sz w:val="19"/>
                <w:szCs w:val="19"/>
                <w:color w:val="auto"/>
              </w:rPr>
            </w:pPr>
          </w:p>
        </w:tc>
        <w:tc>
          <w:tcPr>
            <w:tcW w:w="720" w:type="dxa"/>
            <w:vAlign w:val="bottom"/>
            <w:tcBorders>
              <w:top w:val="single" w:sz="8" w:color="CCEEFF"/>
              <w:bottom w:val="single" w:sz="8" w:color="auto"/>
            </w:tcBorders>
            <w:shd w:val="clear" w:color="auto" w:fill="CCEEFF"/>
          </w:tcPr>
          <w:p>
            <w:pPr>
              <w:spacing w:after="0"/>
              <w:rPr>
                <w:sz w:val="19"/>
                <w:szCs w:val="19"/>
                <w:color w:val="auto"/>
              </w:rPr>
            </w:pPr>
          </w:p>
        </w:tc>
        <w:tc>
          <w:tcPr>
            <w:tcW w:w="1000" w:type="dxa"/>
            <w:vAlign w:val="bottom"/>
            <w:tcBorders>
              <w:top w:val="single" w:sz="8" w:color="CCEEFF"/>
              <w:bottom w:val="single" w:sz="8" w:color="auto"/>
            </w:tcBorders>
            <w:shd w:val="clear" w:color="auto" w:fill="CCEEFF"/>
          </w:tcPr>
          <w:p>
            <w:pPr>
              <w:spacing w:after="0"/>
              <w:rPr>
                <w:sz w:val="19"/>
                <w:szCs w:val="19"/>
                <w:color w:val="auto"/>
              </w:rPr>
            </w:pPr>
          </w:p>
        </w:tc>
        <w:tc>
          <w:tcPr>
            <w:tcW w:w="2300" w:type="dxa"/>
            <w:vAlign w:val="bottom"/>
            <w:tcBorders>
              <w:top w:val="single" w:sz="8" w:color="CCEEFF"/>
              <w:bottom w:val="single" w:sz="8" w:color="auto"/>
            </w:tcBorders>
            <w:shd w:val="clear" w:color="auto" w:fill="CCEEFF"/>
          </w:tcPr>
          <w:p>
            <w:pPr>
              <w:spacing w:after="0"/>
              <w:rPr>
                <w:sz w:val="19"/>
                <w:szCs w:val="19"/>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000" w:type="dxa"/>
            <w:vAlign w:val="bottom"/>
            <w:tcBorders>
              <w:top w:val="single" w:sz="8" w:color="CCEEFF"/>
              <w:bottom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X</w:t>
            </w: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31(a)</w:t>
            </w:r>
          </w:p>
        </w:tc>
        <w:tc>
          <w:tcPr>
            <w:tcW w:w="3760" w:type="dxa"/>
            <w:vAlign w:val="bottom"/>
            <w:tcBorders>
              <w:right w:val="single" w:sz="8" w:color="auto"/>
            </w:tcBorders>
            <w:gridSpan w:val="14"/>
          </w:tcPr>
          <w:p>
            <w:pPr>
              <w:spacing w:after="0" w:line="169" w:lineRule="exact"/>
              <w:rPr>
                <w:rFonts w:ascii="Arial" w:cs="Arial" w:eastAsia="Arial" w:hAnsi="Arial"/>
                <w:sz w:val="16"/>
                <w:szCs w:val="16"/>
                <w:color w:val="0000EE"/>
              </w:rPr>
            </w:pPr>
            <w:hyperlink w:anchor="page70">
              <w:r>
                <w:rPr>
                  <w:rFonts w:ascii="Arial" w:cs="Arial" w:eastAsia="Arial" w:hAnsi="Arial"/>
                  <w:sz w:val="16"/>
                  <w:szCs w:val="16"/>
                  <w:color w:val="0000EE"/>
                </w:rPr>
                <w:t>Rule 13a-14(a)/15(d)-14(a) Certification of Chief</w:t>
              </w:r>
            </w:hyperlink>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83"/>
        </w:trPr>
        <w:tc>
          <w:tcPr>
            <w:tcW w:w="1200" w:type="dxa"/>
            <w:vAlign w:val="bottom"/>
            <w:tcBorders>
              <w:left w:val="single" w:sz="8" w:color="auto"/>
              <w:right w:val="single" w:sz="8" w:color="auto"/>
            </w:tcBorders>
          </w:tcPr>
          <w:p>
            <w:pPr>
              <w:spacing w:after="0"/>
              <w:rPr>
                <w:sz w:val="15"/>
                <w:szCs w:val="15"/>
                <w:color w:val="auto"/>
              </w:rPr>
            </w:pPr>
          </w:p>
        </w:tc>
        <w:tc>
          <w:tcPr>
            <w:tcW w:w="320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w:anchor="page70">
              <w:r>
                <w:rPr>
                  <w:rFonts w:ascii="Arial" w:cs="Arial" w:eastAsia="Arial" w:hAnsi="Arial"/>
                  <w:sz w:val="16"/>
                  <w:szCs w:val="16"/>
                  <w:color w:val="0000EE"/>
                </w:rPr>
                <w:t>Executive Officer</w:t>
              </w:r>
            </w:hyperlink>
          </w:p>
        </w:tc>
        <w:tc>
          <w:tcPr>
            <w:tcW w:w="560" w:type="dxa"/>
            <w:vAlign w:val="bottom"/>
            <w:tcBorders>
              <w:right w:val="single" w:sz="8" w:color="auto"/>
            </w:tcBorders>
            <w:gridSpan w:val="7"/>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X</w:t>
            </w: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31(b)</w:t>
            </w:r>
          </w:p>
        </w:tc>
        <w:tc>
          <w:tcPr>
            <w:tcW w:w="3760" w:type="dxa"/>
            <w:vAlign w:val="bottom"/>
            <w:tcBorders>
              <w:right w:val="single" w:sz="8" w:color="auto"/>
            </w:tcBorders>
            <w:gridSpan w:val="14"/>
            <w:shd w:val="clear" w:color="auto" w:fill="CCEEFF"/>
          </w:tcPr>
          <w:p>
            <w:pPr>
              <w:spacing w:after="0" w:line="169" w:lineRule="exact"/>
              <w:rPr>
                <w:rFonts w:ascii="Arial" w:cs="Arial" w:eastAsia="Arial" w:hAnsi="Arial"/>
                <w:sz w:val="16"/>
                <w:szCs w:val="16"/>
                <w:color w:val="0000EE"/>
              </w:rPr>
            </w:pPr>
            <w:hyperlink w:anchor="page71">
              <w:r>
                <w:rPr>
                  <w:rFonts w:ascii="Arial" w:cs="Arial" w:eastAsia="Arial" w:hAnsi="Arial"/>
                  <w:sz w:val="16"/>
                  <w:szCs w:val="16"/>
                  <w:color w:val="0000EE"/>
                </w:rPr>
                <w:t>Rule 13a-14(a)/15(d)-14(a) Certification of Chief</w:t>
              </w:r>
            </w:hyperlink>
          </w:p>
        </w:tc>
        <w:tc>
          <w:tcPr>
            <w:tcW w:w="7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440" w:type="dxa"/>
            <w:vAlign w:val="bottom"/>
            <w:tcBorders>
              <w:right w:val="single" w:sz="8" w:color="auto"/>
            </w:tcBorders>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r>
      <w:tr>
        <w:trPr>
          <w:trHeight w:val="223"/>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3200" w:type="dxa"/>
            <w:vAlign w:val="bottom"/>
            <w:tcBorders>
              <w:top w:val="single" w:sz="8" w:color="0000EE"/>
              <w:bottom w:val="single" w:sz="8" w:color="auto"/>
            </w:tcBorders>
            <w:gridSpan w:val="7"/>
            <w:shd w:val="clear" w:color="auto" w:fill="CCEEFF"/>
          </w:tcPr>
          <w:p>
            <w:pPr>
              <w:spacing w:after="0" w:line="183" w:lineRule="exact"/>
              <w:rPr>
                <w:rFonts w:ascii="Arial" w:cs="Arial" w:eastAsia="Arial" w:hAnsi="Arial"/>
                <w:sz w:val="16"/>
                <w:szCs w:val="16"/>
                <w:color w:val="0000EE"/>
              </w:rPr>
            </w:pPr>
            <w:hyperlink w:anchor="page71">
              <w:r>
                <w:rPr>
                  <w:rFonts w:ascii="Arial" w:cs="Arial" w:eastAsia="Arial" w:hAnsi="Arial"/>
                  <w:sz w:val="16"/>
                  <w:szCs w:val="16"/>
                  <w:color w:val="0000EE"/>
                </w:rPr>
                <w:t>Financial Officer</w:t>
              </w:r>
            </w:hyperlink>
          </w:p>
        </w:tc>
        <w:tc>
          <w:tcPr>
            <w:tcW w:w="560" w:type="dxa"/>
            <w:vAlign w:val="bottom"/>
            <w:tcBorders>
              <w:top w:val="single" w:sz="8" w:color="CCEEFF"/>
              <w:bottom w:val="single" w:sz="8" w:color="auto"/>
              <w:right w:val="single" w:sz="8" w:color="auto"/>
            </w:tcBorders>
            <w:gridSpan w:val="7"/>
            <w:shd w:val="clear" w:color="auto" w:fill="CCEEFF"/>
          </w:tcPr>
          <w:p>
            <w:pPr>
              <w:spacing w:after="0"/>
              <w:rPr>
                <w:sz w:val="19"/>
                <w:szCs w:val="19"/>
                <w:color w:val="auto"/>
              </w:rPr>
            </w:pPr>
          </w:p>
        </w:tc>
        <w:tc>
          <w:tcPr>
            <w:tcW w:w="720" w:type="dxa"/>
            <w:vAlign w:val="bottom"/>
            <w:tcBorders>
              <w:top w:val="single" w:sz="8" w:color="CCEEFF"/>
              <w:bottom w:val="single" w:sz="8" w:color="auto"/>
            </w:tcBorders>
            <w:shd w:val="clear" w:color="auto" w:fill="CCEEFF"/>
          </w:tcPr>
          <w:p>
            <w:pPr>
              <w:spacing w:after="0"/>
              <w:rPr>
                <w:sz w:val="19"/>
                <w:szCs w:val="19"/>
                <w:color w:val="auto"/>
              </w:rPr>
            </w:pPr>
          </w:p>
        </w:tc>
        <w:tc>
          <w:tcPr>
            <w:tcW w:w="1000" w:type="dxa"/>
            <w:vAlign w:val="bottom"/>
            <w:tcBorders>
              <w:top w:val="single" w:sz="8" w:color="CCEEFF"/>
              <w:bottom w:val="single" w:sz="8" w:color="auto"/>
            </w:tcBorders>
            <w:shd w:val="clear" w:color="auto" w:fill="CCEEFF"/>
          </w:tcPr>
          <w:p>
            <w:pPr>
              <w:spacing w:after="0"/>
              <w:rPr>
                <w:sz w:val="19"/>
                <w:szCs w:val="19"/>
                <w:color w:val="auto"/>
              </w:rPr>
            </w:pPr>
          </w:p>
        </w:tc>
        <w:tc>
          <w:tcPr>
            <w:tcW w:w="2300" w:type="dxa"/>
            <w:vAlign w:val="bottom"/>
            <w:tcBorders>
              <w:top w:val="single" w:sz="8" w:color="CCEEFF"/>
              <w:bottom w:val="single" w:sz="8" w:color="auto"/>
            </w:tcBorders>
            <w:shd w:val="clear" w:color="auto" w:fill="CCEEFF"/>
          </w:tcPr>
          <w:p>
            <w:pPr>
              <w:spacing w:after="0"/>
              <w:rPr>
                <w:sz w:val="19"/>
                <w:szCs w:val="19"/>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000" w:type="dxa"/>
            <w:vAlign w:val="bottom"/>
            <w:tcBorders>
              <w:top w:val="single" w:sz="8" w:color="CCEEFF"/>
              <w:bottom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X</w:t>
            </w:r>
          </w:p>
        </w:tc>
      </w:tr>
      <w:tr>
        <w:trPr>
          <w:trHeight w:val="169"/>
        </w:trPr>
        <w:tc>
          <w:tcPr>
            <w:tcW w:w="1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32(a)</w:t>
            </w:r>
          </w:p>
        </w:tc>
        <w:tc>
          <w:tcPr>
            <w:tcW w:w="3760" w:type="dxa"/>
            <w:vAlign w:val="bottom"/>
            <w:tcBorders>
              <w:right w:val="single" w:sz="8" w:color="auto"/>
            </w:tcBorders>
            <w:gridSpan w:val="14"/>
          </w:tcPr>
          <w:p>
            <w:pPr>
              <w:spacing w:after="0" w:line="169" w:lineRule="exact"/>
              <w:rPr>
                <w:rFonts w:ascii="Arial" w:cs="Arial" w:eastAsia="Arial" w:hAnsi="Arial"/>
                <w:sz w:val="16"/>
                <w:szCs w:val="16"/>
                <w:color w:val="0000EE"/>
              </w:rPr>
            </w:pPr>
            <w:hyperlink w:anchor="page72">
              <w:r>
                <w:rPr>
                  <w:rFonts w:ascii="Arial" w:cs="Arial" w:eastAsia="Arial" w:hAnsi="Arial"/>
                  <w:sz w:val="16"/>
                  <w:szCs w:val="16"/>
                  <w:color w:val="0000EE"/>
                </w:rPr>
                <w:t>Section 1350 Certification of Chief Executive Officer</w:t>
              </w:r>
            </w:hyperlink>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X</w:t>
            </w: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32(b)</w:t>
            </w:r>
          </w:p>
        </w:tc>
        <w:tc>
          <w:tcPr>
            <w:tcW w:w="3760" w:type="dxa"/>
            <w:vAlign w:val="bottom"/>
            <w:tcBorders>
              <w:bottom w:val="single" w:sz="8" w:color="auto"/>
              <w:right w:val="single" w:sz="8" w:color="auto"/>
            </w:tcBorders>
            <w:gridSpan w:val="14"/>
            <w:shd w:val="clear" w:color="auto" w:fill="CCEEFF"/>
          </w:tcPr>
          <w:p>
            <w:pPr>
              <w:spacing w:after="0" w:line="169" w:lineRule="exact"/>
              <w:rPr>
                <w:rFonts w:ascii="Arial" w:cs="Arial" w:eastAsia="Arial" w:hAnsi="Arial"/>
                <w:sz w:val="16"/>
                <w:szCs w:val="16"/>
                <w:color w:val="0000EE"/>
              </w:rPr>
            </w:pPr>
            <w:hyperlink w:anchor="page73">
              <w:r>
                <w:rPr>
                  <w:rFonts w:ascii="Arial" w:cs="Arial" w:eastAsia="Arial" w:hAnsi="Arial"/>
                  <w:sz w:val="16"/>
                  <w:szCs w:val="16"/>
                  <w:color w:val="0000EE"/>
                </w:rPr>
                <w:t>Section 1350 Certification of Chief Financial Officer</w:t>
              </w:r>
            </w:hyperlink>
          </w:p>
        </w:tc>
        <w:tc>
          <w:tcPr>
            <w:tcW w:w="7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center"/>
              <w:spacing w:after="0" w:line="169" w:lineRule="exact"/>
              <w:rPr>
                <w:sz w:val="20"/>
                <w:szCs w:val="20"/>
                <w:color w:val="auto"/>
              </w:rPr>
            </w:pPr>
            <w:r>
              <w:rPr>
                <w:rFonts w:ascii="Arial" w:cs="Arial" w:eastAsia="Arial" w:hAnsi="Arial"/>
                <w:sz w:val="16"/>
                <w:szCs w:val="16"/>
                <w:color w:val="auto"/>
              </w:rPr>
              <w:t>X</w:t>
            </w:r>
          </w:p>
        </w:tc>
      </w:tr>
      <w:tr>
        <w:trPr>
          <w:trHeight w:val="207"/>
        </w:trPr>
        <w:tc>
          <w:tcPr>
            <w:tcW w:w="1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101.ins</w:t>
            </w:r>
          </w:p>
        </w:tc>
        <w:tc>
          <w:tcPr>
            <w:tcW w:w="37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Instance Document</w:t>
            </w:r>
          </w:p>
        </w:tc>
        <w:tc>
          <w:tcPr>
            <w:tcW w:w="7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101.sch</w:t>
            </w:r>
          </w:p>
        </w:tc>
        <w:tc>
          <w:tcPr>
            <w:tcW w:w="3760" w:type="dxa"/>
            <w:vAlign w:val="bottom"/>
            <w:tcBorders>
              <w:bottom w:val="single" w:sz="8" w:color="auto"/>
              <w:right w:val="single" w:sz="8" w:color="auto"/>
            </w:tcBorders>
            <w:gridSpan w:val="14"/>
            <w:shd w:val="clear" w:color="auto" w:fill="CCEEFF"/>
          </w:tcPr>
          <w:p>
            <w:pPr>
              <w:spacing w:after="0"/>
              <w:rPr>
                <w:sz w:val="20"/>
                <w:szCs w:val="20"/>
                <w:color w:val="auto"/>
              </w:rPr>
            </w:pPr>
            <w:r>
              <w:rPr>
                <w:rFonts w:ascii="Arial" w:cs="Arial" w:eastAsia="Arial" w:hAnsi="Arial"/>
                <w:sz w:val="16"/>
                <w:szCs w:val="16"/>
                <w:color w:val="auto"/>
              </w:rPr>
              <w:t>XBRL Taxonomy Schema</w:t>
            </w:r>
          </w:p>
        </w:tc>
        <w:tc>
          <w:tcPr>
            <w:tcW w:w="7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10"/>
        </w:trPr>
        <w:tc>
          <w:tcPr>
            <w:tcW w:w="1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101.cal</w:t>
            </w:r>
          </w:p>
        </w:tc>
        <w:tc>
          <w:tcPr>
            <w:tcW w:w="37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Calculation Linkbase</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101.Def</w:t>
            </w:r>
          </w:p>
        </w:tc>
        <w:tc>
          <w:tcPr>
            <w:tcW w:w="3760" w:type="dxa"/>
            <w:vAlign w:val="bottom"/>
            <w:tcBorders>
              <w:bottom w:val="single" w:sz="8" w:color="auto"/>
              <w:right w:val="single" w:sz="8" w:color="auto"/>
            </w:tcBorders>
            <w:gridSpan w:val="14"/>
            <w:shd w:val="clear" w:color="auto" w:fill="CCEEFF"/>
          </w:tcPr>
          <w:p>
            <w:pPr>
              <w:spacing w:after="0"/>
              <w:rPr>
                <w:sz w:val="20"/>
                <w:szCs w:val="20"/>
                <w:color w:val="auto"/>
              </w:rPr>
            </w:pPr>
            <w:r>
              <w:rPr>
                <w:rFonts w:ascii="Arial" w:cs="Arial" w:eastAsia="Arial" w:hAnsi="Arial"/>
                <w:sz w:val="16"/>
                <w:szCs w:val="16"/>
                <w:color w:val="auto"/>
              </w:rPr>
              <w:t>XBRL Taxonomy Definitions Document</w:t>
            </w:r>
          </w:p>
        </w:tc>
        <w:tc>
          <w:tcPr>
            <w:tcW w:w="7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10"/>
        </w:trPr>
        <w:tc>
          <w:tcPr>
            <w:tcW w:w="1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101.lab</w:t>
            </w:r>
          </w:p>
        </w:tc>
        <w:tc>
          <w:tcPr>
            <w:tcW w:w="37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Labels Linkbase</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r>
      <w:tr>
        <w:trPr>
          <w:trHeight w:val="210"/>
        </w:trPr>
        <w:tc>
          <w:tcPr>
            <w:tcW w:w="12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101.pre</w:t>
            </w:r>
          </w:p>
        </w:tc>
        <w:tc>
          <w:tcPr>
            <w:tcW w:w="3760" w:type="dxa"/>
            <w:vAlign w:val="bottom"/>
            <w:tcBorders>
              <w:bottom w:val="single" w:sz="8" w:color="auto"/>
              <w:right w:val="single" w:sz="8" w:color="auto"/>
            </w:tcBorders>
            <w:gridSpan w:val="14"/>
            <w:shd w:val="clear" w:color="auto" w:fill="CCEEFF"/>
          </w:tcPr>
          <w:p>
            <w:pPr>
              <w:spacing w:after="0"/>
              <w:rPr>
                <w:sz w:val="20"/>
                <w:szCs w:val="20"/>
                <w:color w:val="auto"/>
              </w:rPr>
            </w:pPr>
            <w:r>
              <w:rPr>
                <w:rFonts w:ascii="Arial" w:cs="Arial" w:eastAsia="Arial" w:hAnsi="Arial"/>
                <w:sz w:val="16"/>
                <w:szCs w:val="16"/>
                <w:color w:val="auto"/>
              </w:rPr>
              <w:t>XBRL Taxonomy Presentation Linkbase</w:t>
            </w:r>
          </w:p>
        </w:tc>
        <w:tc>
          <w:tcPr>
            <w:tcW w:w="7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r>
    </w:tbl>
    <w:p>
      <w:pPr>
        <w:spacing w:after="0" w:line="94" w:lineRule="exact"/>
        <w:rPr>
          <w:sz w:val="20"/>
          <w:szCs w:val="20"/>
          <w:color w:val="auto"/>
        </w:rPr>
      </w:pPr>
    </w:p>
    <w:p>
      <w:pPr>
        <w:ind w:left="140" w:hanging="108"/>
        <w:spacing w:after="0"/>
        <w:tabs>
          <w:tab w:leader="none" w:pos="140" w:val="left"/>
        </w:tabs>
        <w:numPr>
          <w:ilvl w:val="0"/>
          <w:numId w:val="42"/>
        </w:numPr>
        <w:rPr>
          <w:rFonts w:ascii="Arial" w:cs="Arial" w:eastAsia="Arial" w:hAnsi="Arial"/>
          <w:sz w:val="15"/>
          <w:szCs w:val="15"/>
          <w:color w:val="auto"/>
        </w:rPr>
      </w:pPr>
      <w:r>
        <w:rPr>
          <w:rFonts w:ascii="Arial" w:cs="Arial" w:eastAsia="Arial" w:hAnsi="Arial"/>
          <w:sz w:val="18"/>
          <w:szCs w:val="18"/>
          <w:color w:val="auto"/>
        </w:rPr>
        <w:t>Management compensation plans and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62"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4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1040" w:right="240" w:hanging="519"/>
        <w:spacing w:after="0" w:line="264"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the loss of significant distributors;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40" w:lineRule="exact"/>
        <w:rPr>
          <w:rFonts w:ascii="Arial" w:cs="Arial" w:eastAsia="Arial" w:hAnsi="Arial"/>
          <w:sz w:val="16"/>
          <w:szCs w:val="16"/>
          <w:color w:val="auto"/>
        </w:rPr>
      </w:pPr>
    </w:p>
    <w:p>
      <w:pPr>
        <w:ind w:left="1040" w:right="240" w:hanging="519"/>
        <w:spacing w:after="0" w:line="30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38" w:lineRule="exact"/>
        <w:rPr>
          <w:rFonts w:ascii="Arial" w:cs="Arial" w:eastAsia="Arial" w:hAnsi="Arial"/>
          <w:sz w:val="17"/>
          <w:szCs w:val="17"/>
          <w:color w:val="auto"/>
        </w:rPr>
      </w:pPr>
    </w:p>
    <w:p>
      <w:pPr>
        <w:ind w:left="1040" w:right="3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3" w:name="page64"/>
    <w:bookmarkEnd w:id="63"/>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ability to recruit and retain skilled engineering, management and technical personnel, and effectively manage key employee succession;</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64" w:name="page65"/>
    <w:bookmarkEnd w:id="64"/>
    <w:p>
      <w:pPr>
        <w:jc w:val="center"/>
        <w:ind w:right="-3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ind w:left="528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Rafael R. Lizardi</w:t>
      </w:r>
    </w:p>
    <w:p>
      <w:pPr>
        <w:spacing w:after="0" w:line="2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Senior Vice President,</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and Chief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65" w:name="page66"/>
    <w:bookmarkEnd w:id="65"/>
    <w:p>
      <w:pPr>
        <w:ind w:right="20"/>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Richard K. Templeton, Rafael R. Lizardi,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2018,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the 22nd day of February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0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45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Ralph W. Babb, Jr.</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3"/>
              </w:rPr>
              <w:t>Ralph W. Babb, Jr.</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Mark A. Blinn</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7"/>
              </w:rPr>
              <w:t>Mark A. Blinn</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Todd M. Bluedorn</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Todd M. Bluedorn</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Daniel A. Carp</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4"/>
              </w:rPr>
              <w:t>Daniel A. Carp</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Janet F. Clark</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3"/>
              </w:rPr>
              <w:t>Janet F. Clark</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Carrie S. Cox</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3"/>
              </w:rPr>
              <w:t>Carrie S. Cox</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Martin S. Craighead</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4"/>
              </w:rPr>
              <w:t>Martin S. Craighead</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Jean M. Hobby</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Jean M. Hobby</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Ronald Kirk</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6"/>
              </w:rPr>
              <w:t>Ronald Kirk</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Pamela H. Patsley</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0"/>
              </w:rPr>
              <w:t>Pamela H. Patsley</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E. Sanchez</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Robert E. Sanchez</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K. Templeton</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K. Templeton</w:t>
            </w:r>
          </w:p>
        </w:tc>
        <w:tc>
          <w:tcPr>
            <w:tcW w:w="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Director, Chairman of the Board, President and Chief Executive Officer</w:t>
            </w:r>
          </w:p>
        </w:tc>
      </w:tr>
      <w:tr>
        <w:trPr>
          <w:trHeight w:val="45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Rafael R. Lizardi</w:t>
            </w:r>
          </w:p>
        </w:tc>
        <w:tc>
          <w:tcPr>
            <w:tcW w:w="5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5"/>
              </w:rPr>
              <w:t>Rafael R. Lizardi</w:t>
            </w:r>
          </w:p>
        </w:tc>
        <w:tc>
          <w:tcPr>
            <w:tcW w:w="5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Senior Vice President, Chief Financial Officer and Chief Accounting</w:t>
            </w:r>
          </w:p>
        </w:tc>
      </w:tr>
      <w:tr>
        <w:trPr>
          <w:trHeight w:val="230"/>
        </w:trPr>
        <w:tc>
          <w:tcPr>
            <w:tcW w:w="5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8"/>
              </w:rPr>
              <w:t>Officer</w:t>
            </w:r>
          </w:p>
        </w:tc>
      </w:tr>
      <w:tr>
        <w:trPr>
          <w:trHeight w:val="648"/>
        </w:trPr>
        <w:tc>
          <w:tcPr>
            <w:tcW w:w="5460" w:type="dxa"/>
            <w:vAlign w:val="bottom"/>
          </w:tcPr>
          <w:p>
            <w:pPr>
              <w:spacing w:after="0"/>
              <w:rPr>
                <w:sz w:val="24"/>
                <w:szCs w:val="24"/>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6" w:name="page67"/>
    <w:bookmarkEnd w:id="66"/>
    <w:p>
      <w:pPr>
        <w:ind w:left="10660"/>
        <w:spacing w:after="0"/>
        <w:rPr>
          <w:sz w:val="20"/>
          <w:szCs w:val="20"/>
          <w:color w:val="auto"/>
        </w:rPr>
      </w:pPr>
      <w:r>
        <w:rPr>
          <w:rFonts w:ascii="Arial" w:cs="Arial" w:eastAsia="Arial" w:hAnsi="Arial"/>
          <w:sz w:val="17"/>
          <w:szCs w:val="17"/>
          <w:u w:val="single" w:color="auto"/>
          <w:color w:val="auto"/>
        </w:rPr>
        <w:t>Exhibit 21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LIST OF SUBSIDIARIES OF THE 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The following are subsidiaries of the Registrant as of December 31, 2018.</w:t>
            </w: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45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Where Organized</w:t>
            </w:r>
          </w:p>
        </w:tc>
      </w:tr>
      <w:tr>
        <w:trPr>
          <w:trHeight w:val="222"/>
        </w:trPr>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ActSolar, Inc.</w:t>
            </w:r>
          </w:p>
        </w:tc>
        <w:tc>
          <w:tcPr>
            <w:tcW w:w="450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19"/>
                <w:szCs w:val="19"/>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28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Holding Sdn. Bhd.</w:t>
            </w:r>
          </w:p>
        </w:tc>
        <w:tc>
          <w:tcPr>
            <w:tcW w:w="2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28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Hong Kong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2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(Pte)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(Philippines) LLC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286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(U.K.) Holdings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(U.K.)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(U.K.) Pension Trust Company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Austin Incorporated</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Benelux B.V.</w:t>
            </w:r>
          </w:p>
        </w:tc>
        <w:tc>
          <w:tcPr>
            <w:tcW w:w="28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China Sales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China Trading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286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28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Denmark ApS</w:t>
            </w:r>
          </w:p>
        </w:tc>
        <w:tc>
          <w:tcPr>
            <w:tcW w:w="286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Education Technology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Electronics Malaysia Sdn. Bhd.</w:t>
            </w:r>
          </w:p>
        </w:tc>
        <w:tc>
          <w:tcPr>
            <w:tcW w:w="2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EMEA Sales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España, S.A. Unipersonal</w:t>
            </w:r>
          </w:p>
        </w:tc>
        <w:tc>
          <w:tcPr>
            <w:tcW w:w="28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Finland Oy</w:t>
            </w:r>
          </w:p>
        </w:tc>
        <w:tc>
          <w:tcPr>
            <w:tcW w:w="2860" w:type="dxa"/>
            <w:vAlign w:val="bottom"/>
            <w:gridSpan w:val="2"/>
          </w:tcPr>
          <w:p>
            <w:pPr>
              <w:spacing w:after="0"/>
              <w:rPr>
                <w:sz w:val="20"/>
                <w:szCs w:val="20"/>
                <w:color w:val="auto"/>
              </w:rPr>
            </w:pPr>
            <w:r>
              <w:rPr>
                <w:rFonts w:ascii="Arial" w:cs="Arial" w:eastAsia="Arial" w:hAnsi="Arial"/>
                <w:sz w:val="18"/>
                <w:szCs w:val="18"/>
                <w:color w:val="auto"/>
              </w:rPr>
              <w:t>Finland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France SAS</w:t>
            </w:r>
          </w:p>
        </w:tc>
        <w:tc>
          <w:tcPr>
            <w:tcW w:w="28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286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28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115"/>
        </w:trPr>
        <w:tc>
          <w:tcPr>
            <w:tcW w:w="408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1360" w:type="dxa"/>
            <w:vAlign w:val="bottom"/>
          </w:tcPr>
          <w:p>
            <w:pPr>
              <w:spacing w:after="0"/>
              <w:rPr>
                <w:sz w:val="20"/>
                <w:szCs w:val="20"/>
                <w:color w:val="auto"/>
              </w:rPr>
            </w:pPr>
            <w:r>
              <w:rPr>
                <w:rFonts w:ascii="Arial" w:cs="Arial" w:eastAsia="Arial" w:hAnsi="Arial"/>
                <w:sz w:val="18"/>
                <w:szCs w:val="18"/>
                <w:b w:val="1"/>
                <w:bCs w:val="1"/>
                <w:color w:val="auto"/>
                <w:w w:val="90"/>
              </w:rPr>
              <w:t>Where Organized</w:t>
            </w:r>
          </w:p>
        </w:tc>
      </w:tr>
      <w:tr>
        <w:trPr>
          <w:trHeight w:val="20"/>
        </w:trPr>
        <w:tc>
          <w:tcPr>
            <w:tcW w:w="6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22"/>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Hong Kong Limited</w:t>
            </w:r>
          </w:p>
        </w:tc>
        <w:tc>
          <w:tcPr>
            <w:tcW w:w="136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Hungary Korlatolt Felelossegu Tarsasag</w:t>
            </w:r>
          </w:p>
        </w:tc>
        <w:tc>
          <w:tcPr>
            <w:tcW w:w="1360" w:type="dxa"/>
            <w:vAlign w:val="bottom"/>
          </w:tcPr>
          <w:p>
            <w:pPr>
              <w:spacing w:after="0"/>
              <w:rPr>
                <w:sz w:val="20"/>
                <w:szCs w:val="20"/>
                <w:color w:val="auto"/>
              </w:rPr>
            </w:pPr>
            <w:r>
              <w:rPr>
                <w:rFonts w:ascii="Arial" w:cs="Arial" w:eastAsia="Arial" w:hAnsi="Arial"/>
                <w:sz w:val="18"/>
                <w:szCs w:val="18"/>
                <w:color w:val="auto"/>
              </w:rPr>
              <w:t>Hungary</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International (U.S.A.) Inc.</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International Capital Corporation</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International Holding Company S.à r.l.</w:t>
            </w:r>
          </w:p>
        </w:tc>
        <w:tc>
          <w:tcPr>
            <w:tcW w:w="136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International Management Company B.V.</w:t>
            </w:r>
          </w:p>
        </w:tc>
        <w:tc>
          <w:tcPr>
            <w:tcW w:w="13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International Trade Corporation</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Ireland Trading Limited</w:t>
            </w:r>
          </w:p>
        </w:tc>
        <w:tc>
          <w:tcPr>
            <w:tcW w:w="13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Israel Ltd.</w:t>
            </w:r>
          </w:p>
        </w:tc>
        <w:tc>
          <w:tcPr>
            <w:tcW w:w="1360" w:type="dxa"/>
            <w:vAlign w:val="bottom"/>
          </w:tcPr>
          <w:p>
            <w:pPr>
              <w:spacing w:after="0"/>
              <w:rPr>
                <w:sz w:val="20"/>
                <w:szCs w:val="20"/>
                <w:color w:val="auto"/>
              </w:rPr>
            </w:pPr>
            <w:r>
              <w:rPr>
                <w:rFonts w:ascii="Arial" w:cs="Arial" w:eastAsia="Arial" w:hAnsi="Arial"/>
                <w:sz w:val="18"/>
                <w:szCs w:val="18"/>
                <w:color w:val="auto"/>
              </w:rPr>
              <w:t>Israel</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Italia S.r.l.</w:t>
            </w:r>
          </w:p>
        </w:tc>
        <w:tc>
          <w:tcPr>
            <w:tcW w:w="136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Japan Limited</w:t>
            </w:r>
          </w:p>
        </w:tc>
        <w:tc>
          <w:tcPr>
            <w:tcW w:w="13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Korea Limited</w:t>
            </w:r>
          </w:p>
        </w:tc>
        <w:tc>
          <w:tcPr>
            <w:tcW w:w="1360" w:type="dxa"/>
            <w:vAlign w:val="bottom"/>
          </w:tcPr>
          <w:p>
            <w:pPr>
              <w:spacing w:after="0"/>
              <w:rPr>
                <w:sz w:val="20"/>
                <w:szCs w:val="20"/>
                <w:color w:val="auto"/>
              </w:rPr>
            </w:pPr>
            <w:r>
              <w:rPr>
                <w:rFonts w:ascii="Arial" w:cs="Arial" w:eastAsia="Arial" w:hAnsi="Arial"/>
                <w:sz w:val="18"/>
                <w:szCs w:val="18"/>
                <w:color w:val="auto"/>
              </w:rPr>
              <w:t>Korea</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Lehigh Valley Incorporated</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Limited</w:t>
            </w:r>
          </w:p>
        </w:tc>
        <w:tc>
          <w:tcPr>
            <w:tcW w:w="13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Low Power Wireless San Diego LLC</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Malaysia Sdn. Bhd.</w:t>
            </w:r>
          </w:p>
        </w:tc>
        <w:tc>
          <w:tcPr>
            <w:tcW w:w="136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Management GmbH &amp; Co. KG</w:t>
            </w:r>
          </w:p>
        </w:tc>
        <w:tc>
          <w:tcPr>
            <w:tcW w:w="13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Northern Virginia Incorporated</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Norway AS</w:t>
            </w:r>
          </w:p>
        </w:tc>
        <w:tc>
          <w:tcPr>
            <w:tcW w:w="1360" w:type="dxa"/>
            <w:vAlign w:val="bottom"/>
          </w:tcPr>
          <w:p>
            <w:pPr>
              <w:spacing w:after="0"/>
              <w:rPr>
                <w:sz w:val="20"/>
                <w:szCs w:val="20"/>
                <w:color w:val="auto"/>
              </w:rPr>
            </w:pPr>
            <w:r>
              <w:rPr>
                <w:rFonts w:ascii="Arial" w:cs="Arial" w:eastAsia="Arial" w:hAnsi="Arial"/>
                <w:sz w:val="18"/>
                <w:szCs w:val="18"/>
                <w:color w:val="auto"/>
              </w:rPr>
              <w:t>Norway</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Palo Alto Incorporated</w:t>
            </w:r>
          </w:p>
        </w:tc>
        <w:tc>
          <w:tcPr>
            <w:tcW w:w="13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Richardson LLC</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Santa Rosa Incorporated</w:t>
            </w:r>
          </w:p>
        </w:tc>
        <w:tc>
          <w:tcPr>
            <w:tcW w:w="13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13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13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Semiconductor Trading Limited Company</w:t>
            </w:r>
          </w:p>
        </w:tc>
        <w:tc>
          <w:tcPr>
            <w:tcW w:w="136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Semicondutores e Tecnologias Ltda.</w:t>
            </w:r>
          </w:p>
        </w:tc>
        <w:tc>
          <w:tcPr>
            <w:tcW w:w="136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Singapore (Pte) Limited</w:t>
            </w:r>
          </w:p>
        </w:tc>
        <w:tc>
          <w:tcPr>
            <w:tcW w:w="13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Southeast Asia Pte. Ltd.</w:t>
            </w:r>
          </w:p>
        </w:tc>
        <w:tc>
          <w:tcPr>
            <w:tcW w:w="13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Sunnyvale Incorporated</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Sweden AB</w:t>
            </w:r>
          </w:p>
        </w:tc>
        <w:tc>
          <w:tcPr>
            <w:tcW w:w="136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Taiwan Limited</w:t>
            </w:r>
          </w:p>
        </w:tc>
        <w:tc>
          <w:tcPr>
            <w:tcW w:w="136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Texas Instruments Tucson Corporation</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TI (Philippines), Inc.</w:t>
            </w:r>
          </w:p>
        </w:tc>
        <w:tc>
          <w:tcPr>
            <w:tcW w:w="136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TI Europe B.V.</w:t>
            </w:r>
          </w:p>
        </w:tc>
        <w:tc>
          <w:tcPr>
            <w:tcW w:w="13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TI Europe Limited</w:t>
            </w:r>
          </w:p>
        </w:tc>
        <w:tc>
          <w:tcPr>
            <w:tcW w:w="13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Unitrode Corporation</w:t>
            </w:r>
          </w:p>
        </w:tc>
        <w:tc>
          <w:tcPr>
            <w:tcW w:w="1360" w:type="dxa"/>
            <w:vAlign w:val="bottom"/>
          </w:tcPr>
          <w:p>
            <w:pPr>
              <w:spacing w:after="0"/>
              <w:rPr>
                <w:sz w:val="20"/>
                <w:szCs w:val="20"/>
                <w:color w:val="auto"/>
              </w:rPr>
            </w:pPr>
            <w:r>
              <w:rPr>
                <w:rFonts w:ascii="Arial" w:cs="Arial" w:eastAsia="Arial" w:hAnsi="Arial"/>
                <w:sz w:val="18"/>
                <w:szCs w:val="18"/>
                <w:color w:val="auto"/>
              </w:rPr>
              <w:t>Maryland</w:t>
            </w:r>
          </w:p>
        </w:tc>
      </w:tr>
      <w:tr>
        <w:trPr>
          <w:trHeight w:val="230"/>
        </w:trPr>
        <w:tc>
          <w:tcPr>
            <w:tcW w:w="8580" w:type="dxa"/>
            <w:vAlign w:val="bottom"/>
            <w:gridSpan w:val="3"/>
          </w:tcPr>
          <w:p>
            <w:pPr>
              <w:spacing w:after="0"/>
              <w:rPr>
                <w:sz w:val="20"/>
                <w:szCs w:val="20"/>
                <w:color w:val="auto"/>
              </w:rPr>
            </w:pPr>
            <w:r>
              <w:rPr>
                <w:rFonts w:ascii="Arial" w:cs="Arial" w:eastAsia="Arial" w:hAnsi="Arial"/>
                <w:sz w:val="18"/>
                <w:szCs w:val="18"/>
                <w:color w:val="auto"/>
              </w:rPr>
              <w:t>Unitrode-Maine</w:t>
            </w:r>
          </w:p>
        </w:tc>
        <w:tc>
          <w:tcPr>
            <w:tcW w:w="1360" w:type="dxa"/>
            <w:vAlign w:val="bottom"/>
          </w:tcPr>
          <w:p>
            <w:pPr>
              <w:spacing w:after="0"/>
              <w:rPr>
                <w:sz w:val="20"/>
                <w:szCs w:val="20"/>
                <w:color w:val="auto"/>
              </w:rPr>
            </w:pPr>
            <w:r>
              <w:rPr>
                <w:rFonts w:ascii="Arial" w:cs="Arial" w:eastAsia="Arial" w:hAnsi="Arial"/>
                <w:sz w:val="18"/>
                <w:szCs w:val="18"/>
                <w:color w:val="auto"/>
              </w:rPr>
              <w:t>Maine</w:t>
            </w:r>
          </w:p>
        </w:tc>
      </w:tr>
    </w:tbl>
    <w:p>
      <w:pPr>
        <w:sectPr>
          <w:pgSz w:w="11900" w:h="16838" w:orient="portrait"/>
          <w:cols w:equalWidth="0" w:num="1">
            <w:col w:w="10219"/>
          </w:cols>
          <w:pgMar w:left="240" w:top="675"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consent to the incorporation by reference in the following registration statements of Texas Instruments Incorporated and in the related prospectuses of our reports dated February 22, 2019, with respect to the consolidated financial statements of Texas Instruments Incorporated, and the effectiveness of internal control over financial reporting of Texas Instruments Incorporated, included in this Annual Report on Form 10-K for the year ended December 31, 2018: Registration Statements (Forms S-8) No. 333-158933, No. 333-158934, No. 33-42172, No. 33-54615, No. 33-61154, No. 333-07127 (as amended), No. 333-41913, No. 333-41919, No. 333-31321 (as amended), No. 333-31323, No. 333-48389, No. 333-44662, No. 333-107759, No. 333-107760, No. 333-107761, No. 333-127021, No. 333-177235, No. 333-195692, No. 333-211111 and No. 333-224639; Registration Statements (Forms S-3) No. 333-165045, No. 333-186803 and No. 333-209678; and Registration Statements (Forms S-4) No. 333-89433 (as amended), No. 333-87199, No. 333-80157 (as amended), and No. 333-41030 (as amended).</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600" w:hanging="592"/>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right="80" w:firstLine="6"/>
        <w:spacing w:after="0" w:line="264" w:lineRule="auto"/>
        <w:tabs>
          <w:tab w:leader="none" w:pos="84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300" w:firstLine="6"/>
        <w:spacing w:after="0" w:line="264" w:lineRule="auto"/>
        <w:tabs>
          <w:tab w:leader="none" w:pos="8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860" w:firstLine="6"/>
        <w:spacing w:after="0" w:line="342" w:lineRule="auto"/>
        <w:tabs>
          <w:tab w:leader="none" w:pos="845"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00" w:right="320" w:firstLine="6"/>
        <w:spacing w:after="0" w:line="264" w:lineRule="auto"/>
        <w:tabs>
          <w:tab w:leader="none" w:pos="8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260" w:firstLine="6"/>
        <w:spacing w:after="0" w:line="277" w:lineRule="auto"/>
        <w:tabs>
          <w:tab w:leader="none" w:pos="84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00" w:right="200" w:firstLine="6"/>
        <w:spacing w:after="0" w:line="277" w:lineRule="auto"/>
        <w:tabs>
          <w:tab w:leader="none" w:pos="8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25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Richard K. Templeton</w:t>
      </w:r>
    </w:p>
    <w:p>
      <w:pPr>
        <w:spacing w:after="0" w:line="27"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Chairman, President and</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600" w:hanging="59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right="80" w:firstLine="6"/>
        <w:spacing w:after="0" w:line="264" w:lineRule="auto"/>
        <w:tabs>
          <w:tab w:leader="none" w:pos="84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300" w:firstLine="6"/>
        <w:spacing w:after="0" w:line="264" w:lineRule="auto"/>
        <w:tabs>
          <w:tab w:leader="none" w:pos="8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860" w:firstLine="6"/>
        <w:spacing w:after="0" w:line="342" w:lineRule="auto"/>
        <w:tabs>
          <w:tab w:leader="none" w:pos="84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00" w:right="320" w:firstLine="6"/>
        <w:spacing w:after="0" w:line="264" w:lineRule="auto"/>
        <w:tabs>
          <w:tab w:leader="none" w:pos="8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260" w:firstLine="6"/>
        <w:spacing w:after="0" w:line="277" w:lineRule="auto"/>
        <w:tabs>
          <w:tab w:leader="none" w:pos="84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00" w:right="200" w:firstLine="6"/>
        <w:spacing w:after="0" w:line="277" w:lineRule="auto"/>
        <w:tabs>
          <w:tab w:leader="none" w:pos="8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252"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Rafael R. Lizardi</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Senior Vice President and</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chairman, president and chief executive officer of Texas Instruments Incorporated (the “Company”), hereby certifies that, to his knowledge:</w:t>
      </w:r>
    </w:p>
    <w:p>
      <w:pPr>
        <w:spacing w:after="0" w:line="124" w:lineRule="exact"/>
        <w:rPr>
          <w:sz w:val="20"/>
          <w:szCs w:val="20"/>
          <w:color w:val="auto"/>
        </w:rPr>
      </w:pPr>
    </w:p>
    <w:p>
      <w:pPr>
        <w:ind w:left="660" w:right="100" w:firstLine="6"/>
        <w:spacing w:after="0" w:line="342" w:lineRule="auto"/>
        <w:tabs>
          <w:tab w:leader="none" w:pos="8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2018,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940" w:hanging="274"/>
        <w:spacing w:after="0"/>
        <w:tabs>
          <w:tab w:leader="none" w:pos="9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2019</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Chairman, President and</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47" w:lineRule="exact"/>
        <w:rPr>
          <w:sz w:val="20"/>
          <w:szCs w:val="20"/>
          <w:color w:val="auto"/>
        </w:rPr>
      </w:pPr>
    </w:p>
    <w:p>
      <w:pPr>
        <w:ind w:left="660" w:right="100" w:firstLine="6"/>
        <w:spacing w:after="0" w:line="342" w:lineRule="auto"/>
        <w:tabs>
          <w:tab w:leader="none" w:pos="8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2018,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940" w:hanging="274"/>
        <w:spacing w:after="0"/>
        <w:tabs>
          <w:tab w:leader="none" w:pos="9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2019</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3"/>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lowerLetter"/>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lvl w:ilvl="1">
      <w:lvlJc w:val="left"/>
      <w:lvlText w:val="o"/>
      <w:numFmt w:val="bullet"/>
      <w:start w:val="1"/>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decimal"/>
      <w:start w:val="2"/>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606"/>
    </w:lvl>
  </w:abstractNum>
  <w:abstractNum w:abstractNumId="20">
    <w:nsid w:val="419AC241"/>
    <w:multiLevelType w:val="hybridMultilevel"/>
    <w:lvl w:ilvl="0">
      <w:lvlJc w:val="left"/>
      <w:lvlText w:val="%1."/>
      <w:numFmt w:val="decimal"/>
      <w:start w:val="3"/>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decimal"/>
      <w:start w:val="4"/>
    </w:lvl>
  </w:abstractNum>
  <w:abstractNum w:abstractNumId="24">
    <w:nsid w:val="3804823E"/>
    <w:multiLevelType w:val="hybridMultilevel"/>
    <w:lvl w:ilvl="0">
      <w:lvlJc w:val="left"/>
      <w:lvlText w:val="%1."/>
      <w:numFmt w:val="decimal"/>
      <w:start w:val="6"/>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9"/>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decimal"/>
      <w:start w:val="10"/>
    </w:lvl>
  </w:abstractNum>
  <w:abstractNum w:abstractNumId="31">
    <w:nsid w:val="2D517796"/>
    <w:multiLevelType w:val="hybridMultilevel"/>
    <w:lvl w:ilvl="0">
      <w:lvlJc w:val="left"/>
      <w:lvlText w:val="%1."/>
      <w:numFmt w:val="decimal"/>
      <w:start w:val="11"/>
    </w:lvl>
  </w:abstractNum>
  <w:abstractNum w:abstractNumId="32">
    <w:nsid w:val="580BD78F"/>
    <w:multiLevelType w:val="hybridMultilevel"/>
    <w:lvl w:ilvl="0">
      <w:lvlJc w:val="left"/>
      <w:lvlText w:val="%1."/>
      <w:numFmt w:val="decimal"/>
      <w:start w:val="12"/>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decimal"/>
      <w:start w:val="13"/>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decimal"/>
      <w:start w:val="14"/>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98"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76" Type="http://schemas.openxmlformats.org/officeDocument/2006/relationships/hyperlink" Target="http://www.sec.gov/Archives/edgar/data/97476/000009747615000003/txn-12312014xexhibit3a.htm" TargetMode="External"/><Relationship Id="rId77" Type="http://schemas.openxmlformats.org/officeDocument/2006/relationships/hyperlink" Target="http://www.sec.gov/Archives/edgar/data/97476/000156459016030135/txn-ex3_6.htm" TargetMode="External"/><Relationship Id="rId78" Type="http://schemas.openxmlformats.org/officeDocument/2006/relationships/hyperlink" Target="http://www.sec.gov/Archives/edgar/data/97476/000119312511147104/dex42.htm" TargetMode="External"/><Relationship Id="rId79" Type="http://schemas.openxmlformats.org/officeDocument/2006/relationships/hyperlink" Target="http://www.sec.gov/Archives/edgar/data/97476/000119312513206195/d533359dex42.htm" TargetMode="External"/><Relationship Id="rId80" Type="http://schemas.openxmlformats.org/officeDocument/2006/relationships/hyperlink" Target="http://www.sec.gov/Archives/edgar/data/97476/000119312514094885/d691140dex42.htm" TargetMode="External"/><Relationship Id="rId81" Type="http://schemas.openxmlformats.org/officeDocument/2006/relationships/hyperlink" Target="http://www.sec.gov/Archives/edgar/data/97476/000119312515173382/d920775dex41.htm" TargetMode="External"/><Relationship Id="rId82" Type="http://schemas.openxmlformats.org/officeDocument/2006/relationships/hyperlink" Target="http://www.sec.gov/Archives/edgar/data/97476/000119312516581435/d194090dex41.htm" TargetMode="External"/><Relationship Id="rId83" Type="http://schemas.openxmlformats.org/officeDocument/2006/relationships/hyperlink" Target="http://www.sec.gov/Archives/edgar/data/97476/000119312517158011/d582525dex41.htm" TargetMode="External"/><Relationship Id="rId84" Type="http://schemas.openxmlformats.org/officeDocument/2006/relationships/hyperlink" Target="http://www.sec.gov/Archives/edgar/data/97476/000119312517332507/d482992dex41.htm" TargetMode="External"/><Relationship Id="rId85" Type="http://schemas.openxmlformats.org/officeDocument/2006/relationships/hyperlink" Target="http://www.sec.gov/Archives/edgar/data/97476/000119312518154669/d579571dex41.htm" TargetMode="External"/><Relationship Id="rId86" Type="http://schemas.openxmlformats.org/officeDocument/2006/relationships/hyperlink" Target="http://www.sec.gov/Archives/edgar/data/97476/000119312518187735/d603255dex41.htm" TargetMode="External"/><Relationship Id="rId87" Type="http://schemas.openxmlformats.org/officeDocument/2006/relationships/hyperlink" Target="http://www.sec.gov/Archives/edgar/data/97476/000156459016013126/txn-ex10a_325.htm" TargetMode="External"/><Relationship Id="rId88" Type="http://schemas.openxmlformats.org/officeDocument/2006/relationships/hyperlink" Target="http://www.sec.gov/Archives/edgar/data/97476/000156459016013126/txn-ex10b_263.htm" TargetMode="External"/><Relationship Id="rId89" Type="http://schemas.openxmlformats.org/officeDocument/2006/relationships/hyperlink" Target="http://www.sec.gov/Archives/edgar/data/97476/000156459016013126/txn-ex10c_264.htm" TargetMode="External"/><Relationship Id="rId90" Type="http://schemas.openxmlformats.org/officeDocument/2006/relationships/hyperlink" Target="http://www.sec.gov/Archives/edgar/data/97476/000009747612000010/txn-12312011xexhibit10c.htm" TargetMode="External"/><Relationship Id="rId91" Type="http://schemas.openxmlformats.org/officeDocument/2006/relationships/hyperlink" Target="http://www.sec.gov/Archives/edgar/data/97476/000009747615000003/txn-12312014xexhibit10e.htm" TargetMode="External"/><Relationship Id="rId92" Type="http://schemas.openxmlformats.org/officeDocument/2006/relationships/hyperlink" Target="http://www.sec.gov/Archives/edgar/data/97476/000009747615000003/txn-12312014xexhibit10f.htm" TargetMode="External"/><Relationship Id="rId93" Type="http://schemas.openxmlformats.org/officeDocument/2006/relationships/hyperlink" Target="http://www.sec.gov/Archives/edgar/data/97476/000009747612000010/txn-12312011xexhibit10h.htm" TargetMode="External"/><Relationship Id="rId94" Type="http://schemas.openxmlformats.org/officeDocument/2006/relationships/hyperlink" Target="http://www.sec.gov/Archives/edgar/data/97476/000009747612000010/txn-12312011xexhibit10i.htm" TargetMode="External"/><Relationship Id="rId95" Type="http://schemas.openxmlformats.org/officeDocument/2006/relationships/hyperlink" Target="http://www.sec.gov/Archives/edgar/data/97476/000009747615000003/txn-12312014xexhibit10j.htm" TargetMode="External"/><Relationship Id="rId96" Type="http://schemas.openxmlformats.org/officeDocument/2006/relationships/hyperlink" Target="http://www.sec.gov/Archives/edgar/data/97476/000156459017002142/txn-ex10k_1019.htm" TargetMode="External"/><Relationship Id="rId97" Type="http://schemas.openxmlformats.org/officeDocument/2006/relationships/hyperlink" Target="http://www.sec.gov/Archives/edgar/data/97476/000156459017002142/txn-ex10l_1018.htm" TargetMode="External"/><Relationship Id="rId99" Type="http://schemas.openxmlformats.org/officeDocument/2006/relationships/hyperlink" Target="http://www.sec.gov/Archives/edgar/data/97476/000119312516497866/d117862ddef14a.htm" TargetMode="External"/><Relationship Id="rId100" Type="http://schemas.openxmlformats.org/officeDocument/2006/relationships/hyperlink" Target="http://www.sec.gov/Archives/edgar/data/97476/000156459017002142/txn-ex10n_1020.htm" TargetMode="External"/><Relationship Id="rId101" Type="http://schemas.openxmlformats.org/officeDocument/2006/relationships/hyperlink" Target="http://www.sec.gov/Archives/edgar/data/97476/000156459018018753/txn-ex10a_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2019-12-28T15:59:48Z</dcterms:created>
  <dcterms:modified xsi:type="dcterms:W3CDTF">2019-12-28T15:59:48Z</dcterms:modified>
</cp:coreProperties>
</file>