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62"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143510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8"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9" w:right="239" w:bottom="1440" w:gutter="0" w:footer="0" w:header="0"/>
        </w:sectPr>
      </w:pPr>
    </w:p>
    <w:p>
      <w:pPr>
        <w:spacing w:after="0" w:line="133"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4">
            <w:col w:w="1760" w:space="720"/>
            <w:col w:w="4440" w:space="720"/>
            <w:col w:w="2920" w:space="720"/>
            <w:col w:w="140"/>
          </w:cols>
          <w:pgMar w:left="240" w:top="449" w:right="239" w:bottom="1440" w:gutter="0" w:footer="0" w:header="0"/>
          <w:type w:val="continuous"/>
        </w:sectPr>
      </w:pPr>
    </w:p>
    <w:p>
      <w:pPr>
        <w:spacing w:after="0" w:line="196" w:lineRule="exact"/>
        <w:tabs>
          <w:tab w:leader="none" w:pos="8360" w:val="left"/>
          <w:tab w:leader="none" w:pos="89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5"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999,485,728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842010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94"/>
              </w:rPr>
              <w:t>For Three Months Ended</w:t>
            </w:r>
          </w:p>
        </w:tc>
        <w:tc>
          <w:tcPr>
            <w:tcW w:w="240" w:type="dxa"/>
            <w:vAlign w:val="bottom"/>
          </w:tcPr>
          <w:p>
            <w:pPr>
              <w:spacing w:after="0"/>
              <w:rPr>
                <w:sz w:val="18"/>
                <w:szCs w:val="18"/>
                <w:color w:val="auto"/>
              </w:rPr>
            </w:pPr>
          </w:p>
        </w:tc>
        <w:tc>
          <w:tcPr>
            <w:tcW w:w="214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4"/>
              </w:rPr>
              <w:t>For Nine Months Ended</w:t>
            </w:r>
          </w:p>
        </w:tc>
      </w:tr>
      <w:tr>
        <w:trPr>
          <w:trHeight w:val="219"/>
        </w:trPr>
        <w:tc>
          <w:tcPr>
            <w:tcW w:w="64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00" w:type="dxa"/>
            <w:vAlign w:val="bottom"/>
          </w:tcPr>
          <w:p>
            <w:pPr>
              <w:spacing w:after="0"/>
              <w:rPr>
                <w:sz w:val="19"/>
                <w:szCs w:val="19"/>
                <w:color w:val="auto"/>
              </w:rPr>
            </w:pPr>
          </w:p>
        </w:tc>
        <w:tc>
          <w:tcPr>
            <w:tcW w:w="236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9"/>
                <w:szCs w:val="19"/>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3,675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9,956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9,811</w:t>
            </w:r>
          </w:p>
        </w:tc>
        <w:tc>
          <w:tcPr>
            <w:tcW w:w="120" w:type="dxa"/>
            <w:vAlign w:val="bottom"/>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1,395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3,849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4,117</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2,280</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6,107</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356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1,027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448</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1,356</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20" w:type="dxa"/>
            <w:vAlign w:val="bottom"/>
            <w:shd w:val="clear" w:color="auto" w:fill="CCEEFF"/>
          </w:tcPr>
          <w:p>
            <w:pPr>
              <w:spacing w:after="0"/>
              <w:rPr>
                <w:sz w:val="19"/>
                <w:szCs w:val="19"/>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239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r>
      <w:tr>
        <w:trPr>
          <w:trHeight w:val="207"/>
        </w:trPr>
        <w:tc>
          <w:tcPr>
            <w:tcW w:w="648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1,395</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1,164</w:t>
            </w: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3,480</w:t>
            </w: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3,132</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3,433</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413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1,018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2,415</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1,003</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1,017</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1,017</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2,415</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20" w:type="dxa"/>
            <w:vAlign w:val="bottom"/>
            <w:shd w:val="clear" w:color="auto" w:fill="CCEEFF"/>
          </w:tcPr>
          <w:p>
            <w:pPr>
              <w:spacing w:after="0"/>
              <w:rPr>
                <w:sz w:val="18"/>
                <w:szCs w:val="18"/>
                <w:color w:val="auto"/>
              </w:rPr>
            </w:pP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4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(11)</w:t>
            </w:r>
          </w:p>
        </w:tc>
        <w:tc>
          <w:tcPr>
            <w:tcW w:w="4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(29)</w:t>
            </w:r>
          </w:p>
        </w:tc>
        <w:tc>
          <w:tcPr>
            <w:tcW w:w="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r>
      <w:tr>
        <w:trPr>
          <w:trHeight w:val="210"/>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4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2,386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w w:val="94"/>
              </w:rPr>
              <w:t>For Three Months Ended</w:t>
            </w:r>
          </w:p>
        </w:tc>
        <w:tc>
          <w:tcPr>
            <w:tcW w:w="180" w:type="dxa"/>
            <w:vAlign w:val="bottom"/>
          </w:tcPr>
          <w:p>
            <w:pPr>
              <w:spacing w:after="0"/>
              <w:rPr>
                <w:sz w:val="18"/>
                <w:szCs w:val="18"/>
                <w:color w:val="auto"/>
              </w:rPr>
            </w:pPr>
          </w:p>
        </w:tc>
        <w:tc>
          <w:tcPr>
            <w:tcW w:w="210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5"/>
              </w:rPr>
              <w:t>For Nine Months Ended</w:t>
            </w:r>
          </w:p>
        </w:tc>
      </w:tr>
      <w:tr>
        <w:trPr>
          <w:trHeight w:val="219"/>
        </w:trPr>
        <w:tc>
          <w:tcPr>
            <w:tcW w:w="654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60" w:type="dxa"/>
            <w:vAlign w:val="bottom"/>
          </w:tcPr>
          <w:p>
            <w:pPr>
              <w:spacing w:after="0"/>
              <w:rPr>
                <w:sz w:val="19"/>
                <w:szCs w:val="19"/>
                <w:color w:val="auto"/>
              </w:rPr>
            </w:pPr>
          </w:p>
        </w:tc>
        <w:tc>
          <w:tcPr>
            <w:tcW w:w="2440" w:type="dxa"/>
            <w:vAlign w:val="bottom"/>
            <w:gridSpan w:val="5"/>
          </w:tcPr>
          <w:p>
            <w:pPr>
              <w:jc w:val="right"/>
              <w:ind w:right="10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21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18"/>
                <w:szCs w:val="18"/>
                <w:color w:val="auto"/>
              </w:rPr>
            </w:pPr>
          </w:p>
        </w:tc>
      </w:tr>
      <w:tr>
        <w:trPr>
          <w:trHeight w:val="213"/>
        </w:trPr>
        <w:tc>
          <w:tcPr>
            <w:tcW w:w="6540" w:type="dxa"/>
            <w:vAlign w:val="bottom"/>
            <w:gridSpan w:val="3"/>
          </w:tcPr>
          <w:p>
            <w:pPr>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gains (losses) of defined benefit plans: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(47)</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Arial" w:cs="Arial" w:eastAsia="Arial" w:hAnsi="Arial"/>
                <w:sz w:val="16"/>
                <w:szCs w:val="16"/>
                <w:color w:val="auto"/>
              </w:rPr>
              <w:t>Prior service (cost) credit of defined benefit plans: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r>
      <w:tr>
        <w:trPr>
          <w:trHeight w:val="207"/>
        </w:trPr>
        <w:tc>
          <w:tcPr>
            <w:tcW w:w="6540" w:type="dxa"/>
            <w:vAlign w:val="bottom"/>
            <w:gridSpan w:val="3"/>
          </w:tcPr>
          <w:p>
            <w:pPr>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962</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4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2,405</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16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79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1,768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($14) and ($7)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755</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1,808</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789</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7,181</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4,982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(2,437)</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2,545</w:t>
            </w:r>
          </w:p>
        </w:tc>
        <w:tc>
          <w:tcPr>
            <w:tcW w:w="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Goodwill, net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 net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 net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16,216</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634</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647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2,170</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2,977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credits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547</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5,930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1,757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32,432</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September 30, 2016 – 739,693,480; December 31, 2015 – 729,547,527</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(25,102)</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3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(542)</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10,286</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16,216</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w w:val="96"/>
              </w:rPr>
              <w:t>For Nine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60" w:type="dxa"/>
            <w:vAlign w:val="bottom"/>
          </w:tcPr>
          <w:p>
            <w:pPr>
              <w:spacing w:after="0"/>
              <w:rPr>
                <w:sz w:val="19"/>
                <w:szCs w:val="19"/>
                <w:color w:val="auto"/>
              </w:rPr>
            </w:pPr>
          </w:p>
        </w:tc>
        <w:tc>
          <w:tcPr>
            <w:tcW w:w="214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2,415</w:t>
            </w:r>
          </w:p>
        </w:tc>
        <w:tc>
          <w:tcPr>
            <w:tcW w:w="220" w:type="dxa"/>
            <w:vAlign w:val="bottom"/>
          </w:tcPr>
          <w:p>
            <w:pPr>
              <w:spacing w:after="0"/>
              <w:rPr>
                <w:sz w:val="18"/>
                <w:szCs w:val="18"/>
                <w:color w:val="auto"/>
              </w:rPr>
            </w:pP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Gains on sales of assets</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(160)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(274)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(2,171)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(1,147)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(1,657)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Excess tax benefit from share-based payments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(2,695)</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information</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62" w:lineRule="exact"/>
        <w:rPr>
          <w:sz w:val="20"/>
          <w:szCs w:val="20"/>
          <w:color w:val="auto"/>
        </w:rPr>
      </w:pPr>
    </w:p>
    <w:p>
      <w:pPr>
        <w:ind w:left="1080" w:right="22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consists of the following product lines: High Volume Analog &amp; Logic, Power Management, High Performance Analog and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Analog.</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consists of the following product lines: Microcontrollers, Processors and Connectivity.</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 products, calculators, custom ASICs and royalties received from agreements involving license rights to our patent portfolio.</w:t>
      </w:r>
    </w:p>
    <w:p>
      <w:pPr>
        <w:spacing w:after="0" w:line="20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Three Months Ended</w:t>
            </w:r>
          </w:p>
        </w:tc>
        <w:tc>
          <w:tcPr>
            <w:tcW w:w="20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5"/>
              </w:rPr>
              <w:t>2015</w:t>
            </w:r>
          </w:p>
        </w:tc>
        <w:tc>
          <w:tcPr>
            <w:tcW w:w="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0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Analog</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2,323</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6,246</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Embedded Processing</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795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2,279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1,431</w:t>
            </w:r>
          </w:p>
        </w:tc>
        <w:tc>
          <w:tcPr>
            <w:tcW w:w="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0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3,675</w:t>
            </w:r>
          </w:p>
        </w:tc>
        <w:tc>
          <w:tcPr>
            <w:tcW w:w="460" w:type="dxa"/>
            <w:vAlign w:val="bottom"/>
          </w:tcPr>
          <w:p>
            <w:pPr>
              <w:spacing w:after="0"/>
              <w:rPr>
                <w:sz w:val="21"/>
                <w:szCs w:val="21"/>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3,429</w:t>
            </w:r>
          </w:p>
        </w:tc>
        <w:tc>
          <w:tcPr>
            <w:tcW w:w="440" w:type="dxa"/>
            <w:vAlign w:val="bottom"/>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9,956</w:t>
            </w:r>
          </w:p>
        </w:tc>
        <w:tc>
          <w:tcPr>
            <w:tcW w:w="460" w:type="dxa"/>
            <w:vAlign w:val="bottom"/>
          </w:tcPr>
          <w:p>
            <w:pPr>
              <w:spacing w:after="0"/>
              <w:rPr>
                <w:sz w:val="21"/>
                <w:szCs w:val="21"/>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Analog</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949</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2,399</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Embedded Processing</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174</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591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w:t>
            </w:r>
          </w:p>
        </w:tc>
        <w:tc>
          <w:tcPr>
            <w:tcW w:w="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00" w:type="dxa"/>
            <w:vAlign w:val="bottom"/>
            <w:gridSpan w:val="2"/>
          </w:tcPr>
          <w:p>
            <w:pPr>
              <w:spacing w:after="0"/>
              <w:rPr>
                <w:sz w:val="20"/>
                <w:szCs w:val="20"/>
                <w:color w:val="auto"/>
              </w:rPr>
            </w:pPr>
            <w:r>
              <w:rPr>
                <w:rFonts w:ascii="Arial" w:cs="Arial" w:eastAsia="Arial" w:hAnsi="Arial"/>
                <w:sz w:val="16"/>
                <w:szCs w:val="16"/>
                <w:color w:val="auto"/>
              </w:rPr>
              <w:t>Total operating profit</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1,395</w:t>
            </w:r>
          </w:p>
        </w:tc>
        <w:tc>
          <w:tcPr>
            <w:tcW w:w="460" w:type="dxa"/>
            <w:vAlign w:val="bottom"/>
          </w:tcPr>
          <w:p>
            <w:pPr>
              <w:spacing w:after="0"/>
              <w:rPr>
                <w:sz w:val="17"/>
                <w:szCs w:val="17"/>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w:t>
            </w:r>
          </w:p>
        </w:tc>
        <w:tc>
          <w:tcPr>
            <w:tcW w:w="44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3,480</w:t>
            </w:r>
          </w:p>
        </w:tc>
        <w:tc>
          <w:tcPr>
            <w:tcW w:w="46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Basis of presentation and significant accounting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2015. The Consolidated Statements of Income, Comprehensive Income and Cash Flows for the periods ended September 30, 2016 and 2015, and the Consolidated Balance Sheet as of September 30, 2016,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2015. The results for the three- and nine-month periods are not necessarily indicative of a full year’s results.</w:t>
      </w:r>
    </w:p>
    <w:p>
      <w:pPr>
        <w:spacing w:after="0" w:line="1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(EPS)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6"/>
                <w:szCs w:val="16"/>
                <w:b w:val="1"/>
                <w:bCs w:val="1"/>
                <w:color w:val="auto"/>
                <w:w w:val="97"/>
              </w:rPr>
              <w:t>For Three Months Ended September 30,</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2016</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2"/>
              </w:rPr>
              <w:t>Net</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2"/>
              </w:rPr>
              <w:t>Net</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2"/>
              </w:rPr>
              <w:t>Income</w:t>
            </w:r>
          </w:p>
        </w:tc>
        <w:tc>
          <w:tcPr>
            <w:tcW w:w="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ind w:left="160"/>
              <w:spacing w:after="0"/>
              <w:rPr>
                <w:sz w:val="20"/>
                <w:szCs w:val="20"/>
                <w:color w:val="auto"/>
              </w:rPr>
            </w:pPr>
            <w:r>
              <w:rPr>
                <w:rFonts w:ascii="Arial" w:cs="Arial" w:eastAsia="Arial" w:hAnsi="Arial"/>
                <w:sz w:val="16"/>
                <w:szCs w:val="16"/>
                <w:b w:val="1"/>
                <w:bCs w:val="1"/>
                <w:color w:val="auto"/>
              </w:rPr>
              <w:t>EPS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2"/>
              </w:rPr>
              <w:t>Income</w:t>
            </w:r>
          </w:p>
        </w:tc>
        <w:tc>
          <w:tcPr>
            <w:tcW w:w="20" w:type="dxa"/>
            <w:vAlign w:val="bottom"/>
          </w:tcPr>
          <w:p>
            <w:pPr>
              <w:spacing w:after="0"/>
              <w:rPr>
                <w:sz w:val="19"/>
                <w:szCs w:val="19"/>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968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957</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1,003</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787</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1,023</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plans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968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957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1,017</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1,035</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6"/>
                <w:szCs w:val="16"/>
                <w:b w:val="1"/>
                <w:bCs w:val="1"/>
                <w:color w:val="auto"/>
                <w:w w:val="99"/>
              </w:rPr>
              <w:t>For Nine Months Ended September 30,</w:t>
            </w: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2016</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2"/>
              </w:rPr>
              <w:t>Net</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2"/>
              </w:rPr>
              <w:t>Net</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9"/>
              </w:rPr>
              <w:t>Income</w:t>
            </w:r>
          </w:p>
        </w:tc>
        <w:tc>
          <w:tcPr>
            <w:tcW w:w="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ind w:left="160"/>
              <w:spacing w:after="0"/>
              <w:rPr>
                <w:sz w:val="20"/>
                <w:szCs w:val="20"/>
                <w:color w:val="auto"/>
              </w:rPr>
            </w:pPr>
            <w:r>
              <w:rPr>
                <w:rFonts w:ascii="Arial" w:cs="Arial" w:eastAsia="Arial" w:hAnsi="Arial"/>
                <w:sz w:val="16"/>
                <w:szCs w:val="16"/>
                <w:b w:val="1"/>
                <w:bCs w:val="1"/>
                <w:color w:val="auto"/>
              </w:rPr>
              <w:t>EPS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2"/>
              </w:rPr>
              <w:t>Income</w:t>
            </w:r>
          </w:p>
        </w:tc>
        <w:tc>
          <w:tcPr>
            <w:tcW w:w="20" w:type="dxa"/>
            <w:vAlign w:val="bottom"/>
          </w:tcPr>
          <w:p>
            <w:pPr>
              <w:spacing w:after="0"/>
              <w:rPr>
                <w:sz w:val="19"/>
                <w:szCs w:val="19"/>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ind w:left="18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2,415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2,150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(30)</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2,385</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1,004</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2,119</w:t>
            </w:r>
          </w:p>
        </w:tc>
        <w:tc>
          <w:tcPr>
            <w:tcW w:w="2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1,036</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plans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2,415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2,150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(29)</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2,386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1,017</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2.34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2,120</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1,049</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were no potentially dilutive securities excluded from the computation of diluted earnings per common share during the third quarter of 2016. Potentially dilutive securities representing 14 million shares of common stock that were outstanding during the third quarter of 2015, and 8 million and 12 million shares outstanding during the first nine months of 2016 and 2015, respectively, were excluded from the computation of diluted earnings per common share for these periods because their effect would have been anti-dilutive.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use derivative financial instruments to manage exposure to foreign currency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connection with the issuance of long-term debt, we occasionally use financial derivatives such as treasury rate lock agreements that are recognized in AOCI and amortized over the life of the related debt. The results of these derivative transactions have not been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values of our derivative financial instruments were not material as of September 30, 2016. Our investments in cash equivalents, short-term investments and certain long-term investments, as well as our postretirement plan assets and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5 for the definition of Level 2 inputs.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This standard provides a single set of guidelines for revenue recognition to be used across all industries and requires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disclosures, and is effective for annual and interim reporting periods beginning after December 15, 2017. This standard permits early adoption, but not before December 15, 2016, and permits the use of either the retrospective or cumulative effect transition method. We are currently evaluating the potential impact of this standard on our financial position and results of operations, as well as our selected transition method. Based on our preliminary assessment, we believe the new standard will not have a material impact on our financial position and results of operations, as we do not expect to change the manner or timing of recognizing revenue on a majority of our revenue transactions. We recognize revenue on sales to customers and distributors upon satisfaction of our performance obligations when the goods are shipped. For consignment sales, we recognize revenue when the goods are pulled from consignment inventory. In April 2016, the FASB issued an amendment to this guidance, ASU 2016-10, </w:t>
      </w:r>
      <w:r>
        <w:rPr>
          <w:rFonts w:ascii="Arial" w:cs="Arial" w:eastAsia="Arial" w:hAnsi="Arial"/>
          <w:sz w:val="16"/>
          <w:szCs w:val="16"/>
          <w:i w:val="1"/>
          <w:iCs w:val="1"/>
          <w:color w:val="auto"/>
        </w:rPr>
        <w:t>Revenue from Contracts with Customers (Topic 606): Identifying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 and Licensing</w:t>
      </w:r>
      <w:r>
        <w:rPr>
          <w:rFonts w:ascii="Arial" w:cs="Arial" w:eastAsia="Arial" w:hAnsi="Arial"/>
          <w:sz w:val="16"/>
          <w:szCs w:val="16"/>
          <w:color w:val="auto"/>
        </w:rPr>
        <w:t>, which, among other things, provides clarification about whether revenue related to a distinct license of intellectual property is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over time or at a point in time. Based on our preliminary assessment of this amendment, the periods over which we recognize revenue from our fixed-payment royalty arrangements from licensing our intellectual property may change. However, the effect of such change on our financial position and results of operations recognized in any reporting period is not expected to be material.</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Under this standard, all equity investments except those accounted for under the equity method are required to be measured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Equity investments that do not have a readily determinable fair value may, as a practical expedient, be measured at cost, adjusted for changes in observable prices minus impairment. This standard is effective for our interim and annual periods beginning January 1, 2018. This standard must be applied using a cumulative-effect adjustment in net income to the beginning of the fiscal year of adoption, except for equity investments without a readily determinable fair value, which are to be applied prospectively to equity investments as of the adoption date. We do not expect this standard to have a material impact on our financial position and results of operations, as nearly all of our equity investments are already recorded at fair value or under the equity method.</w:t>
      </w:r>
    </w:p>
    <w:p>
      <w:pPr>
        <w:spacing w:after="0" w:line="16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Costs of an operating lease will continue to be recognized as a single operating expense on a straight-line basis over the lease term. Costs for a financing lease will be disaggregated and recognized as both an operating expense (for the amortization of the right-of-use asset) and interest expense (for interest on the lease liability). This standard will be effective for our interim and annual periods beginning January 1, 2019, and must be applied on a modified retrospective basis to leases existing at, or entered into after, the beginning of the earliest comparative period presented in the financial statements. Early adoption is permitted. We are currently evaluating the timing of adoption and the potential impact of this standard on our financial position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standard provides for several changes to the accounting for share-based awards. Among other changes, this standard will require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income tax effects of awards in net income in the period in which the awards are settled or vested, rather than through additional paid-in capital in the equity section of the balance sheet. The standard also changes the presentation of excess tax benefits and statutory tax withholdings in the statement of cash flows. This standard will be effective for our interim and annual periods beginning January 1, 2017; however, early adoption is permitted. Each of the various provisions within this standard has its own specified transition method; some will be applied prospectively and others will be applied on a retrospective or modified retrospective basis. We are currently evaluating the timing of adoption and the potential impact of this standard on our financial position and results of operations.</w:t>
      </w:r>
    </w:p>
    <w:p>
      <w:pPr>
        <w:spacing w:after="0" w:line="19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This standard requires entities to use a current lifetime expected credit loss methodology to measure impairments of certain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this methodology will result in earlier recognition of losses than under the current incurred loss approach, which required waiting to recognize a loss until it is probable of having been incurred. There are other provisions within the standard affecting how impairments of other financial assets may be recorded and presented, as well as expanded disclosures. This standard will be effective for our interim and annual periods beginning after December 15, 2019, and permits earlier application but not before December 15, 2018. The standard will be applied using a modified retrospective approach. We are currently evaluating the potential impact of this standard, but we expect it will not have a material impact on our financial position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Restructuring charges/other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recognized in Other for segment reporting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 the three and nine months ended September 30, 2016, we incurred restructuring charges of $1 million and $5 million, respectively, related to our plans to phase out a manufacturing facility in Greenock, Scotland, through the end of 2018. These charges were comprised of severance and benefits costs, as well as accelerated depreciation. Total restructuring charges, primarily severance and related benefit costs, are estimated to be about $40 million, of which $22 million has been recognized through September 30, 2016. The remaining charges are expected to be recognized through the end of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balances</w:t>
      </w:r>
    </w:p>
    <w:p>
      <w:pPr>
        <w:spacing w:after="0" w:line="117" w:lineRule="exact"/>
        <w:rPr>
          <w:sz w:val="20"/>
          <w:szCs w:val="20"/>
          <w:color w:val="auto"/>
        </w:rPr>
      </w:pPr>
    </w:p>
    <w:p>
      <w:pPr>
        <w:jc w:val="both"/>
        <w:ind w:right="600"/>
        <w:spacing w:after="0" w:line="279" w:lineRule="auto"/>
        <w:rPr>
          <w:sz w:val="20"/>
          <w:szCs w:val="20"/>
          <w:color w:val="auto"/>
        </w:rPr>
      </w:pPr>
      <w:r>
        <w:rPr>
          <w:rFonts w:ascii="Arial" w:cs="Arial" w:eastAsia="Arial" w:hAnsi="Arial"/>
          <w:sz w:val="17"/>
          <w:szCs w:val="17"/>
          <w:color w:val="auto"/>
        </w:rPr>
        <w:t>The restructuring accrual balances are primarily reported as a component of either Accrued expenses and other liabilities or Deferred credits and other liabilities on our Consolidated Balance Sheets, depending on the expected timing of payment. The $32 million balance as of December 31, 2015, was composed of $17 million related to the Scotland facility and $15 million related to prior actions. The $23 million balance as of September 30, 2016, is composed of $17 million related to the Scotland facility and $6 million related to prior actions.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2015</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r>
      <w:tr>
        <w:trPr>
          <w:trHeight w:val="210"/>
        </w:trPr>
        <w:tc>
          <w:tcPr>
            <w:tcW w:w="10400" w:type="dxa"/>
            <w:vAlign w:val="bottom"/>
          </w:tcPr>
          <w:p>
            <w:pPr>
              <w:spacing w:after="0"/>
              <w:rPr>
                <w:sz w:val="20"/>
                <w:szCs w:val="20"/>
                <w:color w:val="auto"/>
              </w:rPr>
            </w:pPr>
            <w:r>
              <w:rPr>
                <w:rFonts w:ascii="Arial" w:cs="Arial" w:eastAsia="Arial" w:hAnsi="Arial"/>
                <w:sz w:val="16"/>
                <w:szCs w:val="16"/>
                <w:b w:val="1"/>
                <w:bCs w:val="1"/>
                <w:color w:val="auto"/>
              </w:rPr>
              <w:t>Restructuring charges</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r>
      <w:tr>
        <w:trPr>
          <w:trHeight w:val="222"/>
        </w:trPr>
        <w:tc>
          <w:tcPr>
            <w:tcW w:w="10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Payments</w:t>
            </w: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w:t>
            </w:r>
          </w:p>
        </w:tc>
      </w:tr>
      <w:tr>
        <w:trPr>
          <w:trHeight w:val="213"/>
        </w:trPr>
        <w:tc>
          <w:tcPr>
            <w:tcW w:w="10400" w:type="dxa"/>
            <w:vAlign w:val="bottom"/>
          </w:tcPr>
          <w:p>
            <w:pPr>
              <w:spacing w:after="0"/>
              <w:rPr>
                <w:sz w:val="20"/>
                <w:szCs w:val="20"/>
                <w:color w:val="auto"/>
              </w:rPr>
            </w:pPr>
            <w:r>
              <w:rPr>
                <w:rFonts w:ascii="Arial" w:cs="Arial" w:eastAsia="Arial" w:hAnsi="Arial"/>
                <w:sz w:val="16"/>
                <w:szCs w:val="16"/>
                <w:b w:val="1"/>
                <w:bCs w:val="1"/>
                <w:color w:val="auto"/>
              </w:rPr>
              <w:t>Non-cash items (a)</w:t>
            </w:r>
          </w:p>
        </w:tc>
        <w:tc>
          <w:tcPr>
            <w:tcW w:w="3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w:t>
            </w:r>
          </w:p>
        </w:tc>
      </w:tr>
      <w:tr>
        <w:trPr>
          <w:trHeight w:val="210"/>
        </w:trPr>
        <w:tc>
          <w:tcPr>
            <w:tcW w:w="10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September 30, 2016</w:t>
            </w: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(a) Reflects charges for impacts of accelerated depreciation and changes in exchange rates.</w:t>
      </w:r>
    </w:p>
    <w:p>
      <w:pPr>
        <w:spacing w:after="0" w:line="19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Federal income taxes for the interim periods presented have been included in the accompanying financial statements on the basis of an estimated annual effective tax rate. As of September 30, 2016, the estimated annual effective tax rate for 2016 is about 30 percent, which differs from the 35 percent statutory corporate tax rate due to lower statutory tax rates applicable to our operations in many of the jurisdictions in which we operate and from U.S. tax benefits.</w:t>
      </w:r>
    </w:p>
    <w:p>
      <w:pPr>
        <w:spacing w:after="0" w:line="33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Available-for-sale and trading securities are stated at fair value, which is generally based on market prices or broker quotes. See the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6"/>
              </w:rPr>
              <w:t>September 30, 2016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December 31, 2015</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Short-Term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Long-Term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Short-Term</w:t>
            </w:r>
          </w:p>
        </w:tc>
        <w:tc>
          <w:tcPr>
            <w:tcW w:w="100" w:type="dxa"/>
            <w:vAlign w:val="bottom"/>
          </w:tcPr>
          <w:p>
            <w:pPr>
              <w:spacing w:after="0"/>
              <w:rPr>
                <w:sz w:val="17"/>
                <w:szCs w:val="17"/>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Investments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U.S. Government agency and Treasury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8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1,176</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8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1,369</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233</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2,218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As of September 30, 2016, and December 31, 2015, unrealized gains and losses associated with our available-for-sale investments were not material. We did not recognize any credit losses related to available-for-sale investments for the nine months ended September 30, 2016, and September 30, 2015.</w:t>
      </w:r>
    </w:p>
    <w:p>
      <w:pPr>
        <w:spacing w:after="0" w:line="12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the nine months ended September 30, 2016, and September 30, 2015, the proceeds from sales, redemptions and maturities of short-term available-for-sale investments were $2.63 billion and $2.46 billion, respectively. Gross realized gains and losses from these sales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aggregate maturities of investments in debt securities classified as available for sale as of September 30, 2016: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r>
      <w:tr>
        <w:trPr>
          <w:trHeight w:val="210"/>
        </w:trPr>
        <w:tc>
          <w:tcPr>
            <w:tcW w:w="968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2,904</w:t>
            </w:r>
          </w:p>
        </w:tc>
        <w:tc>
          <w:tcPr>
            <w:tcW w:w="100" w:type="dxa"/>
            <w:vAlign w:val="bottom"/>
          </w:tcPr>
          <w:p>
            <w:pPr>
              <w:spacing w:after="0"/>
              <w:rPr>
                <w:sz w:val="18"/>
                <w:szCs w:val="18"/>
                <w:color w:val="auto"/>
              </w:rPr>
            </w:pPr>
          </w:p>
        </w:tc>
      </w:tr>
      <w:tr>
        <w:trPr>
          <w:trHeight w:val="219"/>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One to two years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Other-than-temporary declines and impairments in the values of long-term investments recognized in OI&amp;E were not material in the nine months ended September 30, 2016, and September 30,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1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43" w:lineRule="exact"/>
        <w:rPr>
          <w:sz w:val="20"/>
          <w:szCs w:val="20"/>
          <w:color w:val="auto"/>
        </w:rPr>
      </w:pPr>
    </w:p>
    <w:p>
      <w:pPr>
        <w:ind w:left="1040" w:right="100" w:hanging="519"/>
        <w:spacing w:after="0" w:line="31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September 30, 2016, and December 31, 2015, we had no Level 3 assets or liabilities, other than certain assets held by our postretirement plans.</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September 30, 2016, and December 31, 2015. These tables do not include cash on hand, assets held by our postretirement plans, or assets and liabilities that are measured at historical cost or any basis other than fair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2016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w w:val="91"/>
              </w:rPr>
              <w:t>December 31, 2015</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Level 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b w:val="1"/>
                <w:bCs w:val="1"/>
                <w:color w:val="auto"/>
                <w:w w:val="83"/>
              </w:rPr>
              <w:t>Total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Level 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658</w:t>
            </w: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658</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395</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1,754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4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3,143</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2,396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747</w:t>
            </w:r>
          </w:p>
        </w:tc>
        <w:tc>
          <w:tcPr>
            <w:tcW w:w="5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3,177</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2,410</w:t>
            </w:r>
          </w:p>
        </w:tc>
        <w:tc>
          <w:tcPr>
            <w:tcW w:w="3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4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198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198</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Goodwill, net, was $4.36 billion as of September 30, 2016, and December 31, 2015. There was no impairment of goodwill during the nine months ended September 30, 2016, or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net,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September 30, 2016</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rPr>
              <w:t>December 31, 2015</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Gross Carrying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Accumulated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 Carrying</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1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Net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Net</w:t>
            </w:r>
          </w:p>
        </w:tc>
        <w:tc>
          <w:tcPr>
            <w:tcW w:w="100" w:type="dxa"/>
            <w:vAlign w:val="bottom"/>
            <w:tcBorders>
              <w:bottom w:val="single" w:sz="8" w:color="CCEEFF"/>
            </w:tcBorders>
          </w:tcPr>
          <w:p>
            <w:pPr>
              <w:spacing w:after="0"/>
              <w:rPr>
                <w:sz w:val="19"/>
                <w:szCs w:val="19"/>
                <w:color w:val="auto"/>
              </w:rPr>
            </w:pPr>
          </w:p>
        </w:tc>
      </w:tr>
      <w:tr>
        <w:trPr>
          <w:trHeight w:val="213"/>
        </w:trPr>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7 - 10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8"/>
                <w:szCs w:val="18"/>
                <w:color w:val="auto"/>
              </w:rPr>
            </w:pPr>
          </w:p>
        </w:tc>
      </w:tr>
      <w:tr>
        <w:trPr>
          <w:trHeight w:val="213"/>
        </w:trPr>
        <w:tc>
          <w:tcPr>
            <w:tcW w:w="214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400" w:type="dxa"/>
            <w:vAlign w:val="bottom"/>
          </w:tcPr>
          <w:p>
            <w:pPr>
              <w:jc w:val="right"/>
              <w:ind w:right="579"/>
              <w:spacing w:after="0"/>
              <w:rPr>
                <w:sz w:val="20"/>
                <w:szCs w:val="20"/>
                <w:color w:val="auto"/>
              </w:rPr>
            </w:pPr>
            <w:r>
              <w:rPr>
                <w:rFonts w:ascii="Arial" w:cs="Arial" w:eastAsia="Arial" w:hAnsi="Arial"/>
                <w:sz w:val="16"/>
                <w:szCs w:val="16"/>
                <w:b w:val="1"/>
                <w:bCs w:val="1"/>
                <w:color w:val="auto"/>
              </w:rPr>
              <w:t>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r>
      <w:tr>
        <w:trPr>
          <w:trHeight w:val="219"/>
        </w:trPr>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intangibles</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2140" w:type="dxa"/>
            <w:vAlign w:val="bottom"/>
          </w:tcPr>
          <w:p>
            <w:pPr>
              <w:spacing w:after="0"/>
              <w:rPr>
                <w:sz w:val="20"/>
                <w:szCs w:val="20"/>
                <w:color w:val="auto"/>
              </w:rPr>
            </w:pPr>
            <w:r>
              <w:rPr>
                <w:rFonts w:ascii="Arial" w:cs="Arial" w:eastAsia="Arial" w:hAnsi="Arial"/>
                <w:sz w:val="16"/>
                <w:szCs w:val="16"/>
                <w:color w:val="auto"/>
              </w:rPr>
              <w:t>Total</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2,941</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1,597</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1,344</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2,944</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1,361</w:t>
            </w:r>
          </w:p>
        </w:tc>
        <w:tc>
          <w:tcPr>
            <w:tcW w:w="16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Amortization of acquisition-related intangibles was $80 million for the third quarters of both 2016 and 2015, and $239 million and $240 million for the first nine months of 2016 and 2015, respectively, primarily related to developed technology. Fully amortized assets are written off against accumulated amortization.</w:t>
      </w:r>
    </w:p>
    <w:p>
      <w:pPr>
        <w:spacing w:after="0" w:line="37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w w:val="89"/>
              </w:rPr>
              <w:t>U.S.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6"/>
                <w:szCs w:val="16"/>
                <w:b w:val="1"/>
                <w:bCs w:val="1"/>
                <w:color w:val="auto"/>
              </w:rPr>
              <w:t>Retiree Health Care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September 30,</w:t>
            </w:r>
          </w:p>
        </w:tc>
        <w:tc>
          <w:tcPr>
            <w:tcW w:w="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Borders>
              <w:bottom w:val="single" w:sz="8" w:color="CCEEFF"/>
            </w:tcBorders>
          </w:tcPr>
          <w:p>
            <w:pPr>
              <w:spacing w:after="0"/>
              <w:rPr>
                <w:sz w:val="18"/>
                <w:szCs w:val="18"/>
                <w:color w:val="auto"/>
              </w:rPr>
            </w:pPr>
          </w:p>
        </w:tc>
      </w:tr>
      <w:tr>
        <w:trPr>
          <w:trHeight w:val="212"/>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Interest cost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(18)</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 (credit)</w:t>
            </w: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9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Total</w:t>
            </w:r>
          </w:p>
        </w:tc>
        <w:tc>
          <w:tcPr>
            <w:tcW w:w="9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3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spacing w:after="0"/>
              <w:rPr>
                <w:sz w:val="17"/>
                <w:szCs w:val="17"/>
                <w:color w:val="auto"/>
              </w:rPr>
            </w:pPr>
          </w:p>
        </w:tc>
        <w:tc>
          <w:tcPr>
            <w:tcW w:w="620" w:type="dxa"/>
            <w:vAlign w:val="bottom"/>
            <w:gridSpan w:val="2"/>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Retiree Health Care</w:t>
            </w: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Nine Months Ended September 30,</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Borders>
              <w:bottom w:val="single" w:sz="8" w:color="CCEEFF"/>
            </w:tcBorders>
          </w:tcPr>
          <w:p>
            <w:pPr>
              <w:spacing w:after="0"/>
              <w:rPr>
                <w:sz w:val="18"/>
                <w:szCs w:val="18"/>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(31)</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(14)</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(52)</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 (credit)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September 30, 2016, we had a variable-rate revolving credit facility from a consortium of investment-grade banks that allows us to borrow up to $2 billion until March 2021. The interest rate on borrowings under this credit facility, if drawn, is indexed to the applicable London Interbank Offered Rate (LIBOR). As of September 30, 2016, our credit facility was undrawn and we had no commercial paper outstanding.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May 2016, we issued a principal amount of $500 million of fixed-rate long-term debt due in 2022. We incurred $3 million of issuance and other related costs, which are amortized to Interest and debt expense over the term of the debt. The proceeds of the offering were $499 million, net of the original issuance discount, and were used toward the repayment of a portion of $1.0 billion of maturing debt retired in May 2016.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7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2016 at 2.375%</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2017 at 0.875%</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375</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2018 at 1.00%</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2019 at 1.65%</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2020 at 1.75%</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2021 at 2.75%</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2022 at 1.85%</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2023 at 2.25%</w:t>
            </w:r>
          </w:p>
        </w:tc>
        <w:tc>
          <w:tcPr>
            <w:tcW w:w="1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3,625</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(14)</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 including net unamortized discounts, premiums and debt issuance costs</w:t>
            </w:r>
          </w:p>
        </w:tc>
        <w:tc>
          <w:tcPr>
            <w:tcW w:w="1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3,611</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(634)</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Long-term debt</w:t>
            </w:r>
          </w:p>
        </w:tc>
        <w:tc>
          <w:tcPr>
            <w:tcW w:w="14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2,977</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3,120</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and debt expense was $18 million and $22 million for the third quarters of 2016 and 2015, respectively, and $61 million and $68 million for the first nine months of 2016 and 2015, respectively. This was net of the amortization of the debt discounts, premiums and other debt issuance costs. Capitalized interest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11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Typically, our warranties for semiconductor products obligate us to repair, replace or credit the purchase price of a covered product back to the buyer. Product claims may exceed the price of our products.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60"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incurred various costs as a result of the 2011 acquisition of National Semiconductor Corporation (National) that are included in Other for segment reporting purposes, consistent with how management measures the performance of its segments. For the three and nine months ended September 30, 2016, and September 30, 2015, Acquisition charges were primarily from the ongoing amortization of intangible assets resulting from the National acquisition. See Note 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Consolidated Statements of Comprehensive Income include items that have been recognized within Net income during the periods ended September 30, 2016, and September 30, 2015. The table below details where in the Consolidated Statements of Income these transactions are recorded.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For Nine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00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83"/>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2"/>
              </w:rPr>
              <w:t>Impact to Related</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b w:val="1"/>
                <w:bCs w:val="1"/>
                <w:color w:val="auto"/>
              </w:rPr>
              <w:t>2015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0"/>
              </w:rPr>
              <w:t>Statements of Income Lines</w:t>
            </w:r>
          </w:p>
        </w:tc>
        <w:tc>
          <w:tcPr>
            <w:tcW w:w="0" w:type="dxa"/>
            <w:vAlign w:val="bottom"/>
          </w:tcPr>
          <w:p>
            <w:pPr>
              <w:spacing w:after="0"/>
              <w:rPr>
                <w:sz w:val="1"/>
                <w:szCs w:val="1"/>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6"/>
                <w:szCs w:val="16"/>
                <w:b w:val="1"/>
                <w:bCs w:val="1"/>
                <w:color w:val="auto"/>
                <w:w w:val="99"/>
              </w:rPr>
              <w:t>Net actuarial gains (losses) of defined benefit</w:t>
            </w: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20"/>
                <w:szCs w:val="20"/>
                <w:color w:val="auto"/>
              </w:rPr>
            </w:pPr>
            <w:r>
              <w:rPr>
                <w:rFonts w:ascii="Arial" w:cs="Arial" w:eastAsia="Arial" w:hAnsi="Arial"/>
                <w:sz w:val="16"/>
                <w:szCs w:val="16"/>
                <w:b w:val="1"/>
                <w:bCs w:val="1"/>
                <w:color w:val="auto"/>
              </w:rPr>
              <w:t>plans: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Recognized net actuarial loss and Settlement</w:t>
            </w:r>
          </w:p>
        </w:tc>
        <w:tc>
          <w:tcPr>
            <w:tcW w:w="760" w:type="dxa"/>
            <w:vAlign w:val="bottom"/>
            <w:vMerge w:val="restart"/>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w:t>
            </w:r>
          </w:p>
        </w:tc>
        <w:tc>
          <w:tcPr>
            <w:tcW w:w="76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Increase to Pension expense (b)</w:t>
            </w: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Tax effect</w:t>
            </w:r>
          </w:p>
        </w:tc>
        <w:tc>
          <w:tcPr>
            <w:tcW w:w="7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w:t>
            </w:r>
          </w:p>
        </w:tc>
        <w:tc>
          <w:tcPr>
            <w:tcW w:w="82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(18)</w:t>
            </w:r>
          </w:p>
        </w:tc>
        <w:tc>
          <w:tcPr>
            <w:tcW w:w="7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(19)</w:t>
            </w:r>
          </w:p>
        </w:tc>
        <w:tc>
          <w:tcPr>
            <w:tcW w:w="3280" w:type="dxa"/>
            <w:vAlign w:val="bottom"/>
            <w:gridSpan w:val="2"/>
          </w:tcPr>
          <w:p>
            <w:pPr>
              <w:ind w:left="6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6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8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6"/>
                <w:szCs w:val="16"/>
                <w:b w:val="1"/>
                <w:bCs w:val="1"/>
                <w:color w:val="auto"/>
              </w:rPr>
              <w:t>Prior service (cost) credit of defined benefit</w:t>
            </w: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4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20"/>
                <w:szCs w:val="20"/>
                <w:color w:val="auto"/>
              </w:rPr>
            </w:pPr>
            <w:r>
              <w:rPr>
                <w:rFonts w:ascii="Arial" w:cs="Arial" w:eastAsia="Arial" w:hAnsi="Arial"/>
                <w:sz w:val="16"/>
                <w:szCs w:val="16"/>
                <w:b w:val="1"/>
                <w:bCs w:val="1"/>
                <w:color w:val="auto"/>
              </w:rPr>
              <w:t>plans: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cost (credit) (a)</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(Decrease) increase to Pension expense (b)</w:t>
            </w: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Tax effect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3280" w:type="dxa"/>
            <w:vAlign w:val="bottom"/>
            <w:gridSpan w:val="2"/>
          </w:tcPr>
          <w:p>
            <w:pPr>
              <w:ind w:left="60"/>
              <w:spacing w:after="0"/>
              <w:rPr>
                <w:sz w:val="20"/>
                <w:szCs w:val="20"/>
                <w:color w:val="auto"/>
              </w:rPr>
            </w:pPr>
            <w:r>
              <w:rPr>
                <w:rFonts w:ascii="Arial" w:cs="Arial" w:eastAsia="Arial" w:hAnsi="Arial"/>
                <w:sz w:val="16"/>
                <w:szCs w:val="16"/>
                <w:color w:val="auto"/>
                <w:w w:val="90"/>
              </w:rPr>
              <w:t>Increase (decrease) to Provision for income taxes</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8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(Increase) decrease to Net income</w:t>
            </w: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Derivative instruments: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treasury rate locks</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Increase to Interest and debt expense</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Detailed in Note 7.</w:t>
      </w:r>
    </w:p>
    <w:p>
      <w:pPr>
        <w:spacing w:after="0" w:line="12" w:lineRule="exact"/>
        <w:rPr>
          <w:rFonts w:ascii="Arial" w:cs="Arial" w:eastAsia="Arial" w:hAnsi="Arial"/>
          <w:sz w:val="16"/>
          <w:szCs w:val="16"/>
          <w:color w:val="auto"/>
        </w:rPr>
      </w:pP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Pension expense is included in COR, R&amp;D and SG&amp;A in the Consolidated Statements of Income.</w:t>
      </w:r>
    </w:p>
    <w:p>
      <w:pPr>
        <w:spacing w:after="0" w:line="226"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Subsequent event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October 2016, we announced an increase in our quarterly cash dividend rate from $0.38 to $0.50 per share. This dividend will be payable November 21, 2016, to shareholders of record on November 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the following attributes:</w:t>
      </w:r>
    </w:p>
    <w:p>
      <w:pPr>
        <w:spacing w:after="0" w:line="62" w:lineRule="exact"/>
        <w:rPr>
          <w:sz w:val="20"/>
          <w:szCs w:val="20"/>
          <w:color w:val="auto"/>
        </w:rPr>
      </w:pPr>
    </w:p>
    <w:p>
      <w:pPr>
        <w:ind w:left="1040" w:right="2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design engineers need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and most times multiple, chips for their 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78" w:lineRule="exact"/>
        <w:rPr>
          <w:rFonts w:ascii="Arial" w:cs="Arial" w:eastAsia="Arial" w:hAnsi="Arial"/>
          <w:sz w:val="18"/>
          <w:szCs w:val="18"/>
          <w:color w:val="auto"/>
        </w:rPr>
      </w:pPr>
    </w:p>
    <w:p>
      <w:pPr>
        <w:ind w:left="1040" w:right="60" w:hanging="519"/>
        <w:spacing w:after="0" w:line="25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 strong foundation of manufacturing technology and low-cost production. </w:t>
      </w:r>
      <w:r>
        <w:rPr>
          <w:rFonts w:ascii="Arial" w:cs="Arial" w:eastAsia="Arial" w:hAnsi="Arial"/>
          <w:sz w:val="18"/>
          <w:szCs w:val="18"/>
          <w:color w:val="auto"/>
        </w:rPr>
        <w:t>We invest in manufacturing technologies that differentiate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2015, we produced approximately 25 percent of our Analog semiconductors on 300-millimeter wafers, the industry’s largest wafers, which have a 40 percent cost advantage per unpackaged chip over 200-millimeter wafers. The majority of our future Analog growth will be produced on 300-millimeter wafers, which will be meaningful to the growth of our margins and cash flow over the long term.</w:t>
      </w:r>
    </w:p>
    <w:p>
      <w:pPr>
        <w:spacing w:after="0" w:line="89"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Industry’s largest market channels. </w:t>
      </w:r>
      <w:r>
        <w:rPr>
          <w:rFonts w:ascii="Arial" w:cs="Arial" w:eastAsia="Arial" w:hAnsi="Arial"/>
          <w:sz w:val="18"/>
          <w:szCs w:val="18"/>
          <w:color w:val="auto"/>
        </w:rPr>
        <w:t>Our global sales force is larger than those of our competitors, and the breadth of our portfolio attracts tens</w:t>
      </w:r>
      <w:r>
        <w:rPr>
          <w:rFonts w:ascii="Arial" w:cs="Arial" w:eastAsia="Arial" w:hAnsi="Arial"/>
          <w:sz w:val="18"/>
          <w:szCs w:val="18"/>
          <w:i w:val="1"/>
          <w:iCs w:val="1"/>
          <w:color w:val="auto"/>
        </w:rPr>
        <w:t xml:space="preserve"> </w:t>
      </w:r>
      <w:r>
        <w:rPr>
          <w:rFonts w:ascii="Arial" w:cs="Arial" w:eastAsia="Arial" w:hAnsi="Arial"/>
          <w:sz w:val="18"/>
          <w:szCs w:val="18"/>
          <w:color w:val="auto"/>
        </w:rPr>
        <w:t>of millions of visits to our web site each year where customers often begin their initial product searches and design-in journey. These capabilities combine to provide us unique access to more than 100,000 customers.</w:t>
      </w:r>
    </w:p>
    <w:p>
      <w:pPr>
        <w:spacing w:after="0" w:line="73"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attributes above result in diverse and long-lived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combined effect of these attributes is that we have consistently grown free cash flow and gained market share in Analog and Embedded Processing.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attributes put us in a unique class of companies with the ability to grow, generate cash, and return that cash to shareholders.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6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540" w:right="6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New products tend not to have a significant impact on our revenue in any given period because we sell such a large number of products.</w:t>
      </w:r>
    </w:p>
    <w:p>
      <w:pPr>
        <w:spacing w:after="0" w:line="62"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540" w:right="120" w:hanging="513"/>
        <w:spacing w:after="0" w:line="302"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46" w:lineRule="exact"/>
        <w:rPr>
          <w:rFonts w:ascii="Arial" w:cs="Arial" w:eastAsia="Arial" w:hAnsi="Arial"/>
          <w:sz w:val="18"/>
          <w:szCs w:val="18"/>
          <w:color w:val="auto"/>
        </w:rPr>
      </w:pPr>
    </w:p>
    <w:p>
      <w:pPr>
        <w:ind w:left="1540" w:right="26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Over time, we have been allocating resources from areas like manufacturing support and SG&amp;A into R&amp;D activities. As a result of this allocation, R&amp;D expense will continue increasing into 2017.</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16" w:name="page17"/>
    <w:bookmarkEnd w:id="16"/>
    <w:p>
      <w:pPr>
        <w:jc w:val="both"/>
        <w:ind w:left="1540" w:right="320" w:hanging="506"/>
        <w:spacing w:after="0" w:line="254" w:lineRule="auto"/>
        <w:tabs>
          <w:tab w:leader="none" w:pos="1540" w:val="left"/>
        </w:tabs>
        <w:numPr>
          <w:ilvl w:val="1"/>
          <w:numId w:val="19"/>
        </w:numPr>
        <w:rPr>
          <w:rFonts w:ascii="Courier New" w:cs="Courier New" w:eastAsia="Courier New" w:hAnsi="Courier New"/>
          <w:sz w:val="18"/>
          <w:szCs w:val="18"/>
          <w:color w:val="auto"/>
        </w:rPr>
      </w:pPr>
      <w:r>
        <w:rPr>
          <w:rFonts w:ascii="Arial" w:cs="Arial" w:eastAsia="Arial" w:hAnsi="Arial"/>
          <w:sz w:val="18"/>
          <w:szCs w:val="18"/>
          <w:color w:val="auto"/>
        </w:rPr>
        <w:t>Our annual effective tax rate benefits from lower tax rates (compared to the U.S. statutory rate) applicable to our operations in many of the jurisdictions in which we operate and from U.S. tax benefits. These lower non-U.S. tax rates are generally statutory in nature, without expiration and available to companies that operate in those taxing jurisdictions.</w:t>
      </w:r>
    </w:p>
    <w:p>
      <w:pPr>
        <w:spacing w:after="0" w:line="82" w:lineRule="exact"/>
        <w:rPr>
          <w:rFonts w:ascii="Courier New" w:cs="Courier New" w:eastAsia="Courier New" w:hAnsi="Courier New"/>
          <w:sz w:val="18"/>
          <w:szCs w:val="18"/>
          <w:color w:val="auto"/>
        </w:rPr>
      </w:pPr>
    </w:p>
    <w:p>
      <w:pPr>
        <w:ind w:left="1040" w:right="26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third-quarter revenue was $3.68 billion, net income was $968 million and earnings per share (EPS) were $0.94.</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also increased our quarterly dividend by 32 percent to 50 cents per share, or $2.00 annualized. The increase reflects our continued strength in free cash flow generation and our commitment to return excess cash to shareholders. The quarterly dividend was declared and will be payable November 21, 2016, to shareholders of record on November 7, 2016.</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Revenue and earnings per share for the quarter were slightly above our expected range. Compared with a year ago, demand for our products continued to be strong in the automotive market and improved in the industrial market. Demand in the personal electronics market was about even with a year ago.</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core businesses, Embedded Processing revenue grew 10 percent and Analog revenue grew 6 percent from the same quarter a year ago. Operating margin increased in both businesses. Gross margin of 62.0 percent reflected the quality of our product portfolio, as well as the efficiency of our manufacturing strategy, including the benefit of 300-millimeter Analog production.</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cash flow from operations of $4.5 billion for the trailing 12 months again underscored the strength of our business model. Free cash flow for the trailing 12 months was up 8 percent from a year ago to $3.9 billion, and represents 29.5 percent of revenue, up from 27.5 percent a year ago. We have returned $3.8 billion to shareholders in the past 12 months through stock repurchases and dividends, consistent with our strategy to return to shareholders all of our free cash flow plus proceeds from exercises of equity compensation minus net debt retirement.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balance sheet remains strong with $3.1 billion of cash and short-term investments at the end of the quarter, about 80 percent of which was owned by the company’s U.S. entities. Inventory ended the quarter at 117 days.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Free cash flow is a non-GAAP financial measure. For reconciliation to GAAP and an explanation of the reason for providing this non-GAAP measure, see the Non-GAAP financial information section after the Liquidity and capital resources section.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third-quarter 2016 compared with third-quarter 2015</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Revenue increased $246 million, or 7 percent, due to higher revenue from Analog and, to a lesser extent, Embedded Processing and Other. In both periods, Analog and Embedded Processing comprised 85 percent of revenue.</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Gross profit of $2.28 billion was up $283 million, or 14 percent, primarily due to higher revenue and, to a lesser extent, lower manufacturing costs. As a percentage of revenue, gross profit increased to 62.0 percent from 58.2 percent.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were $356 million for R&amp;D and $448 million for SG&amp;A. R&amp;D expense increased $40 million, or 13 percent, due to a combination of our ongoing allocation of resources into R&amp;D activities and higher compensation-related costs. SG&amp;A expense increased $14 million, or 3 percent, primarily due to higher compensation-related costs.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Acquisition charges associated with our 2011 acquisition of National were $80 million compared with $83 million. These non-cash charges resulted from the ongoing amortization of intangible assets.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Operating profit was $1.40 billion, or 38.0 percent of revenue, compared with $1.16 billion, or 33.9 percent of revenue.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Quarterly income taxes are calculated using the estimated annual effective tax rate. At the end of the third quarter, our estimated annual effective tax rate for 2016 was about 30 percent. Our tax provision was $413 million compared with $350 million. The increase was due to higher income before income taxes. The tax provision also included the effect of the federal research tax credit, which was not included in the year-ago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$968 million compared with $798 million, and EPS was $0.94 compared with $0.76.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Third-quarter 2016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Analog (includes High Volume Analog &amp; Logic (HVAL), Power Management (Power), High Performance Analog (HPA) and Silicon Valley Analog (SVA)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lines)</w:t>
      </w:r>
    </w:p>
    <w:p>
      <w:pPr>
        <w:spacing w:after="0" w:line="18" w:lineRule="exact"/>
        <w:rPr>
          <w:sz w:val="20"/>
          <w:szCs w:val="20"/>
          <w:color w:val="auto"/>
        </w:rPr>
      </w:pPr>
    </w:p>
    <w:tbl>
      <w:tblPr>
        <w:tblLayout w:type="fixed"/>
        <w:tblInd w:w="246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3Q16</w:t>
            </w:r>
          </w:p>
        </w:tc>
        <w:tc>
          <w:tcPr>
            <w:tcW w:w="2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3Q15</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40" w:type="dxa"/>
            <w:vAlign w:val="bottom"/>
          </w:tcPr>
          <w:p>
            <w:pPr>
              <w:spacing w:after="0"/>
              <w:rPr>
                <w:sz w:val="20"/>
                <w:szCs w:val="20"/>
                <w:color w:val="auto"/>
              </w:rPr>
            </w:pPr>
          </w:p>
        </w:tc>
      </w:tr>
      <w:tr>
        <w:trPr>
          <w:trHeight w:val="237"/>
        </w:trPr>
        <w:tc>
          <w:tcPr>
            <w:tcW w:w="288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2,323</w:t>
            </w:r>
          </w:p>
        </w:tc>
        <w:tc>
          <w:tcPr>
            <w:tcW w:w="3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2,182</w:t>
            </w:r>
          </w:p>
        </w:tc>
        <w:tc>
          <w:tcPr>
            <w:tcW w:w="20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auto"/>
            </w:tcBorders>
          </w:tcPr>
          <w:p>
            <w:pPr>
              <w:spacing w:after="0"/>
              <w:rPr>
                <w:sz w:val="20"/>
                <w:szCs w:val="20"/>
                <w:color w:val="auto"/>
              </w:rPr>
            </w:pPr>
          </w:p>
        </w:tc>
      </w:tr>
      <w:tr>
        <w:trPr>
          <w:trHeight w:val="243"/>
        </w:trPr>
        <w:tc>
          <w:tcPr>
            <w:tcW w:w="2880" w:type="dxa"/>
            <w:vAlign w:val="bottom"/>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949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r>
      <w:tr>
        <w:trPr>
          <w:trHeight w:val="243"/>
        </w:trPr>
        <w:tc>
          <w:tcPr>
            <w:tcW w:w="288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profit % of revenue</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40.9%</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Analog revenue increased due about equally to HPA, SVA and Power. HVAL was about even. Operating profit increased primarily due to higher revenue and lower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Processors and Connectivity product lines)</w:t>
      </w:r>
    </w:p>
    <w:p>
      <w:pPr>
        <w:spacing w:after="0" w:line="32" w:lineRule="exact"/>
        <w:rPr>
          <w:sz w:val="20"/>
          <w:szCs w:val="20"/>
          <w:color w:val="auto"/>
        </w:rPr>
      </w:pPr>
    </w:p>
    <w:tbl>
      <w:tblPr>
        <w:tblLayout w:type="fixed"/>
        <w:tblInd w:w="250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3Q16</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3Q15</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Change</w:t>
            </w:r>
          </w:p>
        </w:tc>
      </w:tr>
      <w:tr>
        <w:trPr>
          <w:trHeight w:val="237"/>
        </w:trPr>
        <w:tc>
          <w:tcPr>
            <w:tcW w:w="288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795</w:t>
            </w:r>
          </w:p>
        </w:tc>
        <w:tc>
          <w:tcPr>
            <w:tcW w:w="34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w:t>
            </w:r>
          </w:p>
        </w:tc>
      </w:tr>
      <w:tr>
        <w:trPr>
          <w:trHeight w:val="243"/>
        </w:trPr>
        <w:tc>
          <w:tcPr>
            <w:tcW w:w="2880" w:type="dxa"/>
            <w:vAlign w:val="bottom"/>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26%</w:t>
            </w:r>
          </w:p>
        </w:tc>
      </w:tr>
      <w:tr>
        <w:trPr>
          <w:trHeight w:val="243"/>
        </w:trPr>
        <w:tc>
          <w:tcPr>
            <w:tcW w:w="288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profit % of revenue</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Embedded Processing revenue increased in all three product lines, led by Processors. The increase in Processors revenue was due to the mix of products shipped.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custom ASICs and royalties)</w:t>
      </w:r>
    </w:p>
    <w:p>
      <w:pPr>
        <w:spacing w:after="0" w:line="32" w:lineRule="exact"/>
        <w:rPr>
          <w:sz w:val="20"/>
          <w:szCs w:val="20"/>
          <w:color w:val="auto"/>
        </w:rPr>
      </w:pPr>
    </w:p>
    <w:tbl>
      <w:tblPr>
        <w:tblLayout w:type="fixed"/>
        <w:tblInd w:w="250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3Q16</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3Q15</w:t>
            </w: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Change</w:t>
            </w:r>
          </w:p>
        </w:tc>
      </w:tr>
      <w:tr>
        <w:trPr>
          <w:trHeight w:val="237"/>
        </w:trPr>
        <w:tc>
          <w:tcPr>
            <w:tcW w:w="288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557</w:t>
            </w:r>
          </w:p>
        </w:tc>
        <w:tc>
          <w:tcPr>
            <w:tcW w:w="34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7%</w:t>
            </w:r>
          </w:p>
        </w:tc>
      </w:tr>
      <w:tr>
        <w:trPr>
          <w:trHeight w:val="243"/>
        </w:trPr>
        <w:tc>
          <w:tcPr>
            <w:tcW w:w="2880" w:type="dxa"/>
            <w:vAlign w:val="bottom"/>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21"/>
                <w:szCs w:val="21"/>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27%</w:t>
            </w:r>
          </w:p>
        </w:tc>
      </w:tr>
      <w:tr>
        <w:trPr>
          <w:trHeight w:val="243"/>
        </w:trPr>
        <w:tc>
          <w:tcPr>
            <w:tcW w:w="288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profit % of revenue</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40.6%</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bl>
    <w:p>
      <w:pPr>
        <w:spacing w:after="0" w:line="16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Other revenue increased primarily due to calculators and DLP products, partially offset by a decrease in royalties and custom ASICs. Operating profit increased primarily due to higher revenue and associated gross profit.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nine months of 2016 compared with first nine months of 2015</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of $9.96 billion increased $145 million due to higher revenue from Embedded Processing. Analog and Embedded Processing comprised 86 percent of revenue compared with 85 percent.</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Gross profit of $6.11 billion was up $413 million, or 7 percent, primarily due to lower manufacturing costs and, to a lesser extent, higher revenue. Primarily as a result of the lower manufacturing costs, gross profit as a percentage of revenue increased from 58.0 percent to 61.3 percent.</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R&amp;D expense was $1.03 billion, an increase of $53 million, or 5 percent, due to a combination of our ongoing allocation of resources to R&amp;D activities and higher compensation-related costs. SG&amp;A expense of $1.36 billion was about even as higher compensation-related and support costs were mostly offset by the ongoing allocation of resources to R&amp;D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Acquisition charges were $239 million compared with $248 million. These non-cash charges resulted from the ongoing amortization of intangible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$3.48 billion, or 35.0 percent of revenue, compared with $3.13 billion, or 31.9 percent of revenue.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tax provision was $1.02 billion compared with $927 million. The increase was primarily due to higher income before income taxes. The tax provision also included the effect of the federal research tax credit, which was not included in the first nine months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$2.42 billion compared with $2.15 billion. EPS was $2.34 compared with $2.02.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Year-to-date segment results</w:t>
            </w:r>
          </w:p>
        </w:tc>
        <w:tc>
          <w:tcPr>
            <w:tcW w:w="35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53"/>
        </w:trPr>
        <w:tc>
          <w:tcPr>
            <w:tcW w:w="5580" w:type="dxa"/>
            <w:vAlign w:val="bottom"/>
            <w:gridSpan w:val="3"/>
          </w:tcPr>
          <w:p>
            <w:pPr>
              <w:spacing w:after="0"/>
              <w:rPr>
                <w:sz w:val="20"/>
                <w:szCs w:val="20"/>
                <w:color w:val="auto"/>
              </w:rPr>
            </w:pPr>
            <w:r>
              <w:rPr>
                <w:rFonts w:ascii="Arial" w:cs="Arial" w:eastAsia="Arial" w:hAnsi="Arial"/>
                <w:sz w:val="18"/>
                <w:szCs w:val="18"/>
                <w:color w:val="auto"/>
                <w:w w:val="98"/>
              </w:rPr>
              <w:t>Our segment results compared with the year-ago period are as follows: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5580" w:type="dxa"/>
            <w:vAlign w:val="bottom"/>
            <w:gridSpan w:val="3"/>
          </w:tcPr>
          <w:p>
            <w:pPr>
              <w:spacing w:after="0"/>
              <w:rPr>
                <w:sz w:val="20"/>
                <w:szCs w:val="20"/>
                <w:color w:val="auto"/>
              </w:rPr>
            </w:pPr>
            <w:r>
              <w:rPr>
                <w:rFonts w:ascii="Arial" w:cs="Arial" w:eastAsia="Arial" w:hAnsi="Arial"/>
                <w:sz w:val="18"/>
                <w:szCs w:val="18"/>
                <w:i w:val="1"/>
                <w:iCs w:val="1"/>
                <w:color w:val="auto"/>
              </w:rPr>
              <w:t>Analog</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YTD 2016</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YTD 2015</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37"/>
        </w:trPr>
        <w:tc>
          <w:tcPr>
            <w:tcW w:w="2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94"/>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6,246</w:t>
            </w:r>
          </w:p>
        </w:tc>
        <w:tc>
          <w:tcPr>
            <w:tcW w:w="1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94"/>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6,266</w:t>
            </w:r>
          </w:p>
        </w:tc>
        <w:tc>
          <w:tcPr>
            <w:tcW w:w="16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2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2,399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2,261</w:t>
            </w:r>
          </w:p>
        </w:tc>
        <w:tc>
          <w:tcPr>
            <w:tcW w:w="16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6%</w:t>
            </w:r>
          </w:p>
        </w:tc>
      </w:tr>
      <w:tr>
        <w:trPr>
          <w:trHeight w:val="243"/>
        </w:trPr>
        <w:tc>
          <w:tcPr>
            <w:tcW w:w="2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38.4%</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Analog revenue was about even as higher revenue from SVA and HPA was offset by decreased revenue from HVAL. Power was about even. Operating profit increased primarily due to higher gross profit, which benefitted from lower manufacturing costs. The increase was partially offset by higher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1"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YTD 2016</w:t>
            </w: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YTD 2015</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Change</w:t>
            </w:r>
          </w:p>
        </w:tc>
      </w:tr>
      <w:tr>
        <w:trPr>
          <w:trHeight w:val="237"/>
        </w:trPr>
        <w:tc>
          <w:tcPr>
            <w:tcW w:w="288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2,279</w:t>
            </w:r>
          </w:p>
        </w:tc>
        <w:tc>
          <w:tcPr>
            <w:tcW w:w="1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14"/>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16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9%</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591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21"/>
                <w:szCs w:val="21"/>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37%</w:t>
            </w:r>
          </w:p>
        </w:tc>
      </w:tr>
      <w:tr>
        <w:trPr>
          <w:trHeight w:val="243"/>
        </w:trPr>
        <w:tc>
          <w:tcPr>
            <w:tcW w:w="2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25.9%</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Embedded Processing revenue increased in all three product lines, led by Processors, with Microcontrollers and Connectivity contributing about equally but to a lesser extent. Processors and Microcontrollers revenue increased due to the mix of products shipped. Operating profit increased primarily due to higher revenue and associated gross profit.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5"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YTD 2016</w:t>
            </w: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YTD 2015</w:t>
            </w: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Change</w:t>
            </w:r>
          </w:p>
        </w:tc>
      </w:tr>
      <w:tr>
        <w:trPr>
          <w:trHeight w:val="237"/>
        </w:trPr>
        <w:tc>
          <w:tcPr>
            <w:tcW w:w="29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1,431</w:t>
            </w:r>
          </w:p>
        </w:tc>
        <w:tc>
          <w:tcPr>
            <w:tcW w:w="1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6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-2%</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21"/>
                <w:szCs w:val="21"/>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12%</w:t>
            </w:r>
          </w:p>
        </w:tc>
      </w:tr>
      <w:tr>
        <w:trPr>
          <w:trHeight w:val="243"/>
        </w:trPr>
        <w:tc>
          <w:tcPr>
            <w:tcW w:w="2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Other revenue was about even, as decreases in custom ASICs, royalties and calculators were offset by an increase in DLP products. Operating profit increased primarily due to higher gross profit.</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57"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the end of the third quarter of 2016, Cash and cash equivalents plus Short-term investments was $3.14 billion, a decrease of $81 million from the end of 2015.</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Accounts receivable were $1.45 billion, an increase of $282 million compared with the end of 2015. Days sales outstanding were 35 at the end of the third quarter compared with 33 at the end of 2015.</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Inventory was $1.81 billion, an increase of $117 million from the end of 2015. Days of inventory increased from 115 at the end of 2015 to 117 at the end of the third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nine months of 2016 was $3.03 billion, an increase of $191 million from the year-ago period due to an increase in Net income.</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2021. This credit facility also serves as support for the issuance of commercial paper. As of September 30, 2016,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the first nine months of 2016, investing activities provided $35 million compared with $373 million in the year-ago period. Capital expenditures were</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$421 million compared with $387 million in the year-ago period and were primarily for semiconductor manufacturing equipment. We received proceeds from sales of short-term investments, net of purchases, of $454 million compared with $742 million in the year-ago period.</w:t>
      </w:r>
    </w:p>
    <w:p>
      <w:pPr>
        <w:spacing w:after="0" w:line="1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the first nine months of 2016, financing activities used cash of $2.70 billion compared with $3.28 billion in the year-ago period. In 2016, we received proceeds of $499 million from the issuance of fixed-rate long-term debt (net of original issuance discount) compared with $498 million in 2015. We retired maturing debt of $1.0 billion in both 2016 and 2015. We paid dividends of $1.15 billion compared with $1.06 billion in the year-ago period, reflecting an increase in the dividend rate, partially offset by fewer shares outstanding. We used $1.66 billion to repurchase 28.8 million shares of our common stock, compared with $2.11 billion used in the year-ago period to repurchase 39.7 million shares. Employee exercises of stock options provided cash proceeds of $484 million compared with $332 million in the year-ago period.</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October 2016, we announced a 32 percent increase in our quarterly cash dividend, which increased from $0.38 to $0.50 per share. This dividend will be payable November 21, 2016, to shareholders of record on November 7, 2016.</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had $1.37 billion of Cash and cash equivalents and $1.77 billion of Short-term investments as of September 30, 2016.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12 Months Ended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2"/>
        </w:trPr>
        <w:tc>
          <w:tcPr>
            <w:tcW w:w="42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2015</w:t>
            </w:r>
          </w:p>
        </w:tc>
        <w:tc>
          <w:tcPr>
            <w:tcW w:w="26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196"/>
        </w:trPr>
        <w:tc>
          <w:tcPr>
            <w:tcW w:w="4200" w:type="dxa"/>
            <w:vAlign w:val="bottom"/>
            <w:shd w:val="clear" w:color="auto" w:fill="CFF0FC"/>
          </w:tcPr>
          <w:p>
            <w:pPr>
              <w:ind w:left="60"/>
              <w:spacing w:after="0"/>
              <w:rPr>
                <w:sz w:val="20"/>
                <w:szCs w:val="20"/>
                <w:color w:val="auto"/>
              </w:rPr>
            </w:pPr>
            <w:r>
              <w:rPr>
                <w:rFonts w:ascii="Arial" w:cs="Arial" w:eastAsia="Arial" w:hAnsi="Arial"/>
                <w:sz w:val="16"/>
                <w:szCs w:val="16"/>
                <w:color w:val="auto"/>
              </w:rPr>
              <w:t>Cash flow from operations (GAAP)</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4,459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4,110</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rPr>
              <w:t>8%</w:t>
            </w:r>
          </w:p>
        </w:tc>
      </w:tr>
      <w:tr>
        <w:trPr>
          <w:trHeight w:val="213"/>
        </w:trPr>
        <w:tc>
          <w:tcPr>
            <w:tcW w:w="4200" w:type="dxa"/>
            <w:vAlign w:val="bottom"/>
            <w:tcBorders>
              <w:bottom w:val="single" w:sz="8" w:color="CFF0FC"/>
            </w:tcBorders>
          </w:tcPr>
          <w:p>
            <w:pPr>
              <w:ind w:left="6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26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r>
      <w:tr>
        <w:trPr>
          <w:trHeight w:val="199"/>
        </w:trPr>
        <w:tc>
          <w:tcPr>
            <w:tcW w:w="4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Free cash flow (non-GAAP)</w:t>
            </w: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3,874</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3,598</w:t>
            </w:r>
          </w:p>
        </w:tc>
        <w:tc>
          <w:tcPr>
            <w:tcW w:w="1140" w:type="dxa"/>
            <w:vAlign w:val="bottom"/>
            <w:tcBorders>
              <w:bottom w:val="single" w:sz="8" w:color="CFF0FC"/>
            </w:tcBorders>
            <w:gridSpan w:val="2"/>
            <w:shd w:val="clear" w:color="auto" w:fill="CFF0FC"/>
          </w:tcPr>
          <w:p>
            <w:pPr>
              <w:jc w:val="center"/>
              <w:ind w:left="179"/>
              <w:spacing w:after="0"/>
              <w:rPr>
                <w:sz w:val="20"/>
                <w:szCs w:val="20"/>
                <w:color w:val="auto"/>
              </w:rPr>
            </w:pPr>
            <w:r>
              <w:rPr>
                <w:rFonts w:ascii="Arial" w:cs="Arial" w:eastAsia="Arial" w:hAnsi="Arial"/>
                <w:sz w:val="16"/>
                <w:szCs w:val="16"/>
                <w:b w:val="1"/>
                <w:bCs w:val="1"/>
                <w:color w:val="auto"/>
              </w:rPr>
              <w:t>8%</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42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r>
      <w:tr>
        <w:trPr>
          <w:trHeight w:val="196"/>
        </w:trPr>
        <w:tc>
          <w:tcPr>
            <w:tcW w:w="4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13,145</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13,080</w:t>
            </w: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6"/>
        </w:trPr>
        <w:tc>
          <w:tcPr>
            <w:tcW w:w="4200" w:type="dxa"/>
            <w:vAlign w:val="bottom"/>
            <w:shd w:val="clear" w:color="auto" w:fill="CFF0FC"/>
          </w:tcPr>
          <w:p>
            <w:pPr>
              <w:ind w:left="60"/>
              <w:spacing w:after="0"/>
              <w:rPr>
                <w:sz w:val="20"/>
                <w:szCs w:val="20"/>
                <w:color w:val="auto"/>
              </w:rPr>
            </w:pPr>
            <w:r>
              <w:rPr>
                <w:rFonts w:ascii="Arial" w:cs="Arial" w:eastAsia="Arial" w:hAnsi="Arial"/>
                <w:sz w:val="16"/>
                <w:szCs w:val="16"/>
                <w:color w:val="auto"/>
                <w:w w:val="98"/>
              </w:rPr>
              <w:t>Cash flow from operations as a percent of revenue (GAAP)</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0"/>
        </w:trPr>
        <w:tc>
          <w:tcPr>
            <w:tcW w:w="4200" w:type="dxa"/>
            <w:vAlign w:val="bottom"/>
          </w:tcPr>
          <w:p>
            <w:pPr>
              <w:ind w:left="60"/>
              <w:spacing w:after="0"/>
              <w:rPr>
                <w:sz w:val="20"/>
                <w:szCs w:val="20"/>
                <w:color w:val="auto"/>
              </w:rPr>
            </w:pPr>
            <w:r>
              <w:rPr>
                <w:rFonts w:ascii="Arial" w:cs="Arial" w:eastAsia="Arial" w:hAnsi="Arial"/>
                <w:sz w:val="16"/>
                <w:szCs w:val="16"/>
                <w:color w:val="auto"/>
              </w:rPr>
              <w:t>Free cash flow as a percent of revenue (non-GAAP)</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Information regarding long-term debt obligations is described in the long-term contractual obligations table in Item 7 of our Form 10-K for the year ended December 31, 2015. Additionally, in May 2016 we issued $500 million principal amount of 1.85 percent notes maturing in 2022, and we retired $1.0 billion of maturing debt.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2015, and is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5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560" w:type="dxa"/>
            <w:vAlign w:val="bottom"/>
            <w:gridSpan w:val="4"/>
          </w:tcPr>
          <w:p>
            <w:pPr>
              <w:ind w:left="3420"/>
              <w:spacing w:after="0"/>
              <w:rPr>
                <w:sz w:val="20"/>
                <w:szCs w:val="20"/>
                <w:color w:val="auto"/>
              </w:rPr>
            </w:pPr>
            <w:r>
              <w:rPr>
                <w:rFonts w:ascii="Arial" w:cs="Arial" w:eastAsia="Arial" w:hAnsi="Arial"/>
                <w:sz w:val="18"/>
                <w:szCs w:val="18"/>
                <w:b w:val="1"/>
                <w:bCs w:val="1"/>
                <w:color w:val="auto"/>
              </w:rPr>
              <w:t>ISSUER PURCHASES OF EQUITY SECURITIES</w:t>
            </w: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06"/>
        </w:trPr>
        <w:tc>
          <w:tcPr>
            <w:tcW w:w="4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Total Number</w:t>
            </w:r>
          </w:p>
        </w:tc>
        <w:tc>
          <w:tcPr>
            <w:tcW w:w="400" w:type="dxa"/>
            <w:vAlign w:val="bottom"/>
          </w:tcPr>
          <w:p>
            <w:pPr>
              <w:spacing w:after="0"/>
              <w:rPr>
                <w:sz w:val="24"/>
                <w:szCs w:val="24"/>
                <w:color w:val="auto"/>
              </w:rPr>
            </w:pPr>
          </w:p>
        </w:tc>
        <w:tc>
          <w:tcPr>
            <w:tcW w:w="13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of Shares</w:t>
            </w:r>
          </w:p>
        </w:tc>
        <w:tc>
          <w:tcPr>
            <w:tcW w:w="400" w:type="dxa"/>
            <w:vAlign w:val="bottom"/>
          </w:tcPr>
          <w:p>
            <w:pPr>
              <w:spacing w:after="0"/>
              <w:rPr>
                <w:sz w:val="18"/>
                <w:szCs w:val="18"/>
                <w:color w:val="auto"/>
              </w:rPr>
            </w:pPr>
          </w:p>
        </w:tc>
        <w:tc>
          <w:tcPr>
            <w:tcW w:w="13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4"/>
              </w:rPr>
              <w:t>Dollar Value</w:t>
            </w:r>
          </w:p>
        </w:tc>
      </w:tr>
      <w:tr>
        <w:trPr>
          <w:trHeight w:val="216"/>
        </w:trPr>
        <w:tc>
          <w:tcPr>
            <w:tcW w:w="4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Purchased as</w:t>
            </w:r>
          </w:p>
        </w:tc>
        <w:tc>
          <w:tcPr>
            <w:tcW w:w="17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4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Part of</w:t>
            </w:r>
          </w:p>
        </w:tc>
        <w:tc>
          <w:tcPr>
            <w:tcW w:w="400" w:type="dxa"/>
            <w:vAlign w:val="bottom"/>
          </w:tcPr>
          <w:p>
            <w:pPr>
              <w:spacing w:after="0"/>
              <w:rPr>
                <w:sz w:val="18"/>
                <w:szCs w:val="18"/>
                <w:color w:val="auto"/>
              </w:rPr>
            </w:pPr>
          </w:p>
        </w:tc>
        <w:tc>
          <w:tcPr>
            <w:tcW w:w="13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200" w:type="dxa"/>
            <w:vAlign w:val="bottom"/>
          </w:tcPr>
          <w:p>
            <w:pPr>
              <w:spacing w:after="0"/>
              <w:rPr>
                <w:sz w:val="18"/>
                <w:szCs w:val="18"/>
                <w:color w:val="auto"/>
              </w:rPr>
            </w:pPr>
          </w:p>
        </w:tc>
        <w:tc>
          <w:tcPr>
            <w:tcW w:w="198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Total</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Publicly</w:t>
            </w:r>
          </w:p>
        </w:tc>
        <w:tc>
          <w:tcPr>
            <w:tcW w:w="400" w:type="dxa"/>
            <w:vAlign w:val="bottom"/>
          </w:tcPr>
          <w:p>
            <w:pPr>
              <w:spacing w:after="0"/>
              <w:rPr>
                <w:sz w:val="18"/>
                <w:szCs w:val="18"/>
                <w:color w:val="auto"/>
              </w:rPr>
            </w:pPr>
          </w:p>
        </w:tc>
        <w:tc>
          <w:tcPr>
            <w:tcW w:w="13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200" w:type="dxa"/>
            <w:vAlign w:val="bottom"/>
          </w:tcPr>
          <w:p>
            <w:pPr>
              <w:spacing w:after="0"/>
              <w:rPr>
                <w:sz w:val="18"/>
                <w:szCs w:val="18"/>
                <w:color w:val="auto"/>
              </w:rPr>
            </w:pPr>
          </w:p>
        </w:tc>
        <w:tc>
          <w:tcPr>
            <w:tcW w:w="198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Number of</w:t>
            </w: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Average</w:t>
            </w: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Announced</w:t>
            </w:r>
          </w:p>
        </w:tc>
        <w:tc>
          <w:tcPr>
            <w:tcW w:w="400" w:type="dxa"/>
            <w:vAlign w:val="bottom"/>
          </w:tcPr>
          <w:p>
            <w:pPr>
              <w:spacing w:after="0"/>
              <w:rPr>
                <w:sz w:val="18"/>
                <w:szCs w:val="18"/>
                <w:color w:val="auto"/>
              </w:rPr>
            </w:pPr>
          </w:p>
        </w:tc>
        <w:tc>
          <w:tcPr>
            <w:tcW w:w="13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4200" w:type="dxa"/>
            <w:vAlign w:val="bottom"/>
          </w:tcPr>
          <w:p>
            <w:pPr>
              <w:spacing w:after="0"/>
              <w:rPr>
                <w:sz w:val="18"/>
                <w:szCs w:val="18"/>
                <w:color w:val="auto"/>
              </w:rPr>
            </w:pPr>
          </w:p>
        </w:tc>
        <w:tc>
          <w:tcPr>
            <w:tcW w:w="1980" w:type="dxa"/>
            <w:vAlign w:val="bottom"/>
          </w:tcPr>
          <w:p>
            <w:pPr>
              <w:jc w:val="center"/>
              <w:ind w:left="25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Price Paid</w:t>
            </w: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Plans or</w:t>
            </w:r>
          </w:p>
        </w:tc>
        <w:tc>
          <w:tcPr>
            <w:tcW w:w="400" w:type="dxa"/>
            <w:vAlign w:val="bottom"/>
          </w:tcPr>
          <w:p>
            <w:pPr>
              <w:spacing w:after="0"/>
              <w:rPr>
                <w:sz w:val="18"/>
                <w:szCs w:val="18"/>
                <w:color w:val="auto"/>
              </w:rPr>
            </w:pPr>
          </w:p>
        </w:tc>
        <w:tc>
          <w:tcPr>
            <w:tcW w:w="13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9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9"/>
              </w:rPr>
              <w:t>Purchased</w:t>
            </w:r>
          </w:p>
        </w:tc>
        <w:tc>
          <w:tcPr>
            <w:tcW w:w="13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per Share</w:t>
            </w:r>
          </w:p>
        </w:tc>
        <w:tc>
          <w:tcPr>
            <w:tcW w:w="15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Programs</w:t>
            </w:r>
            <w:r>
              <w:rPr>
                <w:rFonts w:ascii="Arial" w:cs="Arial" w:eastAsia="Arial" w:hAnsi="Arial"/>
                <w:sz w:val="15"/>
                <w:szCs w:val="15"/>
                <w:b w:val="1"/>
                <w:bCs w:val="1"/>
                <w:color w:val="auto"/>
                <w:w w:val="91"/>
              </w:rPr>
              <w:t>(1)</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91"/>
              </w:rPr>
              <w:t xml:space="preserve">Programs </w:t>
            </w:r>
            <w:r>
              <w:rPr>
                <w:rFonts w:ascii="Arial" w:cs="Arial" w:eastAsia="Arial" w:hAnsi="Arial"/>
                <w:sz w:val="15"/>
                <w:szCs w:val="15"/>
                <w:b w:val="1"/>
                <w:bCs w:val="1"/>
                <w:color w:val="auto"/>
                <w:w w:val="91"/>
              </w:rPr>
              <w:t>(1)</w:t>
            </w: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July 1, 2016 through July 31, 2016</w:t>
            </w:r>
          </w:p>
        </w:tc>
        <w:tc>
          <w:tcPr>
            <w:tcW w:w="19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1,641,506</w:t>
            </w:r>
          </w:p>
        </w:tc>
        <w:tc>
          <w:tcPr>
            <w:tcW w:w="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64.51</w:t>
            </w:r>
          </w:p>
        </w:tc>
        <w:tc>
          <w:tcPr>
            <w:tcW w:w="15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1,641,506</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billion</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August 1, 2016 through August 31, 2016</w:t>
            </w:r>
          </w:p>
        </w:tc>
        <w:tc>
          <w:tcPr>
            <w:tcW w:w="1980" w:type="dxa"/>
            <w:vAlign w:val="bottom"/>
          </w:tcPr>
          <w:p>
            <w:pPr>
              <w:ind w:left="880"/>
              <w:spacing w:after="0"/>
              <w:rPr>
                <w:sz w:val="20"/>
                <w:szCs w:val="20"/>
                <w:color w:val="auto"/>
              </w:rPr>
            </w:pPr>
            <w:r>
              <w:rPr>
                <w:rFonts w:ascii="Arial" w:cs="Arial" w:eastAsia="Arial" w:hAnsi="Arial"/>
                <w:sz w:val="18"/>
                <w:szCs w:val="18"/>
                <w:color w:val="auto"/>
              </w:rPr>
              <w:t>3,740,457</w:t>
            </w:r>
          </w:p>
        </w:tc>
        <w:tc>
          <w:tcPr>
            <w:tcW w:w="48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69.91</w:t>
            </w:r>
          </w:p>
        </w:tc>
        <w:tc>
          <w:tcPr>
            <w:tcW w:w="1560" w:type="dxa"/>
            <w:vAlign w:val="bottom"/>
          </w:tcPr>
          <w:p>
            <w:pPr>
              <w:ind w:left="360"/>
              <w:spacing w:after="0"/>
              <w:rPr>
                <w:sz w:val="20"/>
                <w:szCs w:val="20"/>
                <w:color w:val="auto"/>
              </w:rPr>
            </w:pPr>
            <w:r>
              <w:rPr>
                <w:rFonts w:ascii="Arial" w:cs="Arial" w:eastAsia="Arial" w:hAnsi="Arial"/>
                <w:sz w:val="18"/>
                <w:szCs w:val="18"/>
                <w:color w:val="auto"/>
              </w:rPr>
              <w:t>3,740,457</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6.41</w:t>
            </w:r>
          </w:p>
        </w:tc>
        <w:tc>
          <w:tcPr>
            <w:tcW w:w="860" w:type="dxa"/>
            <w:vAlign w:val="bottom"/>
          </w:tcPr>
          <w:p>
            <w:pPr>
              <w:ind w:left="40"/>
              <w:spacing w:after="0"/>
              <w:rPr>
                <w:sz w:val="20"/>
                <w:szCs w:val="20"/>
                <w:color w:val="auto"/>
              </w:rPr>
            </w:pPr>
            <w:r>
              <w:rPr>
                <w:rFonts w:ascii="Arial" w:cs="Arial" w:eastAsia="Arial" w:hAnsi="Arial"/>
                <w:sz w:val="18"/>
                <w:szCs w:val="18"/>
                <w:color w:val="auto"/>
              </w:rPr>
              <w:t>billion</w:t>
            </w:r>
          </w:p>
        </w:tc>
      </w:tr>
      <w:tr>
        <w:trPr>
          <w:trHeight w:val="216"/>
        </w:trPr>
        <w:tc>
          <w:tcPr>
            <w:tcW w:w="4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September 1, 2016 through September 30, 2016</w:t>
            </w:r>
          </w:p>
        </w:tc>
        <w:tc>
          <w:tcPr>
            <w:tcW w:w="198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rPr>
              <w:t>1,932,934</w:t>
            </w: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68.61</w:t>
            </w:r>
          </w:p>
        </w:tc>
        <w:tc>
          <w:tcPr>
            <w:tcW w:w="156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1,932,934</w:t>
            </w:r>
          </w:p>
        </w:tc>
        <w:tc>
          <w:tcPr>
            <w:tcW w:w="4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8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billion</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tcPr>
          <w:p>
            <w:pPr>
              <w:ind w:left="880"/>
              <w:spacing w:after="0"/>
              <w:rPr>
                <w:sz w:val="20"/>
                <w:szCs w:val="20"/>
                <w:color w:val="auto"/>
              </w:rPr>
            </w:pPr>
            <w:r>
              <w:rPr>
                <w:rFonts w:ascii="Arial" w:cs="Arial" w:eastAsia="Arial" w:hAnsi="Arial"/>
                <w:sz w:val="18"/>
                <w:szCs w:val="18"/>
                <w:color w:val="auto"/>
              </w:rPr>
              <w:t>7,314,897</w:t>
            </w:r>
            <w:r>
              <w:rPr>
                <w:rFonts w:ascii="Arial" w:cs="Arial" w:eastAsia="Arial" w:hAnsi="Arial"/>
                <w:sz w:val="15"/>
                <w:szCs w:val="15"/>
                <w:color w:val="auto"/>
              </w:rPr>
              <w:t>(2)</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68.35</w:t>
            </w:r>
          </w:p>
        </w:tc>
        <w:tc>
          <w:tcPr>
            <w:tcW w:w="1560" w:type="dxa"/>
            <w:vAlign w:val="bottom"/>
          </w:tcPr>
          <w:p>
            <w:pPr>
              <w:ind w:left="360"/>
              <w:spacing w:after="0"/>
              <w:rPr>
                <w:sz w:val="20"/>
                <w:szCs w:val="20"/>
                <w:color w:val="auto"/>
              </w:rPr>
            </w:pPr>
            <w:r>
              <w:rPr>
                <w:rFonts w:ascii="Arial" w:cs="Arial" w:eastAsia="Arial" w:hAnsi="Arial"/>
                <w:sz w:val="18"/>
                <w:szCs w:val="18"/>
                <w:color w:val="auto"/>
              </w:rPr>
              <w:t>7,314,897</w:t>
            </w:r>
            <w:r>
              <w:rPr>
                <w:rFonts w:ascii="Arial" w:cs="Arial" w:eastAsia="Arial" w:hAnsi="Arial"/>
                <w:sz w:val="15"/>
                <w:szCs w:val="15"/>
                <w:color w:val="auto"/>
              </w:rPr>
              <w:t>(2)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6.28</w:t>
            </w:r>
          </w:p>
        </w:tc>
        <w:tc>
          <w:tcPr>
            <w:tcW w:w="860" w:type="dxa"/>
            <w:vAlign w:val="bottom"/>
          </w:tcPr>
          <w:p>
            <w:pPr>
              <w:ind w:left="40"/>
              <w:spacing w:after="0"/>
              <w:rPr>
                <w:sz w:val="20"/>
                <w:szCs w:val="20"/>
                <w:color w:val="auto"/>
              </w:rPr>
            </w:pPr>
            <w:r>
              <w:rPr>
                <w:rFonts w:ascii="Arial" w:cs="Arial" w:eastAsia="Arial" w:hAnsi="Arial"/>
                <w:sz w:val="18"/>
                <w:szCs w:val="18"/>
                <w:color w:val="auto"/>
              </w:rPr>
              <w:t xml:space="preserve">billion </w:t>
            </w:r>
            <w:r>
              <w:rPr>
                <w:rFonts w:ascii="Arial" w:cs="Arial" w:eastAsia="Arial" w:hAnsi="Arial"/>
                <w:sz w:val="15"/>
                <w:szCs w:val="15"/>
                <w:color w:val="auto"/>
              </w:rPr>
              <w:t>(3)</w:t>
            </w:r>
          </w:p>
        </w:tc>
      </w:tr>
    </w:tbl>
    <w:p>
      <w:pPr>
        <w:spacing w:after="0" w:line="187" w:lineRule="exact"/>
        <w:rPr>
          <w:sz w:val="20"/>
          <w:szCs w:val="20"/>
          <w:color w:val="auto"/>
        </w:rPr>
      </w:pPr>
    </w:p>
    <w:p>
      <w:pPr>
        <w:ind w:left="380" w:right="80" w:hanging="372"/>
        <w:spacing w:after="0" w:line="258"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September 17, 2015.</w:t>
      </w:r>
    </w:p>
    <w:p>
      <w:pPr>
        <w:spacing w:after="0" w:line="1" w:lineRule="exact"/>
        <w:rPr>
          <w:rFonts w:ascii="Arial" w:cs="Arial" w:eastAsia="Arial" w:hAnsi="Arial"/>
          <w:sz w:val="15"/>
          <w:szCs w:val="15"/>
          <w:color w:val="auto"/>
        </w:rPr>
      </w:pPr>
    </w:p>
    <w:p>
      <w:pPr>
        <w:ind w:left="380" w:hanging="372"/>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All purchases during the quarter were open-market purchases.</w:t>
      </w:r>
    </w:p>
    <w:p>
      <w:pPr>
        <w:spacing w:after="0" w:line="9" w:lineRule="exact"/>
        <w:rPr>
          <w:rFonts w:ascii="Arial" w:cs="Arial" w:eastAsia="Arial" w:hAnsi="Arial"/>
          <w:sz w:val="15"/>
          <w:szCs w:val="15"/>
          <w:color w:val="auto"/>
        </w:rPr>
      </w:pPr>
    </w:p>
    <w:p>
      <w:pPr>
        <w:ind w:left="380" w:hanging="372"/>
        <w:spacing w:after="0" w:line="261"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As of September 30, 2016, this amount consisted of the remaining portion of the $7.5 billion authorized in September 2015. No expiration date has been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2" w:name="page23"/>
    <w:bookmarkEnd w:id="22"/>
    <w:p>
      <w:pPr>
        <w:ind w:left="120"/>
        <w:spacing w:after="0"/>
        <w:rPr>
          <w:sz w:val="20"/>
          <w:szCs w:val="20"/>
          <w:color w:val="auto"/>
        </w:rPr>
      </w:pPr>
      <w:r>
        <w:rPr>
          <w:rFonts w:ascii="Arial" w:cs="Arial" w:eastAsia="Arial" w:hAnsi="Arial"/>
          <w:sz w:val="17"/>
          <w:szCs w:val="17"/>
          <w:b w:val="1"/>
          <w:bCs w:val="1"/>
          <w:color w:val="auto"/>
        </w:rPr>
        <w:t>ITEM 6. Exhibits.</w:t>
      </w:r>
    </w:p>
    <w:p>
      <w:pPr>
        <w:sectPr>
          <w:pgSz w:w="11900" w:h="16838" w:orient="portrait"/>
          <w:cols w:equalWidth="0" w:num="1">
            <w:col w:w="10219"/>
          </w:cols>
          <w:pgMar w:left="240" w:top="337" w:right="1440" w:bottom="1440" w:gutter="0" w:footer="0" w:header="0"/>
        </w:sectPr>
      </w:pPr>
    </w:p>
    <w:p>
      <w:pPr>
        <w:spacing w:after="0" w:line="277" w:lineRule="exact"/>
        <w:rPr>
          <w:sz w:val="20"/>
          <w:szCs w:val="20"/>
          <w:color w:val="auto"/>
        </w:rPr>
      </w:pPr>
    </w:p>
    <w:p>
      <w:pPr>
        <w:jc w:val="center"/>
        <w:ind w:left="100"/>
        <w:spacing w:after="0" w:line="303" w:lineRule="auto"/>
        <w:rPr>
          <w:sz w:val="20"/>
          <w:szCs w:val="20"/>
          <w:color w:val="auto"/>
        </w:rPr>
      </w:pPr>
      <w:r>
        <w:rPr>
          <w:rFonts w:ascii="Arial" w:cs="Arial" w:eastAsia="Arial" w:hAnsi="Arial"/>
          <w:sz w:val="16"/>
          <w:szCs w:val="16"/>
          <w:b w:val="1"/>
          <w:bCs w:val="1"/>
          <w:color w:val="auto"/>
        </w:rPr>
        <w:t>Designation of Exhibits in This Report</w:t>
      </w:r>
    </w:p>
    <w:p>
      <w:pPr>
        <w:spacing w:after="0" w:line="196"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3(a)</w:t>
      </w:r>
    </w:p>
    <w:p>
      <w:pPr>
        <w:spacing w:after="0" w:line="3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3(b)</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4(a)</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10(a)</w:t>
      </w:r>
    </w:p>
    <w:p>
      <w:pPr>
        <w:spacing w:after="0" w:line="252"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31(a)</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31(b)</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32(a)</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32(b)</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101.def</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101.sch</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Description of Exhibit</w:t>
      </w:r>
    </w:p>
    <w:p>
      <w:pPr>
        <w:spacing w:after="0" w:line="378" w:lineRule="exact"/>
        <w:rPr>
          <w:sz w:val="20"/>
          <w:szCs w:val="20"/>
          <w:color w:val="auto"/>
        </w:rPr>
      </w:pPr>
    </w:p>
    <w:p>
      <w:pPr>
        <w:jc w:val="both"/>
        <w:ind w:left="20" w:right="1359"/>
        <w:spacing w:after="0" w:line="256" w:lineRule="auto"/>
        <w:rPr>
          <w:sz w:val="20"/>
          <w:szCs w:val="20"/>
          <w:color w:val="auto"/>
        </w:rPr>
      </w:pPr>
      <w:r>
        <w:rPr>
          <w:rFonts w:ascii="Arial" w:cs="Arial" w:eastAsia="Arial" w:hAnsi="Arial"/>
          <w:sz w:val="18"/>
          <w:szCs w:val="18"/>
          <w:color w:val="auto"/>
        </w:rPr>
        <w:t>Restated Certificate of Incorporation of the Registrant, dated April 18, 1985, as amended (incorporated by reference to Exhibit 3(a) of the Registrant's Annual Report on Form 10-K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-410845</wp:posOffset>
            </wp:positionV>
            <wp:extent cx="5951855"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51855" cy="411480"/>
                    </a:xfrm>
                    <a:prstGeom prst="rect">
                      <a:avLst/>
                    </a:prstGeom>
                    <a:noFill/>
                  </pic:spPr>
                </pic:pic>
              </a:graphicData>
            </a:graphic>
          </wp:anchor>
        </w:drawing>
      </w:r>
    </w:p>
    <w:p>
      <w:pPr>
        <w:ind w:right="999"/>
        <w:spacing w:after="0" w:line="265" w:lineRule="auto"/>
        <w:rPr>
          <w:sz w:val="20"/>
          <w:szCs w:val="20"/>
          <w:color w:val="auto"/>
        </w:rPr>
      </w:pPr>
      <w:r>
        <w:rPr>
          <w:rFonts w:ascii="Arial" w:cs="Arial" w:eastAsia="Arial" w:hAnsi="Arial"/>
          <w:sz w:val="18"/>
          <w:szCs w:val="18"/>
          <w:color w:val="auto"/>
        </w:rPr>
        <w:t>By-Laws of the Registrant (incorporated by reference to Exhibit 3(b) to the Registrant's Annual Report on Form 10-K for the year ended December 31, 2014).</w:t>
      </w:r>
    </w:p>
    <w:p>
      <w:pPr>
        <w:spacing w:after="0" w:line="1" w:lineRule="exact"/>
        <w:rPr>
          <w:sz w:val="20"/>
          <w:szCs w:val="20"/>
          <w:color w:val="auto"/>
        </w:rPr>
      </w:pPr>
    </w:p>
    <w:p>
      <w:pPr>
        <w:ind w:right="1239"/>
        <w:spacing w:after="0" w:line="258" w:lineRule="auto"/>
        <w:rPr>
          <w:sz w:val="20"/>
          <w:szCs w:val="20"/>
          <w:color w:val="auto"/>
        </w:rPr>
      </w:pPr>
      <w:r>
        <w:rPr>
          <w:rFonts w:ascii="Arial" w:cs="Arial" w:eastAsia="Arial" w:hAnsi="Arial"/>
          <w:sz w:val="18"/>
          <w:szCs w:val="18"/>
          <w:color w:val="auto"/>
        </w:rPr>
        <w:t>Officer’s Certificate, dated May 6, 2016 (incorporated by reference to Exhibit 4.1 of the Registrant’s Current Report on Form 8-K filed May 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-281305</wp:posOffset>
            </wp:positionV>
            <wp:extent cx="5977255"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77255" cy="291465"/>
                    </a:xfrm>
                    <a:prstGeom prst="rect">
                      <a:avLst/>
                    </a:prstGeom>
                    <a:noFill/>
                  </pic:spPr>
                </pic:pic>
              </a:graphicData>
            </a:graphic>
          </wp:anchor>
        </w:drawing>
      </w:r>
    </w:p>
    <w:p>
      <w:pPr>
        <w:ind w:right="1099"/>
        <w:spacing w:after="0" w:line="260" w:lineRule="auto"/>
        <w:rPr>
          <w:sz w:val="20"/>
          <w:szCs w:val="20"/>
          <w:color w:val="auto"/>
        </w:rPr>
      </w:pPr>
      <w:r>
        <w:rPr>
          <w:rFonts w:ascii="Arial" w:cs="Arial" w:eastAsia="Arial" w:hAnsi="Arial"/>
          <w:sz w:val="18"/>
          <w:szCs w:val="18"/>
          <w:color w:val="auto"/>
        </w:rPr>
        <w:t>Texas Instruments 2009 Long-Term Incentive Plan, as amended effective April 21, 2016 (incorporated by reference to Appendix B of the Registrant’s proxy statement for the 2016 annual meeting of shareholders, filed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-6350</wp:posOffset>
            </wp:positionV>
            <wp:extent cx="597725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77255" cy="1714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 xml:space="preserve">Certification of Chief Executive Officer of Periodic Report Pursuant to Rule 13a-15(e) or Rule 15d-15(e). </w:t>
      </w:r>
      <w:r>
        <w:rPr>
          <w:rFonts w:ascii="Arial" w:cs="Arial" w:eastAsia="Arial" w:hAnsi="Arial"/>
          <w:sz w:val="14"/>
          <w:szCs w:val="14"/>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Certification of Chief Financial Officer of Periodic Report Pursuant to Rule 13a-15(e) or Rule 15d-15(e). </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39370</wp:posOffset>
            </wp:positionV>
            <wp:extent cx="597725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77255" cy="17145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Certification by Chief Executive Officer of Periodic Report Pursuant to 18 U.S.C. Section 1350. </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Certification by Chief Financial Officer of Periodic Report Pursuant to 18 U.S.C. Section 1350. </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wp:posOffset>
            </wp:positionV>
            <wp:extent cx="597725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725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wp:posOffset>
            </wp:positionV>
            <wp:extent cx="597725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7725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wp:posOffset>
            </wp:positionV>
            <wp:extent cx="597725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7725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r>
        <w:rPr>
          <w:rFonts w:ascii="Arial" w:cs="Arial" w:eastAsia="Arial" w:hAnsi="Arial"/>
          <w:sz w:val="15"/>
          <w:szCs w:val="15"/>
          <w:color w:val="auto"/>
        </w:rPr>
        <w:t>†</w:t>
      </w:r>
    </w:p>
    <w:p>
      <w:pPr>
        <w:spacing w:after="0" w:line="144" w:lineRule="exact"/>
        <w:rPr>
          <w:sz w:val="20"/>
          <w:szCs w:val="20"/>
          <w:color w:val="auto"/>
        </w:rPr>
      </w:pPr>
    </w:p>
    <w:p>
      <w:pPr>
        <w:sectPr>
          <w:pgSz w:w="11900" w:h="16838" w:orient="portrait"/>
          <w:cols w:equalWidth="0" w:num="2">
            <w:col w:w="1020" w:space="120"/>
            <w:col w:w="9079"/>
          </w:cols>
          <w:pgMar w:left="240" w:top="337" w:right="1440" w:bottom="1440" w:gutter="0" w:footer="0" w:header="0"/>
          <w:type w:val="continuous"/>
        </w:sectPr>
      </w:pPr>
    </w:p>
    <w:p>
      <w:pPr>
        <w:ind w:left="520" w:hanging="512"/>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32" w:lineRule="exact"/>
        <w:rPr>
          <w:rFonts w:ascii="Arial" w:cs="Arial" w:eastAsia="Arial" w:hAnsi="Arial"/>
          <w:sz w:val="16"/>
          <w:szCs w:val="16"/>
          <w:color w:val="auto"/>
        </w:rPr>
      </w:pPr>
    </w:p>
    <w:p>
      <w:pPr>
        <w:ind w:left="1040" w:right="20" w:hanging="519"/>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ind w:left="1040" w:right="40" w:hanging="519"/>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1040" w:right="200" w:hanging="519"/>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TI, its customers or its suppliers operate;</w:t>
      </w:r>
    </w:p>
    <w:p>
      <w:pPr>
        <w:spacing w:after="0" w:line="32"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Breaches of TI’s information technology systems or those of its customers or suppliers;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32" w:lineRule="exact"/>
        <w:rPr>
          <w:rFonts w:ascii="Arial" w:cs="Arial" w:eastAsia="Arial" w:hAnsi="Arial"/>
          <w:sz w:val="16"/>
          <w:szCs w:val="16"/>
          <w:color w:val="auto"/>
        </w:rPr>
      </w:pPr>
    </w:p>
    <w:p>
      <w:pPr>
        <w:ind w:left="1040" w:right="40" w:hanging="519"/>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1040" w:right="460" w:hanging="519"/>
        <w:spacing w:after="0" w:line="265"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TI’s ability to maintain and enforce a strong intellectual property portfolio and obtain needed licenses from third parties, expiration of license agreements between TI and its patent licensees, and market conditions reducing royalty payments to TI;</w:t>
      </w:r>
    </w:p>
    <w:p>
      <w:pPr>
        <w:ind w:left="1040" w:right="200" w:hanging="519"/>
        <w:spacing w:after="0" w:line="281"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TI’s ability to manufacture its products or operate its business, or subject us to fines, penalties, or other legal liability;</w:t>
      </w:r>
    </w:p>
    <w:p>
      <w:pPr>
        <w:spacing w:after="0" w:line="1" w:lineRule="exact"/>
        <w:rPr>
          <w:rFonts w:ascii="Arial" w:cs="Arial" w:eastAsia="Arial" w:hAnsi="Arial"/>
          <w:sz w:val="16"/>
          <w:szCs w:val="16"/>
          <w:color w:val="auto"/>
        </w:rPr>
      </w:pPr>
    </w:p>
    <w:p>
      <w:pPr>
        <w:ind w:left="1040" w:right="500" w:hanging="519"/>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ind w:left="1040" w:right="280" w:hanging="519"/>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and the ability to realize deferred tax assets;</w:t>
      </w: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1040" w:right="240" w:hanging="519"/>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its daily operations, invest in the business, make strategic acquisitions, or make principal and interest payments on its debt;</w:t>
      </w: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1040" w:right="180" w:hanging="519"/>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its ability to realize its expectations regarding the amount and timing of restructuring charges and associated cost savings; and</w:t>
      </w: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tbl>
      <w:tblPr>
        <w:tblLayout w:type="fixed"/>
        <w:tblInd w:w="74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/s/ Kevin P. March</w:t>
            </w:r>
          </w:p>
        </w:tc>
      </w:tr>
      <w:tr>
        <w:trPr>
          <w:trHeight w:val="195"/>
        </w:trPr>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30"/>
        </w:trPr>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29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5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29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80" w:hanging="5"/>
        <w:spacing w:after="0" w:line="264" w:lineRule="auto"/>
        <w:tabs>
          <w:tab w:leader="none" w:pos="7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2016, as filed with the Securities and Exchange Commission on the date hereof (the “Report”) fully complies with the requirements of Section 13(a) or 15(d) of the Securities Exchange Act of 1934; and</w:t>
      </w:r>
    </w:p>
    <w:p>
      <w:pPr>
        <w:spacing w:after="0" w:line="73" w:lineRule="exact"/>
        <w:rPr>
          <w:rFonts w:ascii="Arial" w:cs="Arial" w:eastAsia="Arial" w:hAnsi="Arial"/>
          <w:sz w:val="18"/>
          <w:szCs w:val="18"/>
          <w:color w:val="auto"/>
        </w:rPr>
      </w:pPr>
    </w:p>
    <w:p>
      <w:pPr>
        <w:ind w:left="820" w:hanging="265"/>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2016</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340" w:firstLine="547"/>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6" w:lineRule="exact"/>
        <w:rPr>
          <w:sz w:val="20"/>
          <w:szCs w:val="20"/>
          <w:color w:val="auto"/>
        </w:rPr>
      </w:pPr>
    </w:p>
    <w:p>
      <w:pPr>
        <w:ind w:left="560" w:right="80" w:hanging="5"/>
        <w:spacing w:after="0" w:line="264" w:lineRule="auto"/>
        <w:tabs>
          <w:tab w:leader="none" w:pos="7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2016, as filed with the Securities and Exchange Commission on the date hereof (the “Report”) fully complies with the requirements of Section 13(a) or 15(d) of the Securities Exchange Act of 1934; and</w:t>
      </w:r>
    </w:p>
    <w:p>
      <w:pPr>
        <w:spacing w:after="0" w:line="73" w:lineRule="exact"/>
        <w:rPr>
          <w:rFonts w:ascii="Arial" w:cs="Arial" w:eastAsia="Arial" w:hAnsi="Arial"/>
          <w:sz w:val="18"/>
          <w:szCs w:val="18"/>
          <w:color w:val="auto"/>
        </w:rPr>
      </w:pPr>
    </w:p>
    <w:p>
      <w:pPr>
        <w:ind w:left="820" w:hanging="265"/>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2016</w:t>
      </w:r>
    </w:p>
    <w:p>
      <w:pPr>
        <w:spacing w:after="0" w:line="293"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6"/>
    </w:lvl>
  </w:abstractNum>
  <w:abstractNum w:abstractNumId="10">
    <w:nsid w:val="3F2DBA31"/>
    <w:multiLevelType w:val="hybridMultilevel"/>
    <w:lvl w:ilvl="0">
      <w:lvlJc w:val="left"/>
      <w:lvlText w:val="%1."/>
      <w:numFmt w:val="decimal"/>
      <w:start w:val="7"/>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decimal"/>
      <w:start w:val="1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lvl w:ilvl="1">
      <w:lvlJc w:val="left"/>
      <w:lvlText w:val="o"/>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2019-12-05T11:08:24Z</dcterms:created>
  <dcterms:modified xsi:type="dcterms:W3CDTF">2019-12-05T11:08:24Z</dcterms:modified>
</cp:coreProperties>
</file>