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DATE OF REPORT (DATE OF EARLIEST EVENT REPORTED): December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24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Registrant’s news release dated December 7, 2010, regarding the Registrant’s outlook for the fourth quarter of 2010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December 2, 2010, the Registrant’s Board of Directors amended the Texas Instruments 2009 Director Compensation Plan (the “Plan”). As amended, the Plan provides for each director to be granted annually an option with a grant-date value of approximately $100,000 determined using a Black-Scholes option-pricing model and a restricted stock unit (“RSU”) award with a grant-date value of approximately $100,000. Previously, the Plan provided that directors shall receive an annual grant of 2,500 RSUs and an option for 7,000 shares of the Registrant’s common stock. The 2011 equity grants will be the first to reflect these changes. The amended Plan is attached hereto as Exhibit 10 and is incorporated by reference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7"/>
              </w:rPr>
              <w:t>Texas Instruments 2009 Director Compensation Plan as amended December 2, 2010 (furnished pursuant to Item 8.01)</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December 7, 2010 (furnished pursuant to Item 7.01)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entertainment electronics;</w:t>
      </w:r>
    </w:p>
    <w:p>
      <w:pPr>
        <w:spacing w:after="0" w:line="263" w:lineRule="exact"/>
        <w:rPr>
          <w:rFonts w:ascii="Arial" w:cs="Arial" w:eastAsia="Arial" w:hAnsi="Arial"/>
          <w:sz w:val="17"/>
          <w:szCs w:val="17"/>
          <w:color w:val="auto"/>
        </w:rPr>
      </w:pPr>
    </w:p>
    <w:p>
      <w:pPr>
        <w:ind w:left="340" w:right="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252"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340" w:right="32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ectPr>
          <w:pgSz w:w="11900" w:h="16838" w:orient="portrait"/>
          <w:cols w:equalWidth="0" w:num="1">
            <w:col w:w="11420"/>
          </w:cols>
          <w:pgMar w:left="240" w:top="517" w:right="239" w:bottom="0" w:gutter="0" w:footer="0" w:header="0"/>
        </w:sectPr>
      </w:pPr>
    </w:p>
    <w:bookmarkStart w:id="2" w:name="page3"/>
    <w:bookmarkEnd w:id="2"/>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on Form 8-K are made only as of the date of this report, and we undertake no obligation to update the forward-looking statements to reflect subsequent events or circumstances.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40"/>
          </w:cols>
          <w:pgMar w:left="240" w:top="368" w:right="319" w:bottom="1440" w:gutter="0" w:footer="0" w:header="0"/>
        </w:sectPr>
      </w:pPr>
    </w:p>
    <w:bookmarkStart w:id="3" w:name="page4"/>
    <w:bookmarkEnd w:id="3"/>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TEXAS INSTRUMENTS 2009 DIRECTOR COMPENSATION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December 2, 2010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Texas Instruments 2009 Director Compensation Plan (“the Plan”) is intended as a successor plan to the Company’s 2003 Director Compensation Plan (“2003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 With respect to Deferred Compensation, as of the Effective Date, the Post-2004 Accounts (as defined in the 2003 Plan) of the participants in the 2003 Plan are hereby merged into the Deferred Compensation accounts under this Plan and the amounts in those Accounts shall be governed thereafter by the terms of this Plan. A ny elections made under Section 8 of the 2003 Plan shall remain applicable to and shall govern the Deferred Compensation Accounts of this Plan unless changed by the Participant in accordance with the terms of this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11 of the Plan.</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Stock Appreciation Right or other stock-based award under the Plan.</w:t>
      </w:r>
    </w:p>
    <w:p>
      <w:pPr>
        <w:spacing w:after="0" w:line="252" w:lineRule="exact"/>
        <w:rPr>
          <w:rFonts w:ascii="Arial" w:cs="Arial" w:eastAsia="Arial" w:hAnsi="Arial"/>
          <w:sz w:val="18"/>
          <w:szCs w:val="18"/>
          <w:color w:val="auto"/>
        </w:rPr>
      </w:pPr>
    </w:p>
    <w:p>
      <w:pPr>
        <w:ind w:left="500" w:right="36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but need not, be executed or acknowledged by a Director. An Award Agreement may be in electronic form.</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52" w:lineRule="exact"/>
        <w:rPr>
          <w:rFonts w:ascii="Arial" w:cs="Arial" w:eastAsia="Arial" w:hAnsi="Arial"/>
          <w:sz w:val="18"/>
          <w:szCs w:val="18"/>
          <w:color w:val="auto"/>
        </w:rPr>
      </w:pPr>
    </w:p>
    <w:p>
      <w:pPr>
        <w:ind w:left="500" w:right="62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or maintained pursuant to Section 11(b)(i) on behalf of each Director who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11(b) to have any of his or her Deferred Compensation credited to a cash account.</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Control definitions:</w:t>
      </w:r>
    </w:p>
    <w:p>
      <w:pPr>
        <w:spacing w:after="0" w:line="252" w:lineRule="exact"/>
        <w:rPr>
          <w:rFonts w:ascii="Arial" w:cs="Arial" w:eastAsia="Arial" w:hAnsi="Arial"/>
          <w:sz w:val="18"/>
          <w:szCs w:val="18"/>
          <w:color w:val="auto"/>
        </w:rPr>
      </w:pPr>
    </w:p>
    <w:p>
      <w:pPr>
        <w:ind w:left="980" w:right="100" w:hanging="486"/>
        <w:spacing w:after="0" w:line="289"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(2010 Grant)” </w:t>
      </w:r>
      <w:r>
        <w:rPr>
          <w:rFonts w:ascii="Arial" w:cs="Arial" w:eastAsia="Arial" w:hAnsi="Arial"/>
          <w:sz w:val="16"/>
          <w:szCs w:val="16"/>
          <w:color w:val="auto"/>
        </w:rPr>
        <w:t>means an event when (i) any Person, alone or together with its Affiliates and Associates or otherwise,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become an Acquiring Person otherwise than pursuant to a transaction or agreement approved by the Board prior to the time the Acquiring Person became such, or (ii)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&amp; #160;Notwithstanding the foregoing, if a Restricted Stock Unit (2010 Grant) granted under this Plan is or becomes subject to Section 409A of the Code, then with respect to such Restricted Stock Unit, “Change in Control (2010 Grant)” means a change in control event as to the Company, as defined in Section 409A of the Code and the regulations thereunder.</w:t>
      </w:r>
    </w:p>
    <w:p>
      <w:pPr>
        <w:spacing w:after="0" w:line="193" w:lineRule="exact"/>
        <w:rPr>
          <w:rFonts w:ascii="Arial" w:cs="Arial" w:eastAsia="Arial" w:hAnsi="Arial"/>
          <w:sz w:val="16"/>
          <w:szCs w:val="16"/>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 (Post-2010 Grant)</w:t>
      </w:r>
      <w:r>
        <w:rPr>
          <w:rFonts w:ascii="Arial" w:cs="Arial" w:eastAsia="Arial" w:hAnsi="Arial"/>
          <w:sz w:val="18"/>
          <w:szCs w:val="18"/>
          <w:color w:val="auto"/>
        </w:rPr>
        <w:t>” shall mean an event that will be deemed to have occurred:</w:t>
      </w:r>
    </w:p>
    <w:p>
      <w:pPr>
        <w:spacing w:after="0" w:line="252" w:lineRule="exact"/>
        <w:rPr>
          <w:rFonts w:ascii="Arial" w:cs="Arial" w:eastAsia="Arial" w:hAnsi="Arial"/>
          <w:sz w:val="18"/>
          <w:szCs w:val="18"/>
          <w:color w:val="auto"/>
        </w:rPr>
      </w:pPr>
    </w:p>
    <w:p>
      <w:pPr>
        <w:ind w:left="1460" w:hanging="480"/>
        <w:spacing w:after="0" w:line="272" w:lineRule="auto"/>
        <w:tabs>
          <w:tab w:leader="none" w:pos="1460" w:val="left"/>
        </w:tabs>
        <w:numPr>
          <w:ilvl w:val="2"/>
          <w:numId w:val="4"/>
        </w:numPr>
        <w:rPr>
          <w:rFonts w:ascii="Arial" w:cs="Arial" w:eastAsia="Arial" w:hAnsi="Arial"/>
          <w:sz w:val="17"/>
          <w:szCs w:val="17"/>
          <w:color w:val="auto"/>
        </w:rPr>
      </w:pPr>
      <w:r>
        <w:rPr>
          <w:rFonts w:ascii="Arial" w:cs="Arial" w:eastAsia="Arial" w:hAnsi="Arial"/>
          <w:sz w:val="17"/>
          <w:szCs w:val="17"/>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 (Post-2010 Grant);</w:t>
      </w:r>
    </w:p>
    <w:p>
      <w:pPr>
        <w:spacing w:after="0" w:line="204" w:lineRule="exact"/>
        <w:rPr>
          <w:rFonts w:ascii="Arial" w:cs="Arial" w:eastAsia="Arial" w:hAnsi="Arial"/>
          <w:sz w:val="17"/>
          <w:szCs w:val="17"/>
          <w:color w:val="auto"/>
        </w:rPr>
      </w:pPr>
    </w:p>
    <w:p>
      <w:pPr>
        <w:ind w:left="1460" w:hanging="480"/>
        <w:spacing w:after="0" w:line="277" w:lineRule="auto"/>
        <w:tabs>
          <w:tab w:leader="none" w:pos="1460" w:val="left"/>
        </w:tabs>
        <w:numPr>
          <w:ilvl w:val="2"/>
          <w:numId w:val="4"/>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97" w:lineRule="exact"/>
        <w:rPr>
          <w:rFonts w:ascii="Arial" w:cs="Arial" w:eastAsia="Arial" w:hAnsi="Arial"/>
          <w:sz w:val="18"/>
          <w:szCs w:val="18"/>
          <w:color w:val="auto"/>
        </w:rPr>
      </w:pPr>
    </w:p>
    <w:p>
      <w:pPr>
        <w:ind w:left="1460" w:right="60" w:hanging="480"/>
        <w:spacing w:after="0" w:line="269" w:lineRule="auto"/>
        <w:tabs>
          <w:tab w:leader="none" w:pos="1460" w:val="left"/>
        </w:tabs>
        <w:numPr>
          <w:ilvl w:val="2"/>
          <w:numId w:val="4"/>
        </w:numPr>
        <w:rPr>
          <w:rFonts w:ascii="Arial" w:cs="Arial" w:eastAsia="Arial" w:hAnsi="Arial"/>
          <w:sz w:val="17"/>
          <w:szCs w:val="17"/>
          <w:color w:val="auto"/>
        </w:rPr>
      </w:pPr>
      <w:r>
        <w:rPr>
          <w:rFonts w:ascii="Arial" w:cs="Arial" w:eastAsia="Arial" w:hAnsi="Arial"/>
          <w:sz w:val="17"/>
          <w:szCs w:val="17"/>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(Post-2010 Grant) when there is such a sale or transfer to (i) a stockholder of the Company (immediately before the asset transfer) in exchange for or with respect to the Company’s then outstanding stock; (ii) an entity, at least 50 percent of the total value or voting power of the stoc 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209" w:lineRule="exact"/>
        <w:rPr>
          <w:rFonts w:ascii="Arial" w:cs="Arial" w:eastAsia="Arial" w:hAnsi="Arial"/>
          <w:sz w:val="17"/>
          <w:szCs w:val="17"/>
          <w:color w:val="auto"/>
        </w:rPr>
      </w:pPr>
    </w:p>
    <w:p>
      <w:pPr>
        <w:ind w:left="1460" w:hanging="480"/>
        <w:spacing w:after="0"/>
        <w:tabs>
          <w:tab w:leader="none" w:pos="146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 purposes of (A), (B) and (C) of this Section 2(g)(ii):</w:t>
      </w:r>
    </w:p>
    <w:p>
      <w:pPr>
        <w:spacing w:after="0" w:line="252" w:lineRule="exact"/>
        <w:rPr>
          <w:rFonts w:ascii="Arial" w:cs="Arial" w:eastAsia="Arial" w:hAnsi="Arial"/>
          <w:sz w:val="18"/>
          <w:szCs w:val="18"/>
          <w:color w:val="auto"/>
        </w:rPr>
      </w:pPr>
    </w:p>
    <w:p>
      <w:pPr>
        <w:ind w:left="1960" w:right="160" w:hanging="493"/>
        <w:spacing w:after="0" w:line="277" w:lineRule="auto"/>
        <w:tabs>
          <w:tab w:leader="none" w:pos="1960" w:val="left"/>
        </w:tabs>
        <w:numPr>
          <w:ilvl w:val="3"/>
          <w:numId w:val="4"/>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ectPr>
          <w:pgSz w:w="11900" w:h="16875" w:orient="portrait"/>
          <w:cols w:equalWidth="0" w:num="1">
            <w:col w:w="11400"/>
          </w:cols>
          <w:pgMar w:left="240" w:top="121" w:right="259" w:bottom="0" w:gutter="0" w:footer="0" w:header="0"/>
        </w:sectPr>
      </w:pPr>
    </w:p>
    <w:bookmarkStart w:id="4" w:name="page5"/>
    <w:bookmarkEnd w:id="4"/>
    <w:p>
      <w:pPr>
        <w:ind w:left="1952" w:right="200" w:hanging="493"/>
        <w:spacing w:after="0" w:line="277" w:lineRule="auto"/>
        <w:tabs>
          <w:tab w:leader="none" w:pos="1952" w:val="left"/>
        </w:tabs>
        <w:numPr>
          <w:ilvl w:val="3"/>
          <w:numId w:val="5"/>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197" w:lineRule="exact"/>
        <w:rPr>
          <w:rFonts w:ascii="Arial" w:cs="Arial" w:eastAsia="Arial" w:hAnsi="Arial"/>
          <w:sz w:val="18"/>
          <w:szCs w:val="18"/>
          <w:color w:val="auto"/>
        </w:rPr>
      </w:pPr>
    </w:p>
    <w:p>
      <w:pPr>
        <w:ind w:left="1952" w:right="140" w:hanging="493"/>
        <w:spacing w:after="0" w:line="342" w:lineRule="auto"/>
        <w:tabs>
          <w:tab w:leader="none" w:pos="1952" w:val="left"/>
        </w:tabs>
        <w:numPr>
          <w:ilvl w:val="3"/>
          <w:numId w:val="5"/>
        </w:numPr>
        <w:rPr>
          <w:rFonts w:ascii="Arial" w:cs="Arial" w:eastAsia="Arial" w:hAnsi="Arial"/>
          <w:sz w:val="16"/>
          <w:szCs w:val="16"/>
          <w:color w:val="auto"/>
        </w:rPr>
      </w:pPr>
      <w:r>
        <w:rPr>
          <w:rFonts w:ascii="Arial" w:cs="Arial" w:eastAsia="Arial" w:hAnsi="Arial"/>
          <w:sz w:val="16"/>
          <w:szCs w:val="16"/>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50" w:lineRule="exact"/>
        <w:rPr>
          <w:rFonts w:ascii="Arial" w:cs="Arial" w:eastAsia="Arial" w:hAnsi="Arial"/>
          <w:sz w:val="16"/>
          <w:szCs w:val="16"/>
          <w:color w:val="auto"/>
        </w:rPr>
      </w:pPr>
    </w:p>
    <w:p>
      <w:pPr>
        <w:ind w:left="1452" w:hanging="480"/>
        <w:spacing w:after="0" w:line="264" w:lineRule="auto"/>
        <w:tabs>
          <w:tab w:leader="none" w:pos="1452" w:val="left"/>
        </w:tabs>
        <w:numPr>
          <w:ilvl w:val="2"/>
          <w:numId w:val="6"/>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(A), (B) or (C) of this Section 2(g)(ii) be treated as a Change in Control (Post-2010 Grant) unless such event also constitutes a “change in control event” with respect to the Company within the meaning of Treas. Reg. § 1.409A-3(i)(5) or any successor provision.</w:t>
      </w:r>
    </w:p>
    <w:p>
      <w:pPr>
        <w:spacing w:after="0" w:line="208" w:lineRule="exact"/>
        <w:rPr>
          <w:rFonts w:ascii="Arial" w:cs="Arial" w:eastAsia="Arial" w:hAnsi="Arial"/>
          <w:sz w:val="18"/>
          <w:szCs w:val="18"/>
          <w:color w:val="auto"/>
        </w:rPr>
      </w:pPr>
    </w:p>
    <w:p>
      <w:pPr>
        <w:ind w:left="532" w:hanging="532"/>
        <w:spacing w:after="0"/>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52" w:lineRule="exact"/>
        <w:rPr>
          <w:rFonts w:ascii="Arial" w:cs="Arial" w:eastAsia="Arial" w:hAnsi="Arial"/>
          <w:sz w:val="18"/>
          <w:szCs w:val="18"/>
          <w:color w:val="auto"/>
        </w:rPr>
      </w:pPr>
    </w:p>
    <w:p>
      <w:pPr>
        <w:ind w:left="492" w:right="160" w:hanging="492"/>
        <w:spacing w:after="0" w:line="277"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11(a) to be deferred in accordance with this Plan.</w:t>
      </w:r>
    </w:p>
    <w:p>
      <w:pPr>
        <w:spacing w:after="0" w:line="197" w:lineRule="exact"/>
        <w:rPr>
          <w:rFonts w:ascii="Arial" w:cs="Arial" w:eastAsia="Arial" w:hAnsi="Arial"/>
          <w:sz w:val="18"/>
          <w:szCs w:val="18"/>
          <w:color w:val="auto"/>
        </w:rPr>
      </w:pPr>
    </w:p>
    <w:p>
      <w:pPr>
        <w:ind w:left="492" w:right="100" w:hanging="492"/>
        <w:spacing w:after="0" w:line="277"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11(a)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197" w:lineRule="exact"/>
        <w:rPr>
          <w:rFonts w:ascii="Arial" w:cs="Arial" w:eastAsia="Arial" w:hAnsi="Arial"/>
          <w:sz w:val="18"/>
          <w:szCs w:val="18"/>
          <w:color w:val="auto"/>
        </w:rPr>
      </w:pPr>
    </w:p>
    <w:p>
      <w:pPr>
        <w:ind w:left="492" w:right="80" w:hanging="492"/>
        <w:spacing w:after="0" w:line="277"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Account” </w:t>
      </w:r>
      <w:r>
        <w:rPr>
          <w:rFonts w:ascii="Arial" w:cs="Arial" w:eastAsia="Arial" w:hAnsi="Arial"/>
          <w:sz w:val="18"/>
          <w:szCs w:val="18"/>
          <w:color w:val="auto"/>
        </w:rPr>
        <w:t>means a Cash Account or Stock Unit Account containing amounts earned and deferred under this Plan or the 2003</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Restricted Stock Units, the receipt of which a Director has elected to defer.</w:t>
      </w:r>
    </w:p>
    <w:p>
      <w:pPr>
        <w:spacing w:after="0" w:line="197" w:lineRule="exact"/>
        <w:rPr>
          <w:rFonts w:ascii="Arial" w:cs="Arial" w:eastAsia="Arial" w:hAnsi="Arial"/>
          <w:sz w:val="18"/>
          <w:szCs w:val="18"/>
          <w:color w:val="auto"/>
        </w:rPr>
      </w:pPr>
    </w:p>
    <w:p>
      <w:pPr>
        <w:ind w:left="492" w:hanging="492"/>
        <w:spacing w:after="0"/>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this Plan is approved by stockholders of the Company.</w:t>
      </w:r>
    </w:p>
    <w:p>
      <w:pPr>
        <w:spacing w:after="0" w:line="252" w:lineRule="exact"/>
        <w:rPr>
          <w:rFonts w:ascii="Arial" w:cs="Arial" w:eastAsia="Arial" w:hAnsi="Arial"/>
          <w:sz w:val="18"/>
          <w:szCs w:val="18"/>
          <w:color w:val="auto"/>
        </w:rPr>
      </w:pPr>
    </w:p>
    <w:p>
      <w:pPr>
        <w:ind w:left="492" w:right="20" w:hanging="492"/>
        <w:spacing w:after="0" w:line="257"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9(d).</w:t>
      </w:r>
    </w:p>
    <w:p>
      <w:pPr>
        <w:spacing w:after="0" w:line="215" w:lineRule="exact"/>
        <w:rPr>
          <w:rFonts w:ascii="Arial" w:cs="Arial" w:eastAsia="Arial" w:hAnsi="Arial"/>
          <w:sz w:val="18"/>
          <w:szCs w:val="18"/>
          <w:color w:val="auto"/>
        </w:rPr>
      </w:pPr>
    </w:p>
    <w:p>
      <w:pPr>
        <w:ind w:left="492" w:right="40" w:hanging="492"/>
        <w:spacing w:after="0" w:line="259"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New York Stock Exchange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on the first previous date on which there is such trading) as reported in “New York Stock Exchange Composite Transactions” in “The Wall Street Journal” or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G&amp;SR Committee.</w:t>
      </w:r>
    </w:p>
    <w:p>
      <w:pPr>
        <w:spacing w:after="0" w:line="213" w:lineRule="exact"/>
        <w:rPr>
          <w:rFonts w:ascii="Arial" w:cs="Arial" w:eastAsia="Arial" w:hAnsi="Arial"/>
          <w:sz w:val="18"/>
          <w:szCs w:val="18"/>
          <w:color w:val="auto"/>
        </w:rPr>
      </w:pPr>
    </w:p>
    <w:p>
      <w:pPr>
        <w:ind w:left="492" w:hanging="492"/>
        <w:spacing w:after="0"/>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“G&amp;SR Committee” </w:t>
      </w:r>
      <w:r>
        <w:rPr>
          <w:rFonts w:ascii="Arial" w:cs="Arial" w:eastAsia="Arial" w:hAnsi="Arial"/>
          <w:sz w:val="18"/>
          <w:szCs w:val="18"/>
          <w:color w:val="auto"/>
        </w:rPr>
        <w:t>means the Governance and Stockholder Relations Committee of the Board or any successor committee.</w:t>
      </w:r>
    </w:p>
    <w:p>
      <w:pPr>
        <w:spacing w:after="0" w:line="252" w:lineRule="exact"/>
        <w:rPr>
          <w:rFonts w:ascii="Arial" w:cs="Arial" w:eastAsia="Arial" w:hAnsi="Arial"/>
          <w:sz w:val="18"/>
          <w:szCs w:val="18"/>
          <w:color w:val="auto"/>
        </w:rPr>
      </w:pPr>
    </w:p>
    <w:p>
      <w:pPr>
        <w:ind w:left="492" w:right="540" w:hanging="492"/>
        <w:spacing w:after="0" w:line="277"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this Plan to purchase Shares on the terms and conditions set forth in the Plan and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97" w:lineRule="exact"/>
        <w:rPr>
          <w:rFonts w:ascii="Arial" w:cs="Arial" w:eastAsia="Arial" w:hAnsi="Arial"/>
          <w:sz w:val="18"/>
          <w:szCs w:val="18"/>
          <w:color w:val="auto"/>
        </w:rPr>
      </w:pPr>
    </w:p>
    <w:p>
      <w:pPr>
        <w:ind w:left="492" w:hanging="492"/>
        <w:spacing w:after="0"/>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2009 Director Compensation Plan.</w:t>
      </w:r>
    </w:p>
    <w:p>
      <w:pPr>
        <w:spacing w:after="0" w:line="252" w:lineRule="exact"/>
        <w:rPr>
          <w:rFonts w:ascii="Arial" w:cs="Arial" w:eastAsia="Arial" w:hAnsi="Arial"/>
          <w:sz w:val="18"/>
          <w:szCs w:val="18"/>
          <w:color w:val="auto"/>
        </w:rPr>
      </w:pPr>
    </w:p>
    <w:p>
      <w:pPr>
        <w:ind w:left="492" w:right="200" w:hanging="492"/>
        <w:spacing w:after="0" w:line="277"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this Plan that is denominated in Shares, each of which represents a right to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on the terms and conditions set forth in the Plan and the applicable Award Agreement.</w:t>
      </w:r>
    </w:p>
    <w:p>
      <w:pPr>
        <w:spacing w:after="0" w:line="170" w:lineRule="exact"/>
        <w:rPr>
          <w:rFonts w:ascii="Arial" w:cs="Arial" w:eastAsia="Arial" w:hAnsi="Arial"/>
          <w:sz w:val="18"/>
          <w:szCs w:val="18"/>
          <w:color w:val="auto"/>
        </w:rPr>
      </w:pPr>
    </w:p>
    <w:p>
      <w:pPr>
        <w:ind w:left="492" w:right="380" w:hanging="492"/>
        <w:spacing w:after="0" w:line="277"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 (2010 Grant)</w:t>
      </w:r>
      <w:r>
        <w:rPr>
          <w:rFonts w:ascii="Arial" w:cs="Arial" w:eastAsia="Arial" w:hAnsi="Arial"/>
          <w:sz w:val="18"/>
          <w:szCs w:val="18"/>
          <w:color w:val="auto"/>
        </w:rPr>
        <w:t>” means a Restricted Stock Unit granted on or before January 28, 2010, to a Director of the Company who is a Director on December 3, 2009.</w:t>
      </w:r>
    </w:p>
    <w:p>
      <w:pPr>
        <w:spacing w:after="0" w:line="197" w:lineRule="exact"/>
        <w:rPr>
          <w:rFonts w:ascii="Arial" w:cs="Arial" w:eastAsia="Arial" w:hAnsi="Arial"/>
          <w:sz w:val="18"/>
          <w:szCs w:val="18"/>
          <w:color w:val="auto"/>
        </w:rPr>
      </w:pPr>
    </w:p>
    <w:p>
      <w:pPr>
        <w:ind w:left="512" w:hanging="512"/>
        <w:spacing w:after="0"/>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252" w:lineRule="exact"/>
        <w:rPr>
          <w:rFonts w:ascii="Arial" w:cs="Arial" w:eastAsia="Arial" w:hAnsi="Arial"/>
          <w:sz w:val="18"/>
          <w:szCs w:val="18"/>
          <w:color w:val="auto"/>
        </w:rPr>
      </w:pPr>
    </w:p>
    <w:p>
      <w:pPr>
        <w:ind w:left="492" w:right="20" w:hanging="492"/>
        <w:spacing w:after="0" w:line="297" w:lineRule="auto"/>
        <w:tabs>
          <w:tab w:leader="none" w:pos="492"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Separation from Service”</w:t>
      </w:r>
      <w:r>
        <w:rPr>
          <w:rFonts w:ascii="Arial" w:cs="Arial" w:eastAsia="Arial" w:hAnsi="Arial"/>
          <w:sz w:val="16"/>
          <w:szCs w:val="16"/>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185" w:lineRule="exact"/>
        <w:rPr>
          <w:rFonts w:ascii="Arial" w:cs="Arial" w:eastAsia="Arial" w:hAnsi="Arial"/>
          <w:sz w:val="16"/>
          <w:szCs w:val="16"/>
          <w:color w:val="auto"/>
        </w:rPr>
      </w:pPr>
    </w:p>
    <w:p>
      <w:pPr>
        <w:ind w:left="972" w:hanging="486"/>
        <w:spacing w:after="0" w:line="279" w:lineRule="auto"/>
        <w:tabs>
          <w:tab w:leader="none" w:pos="972" w:val="left"/>
        </w:tabs>
        <w:numPr>
          <w:ilvl w:val="1"/>
          <w:numId w:val="7"/>
        </w:numPr>
        <w:rPr>
          <w:rFonts w:ascii="Arial" w:cs="Arial" w:eastAsia="Arial" w:hAnsi="Arial"/>
          <w:sz w:val="17"/>
          <w:szCs w:val="17"/>
          <w:color w:val="auto"/>
        </w:rPr>
      </w:pPr>
      <w:r>
        <w:rPr>
          <w:rFonts w:ascii="Arial" w:cs="Arial" w:eastAsia="Arial" w:hAnsi="Arial"/>
          <w:sz w:val="17"/>
          <w:szCs w:val="17"/>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198" w:lineRule="exact"/>
        <w:rPr>
          <w:rFonts w:ascii="Arial" w:cs="Arial" w:eastAsia="Arial" w:hAnsi="Arial"/>
          <w:sz w:val="17"/>
          <w:szCs w:val="17"/>
          <w:color w:val="auto"/>
        </w:rPr>
      </w:pPr>
    </w:p>
    <w:p>
      <w:pPr>
        <w:ind w:left="972" w:right="240" w:hanging="486"/>
        <w:spacing w:after="0" w:line="259"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213" w:lineRule="exact"/>
        <w:rPr>
          <w:rFonts w:ascii="Arial" w:cs="Arial" w:eastAsia="Arial" w:hAnsi="Arial"/>
          <w:sz w:val="18"/>
          <w:szCs w:val="18"/>
          <w:color w:val="auto"/>
        </w:rPr>
      </w:pPr>
    </w:p>
    <w:p>
      <w:pPr>
        <w:ind w:left="972" w:hanging="486"/>
        <w:spacing w:after="0"/>
        <w:tabs>
          <w:tab w:leader="none" w:pos="972"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a Director is also providing additional services to the Company as an independent contractor, he or she cannot have a Separation from Service</w:t>
      </w:r>
    </w:p>
    <w:p>
      <w:pPr>
        <w:sectPr>
          <w:pgSz w:w="11900" w:h="16838" w:orient="portrait"/>
          <w:cols w:equalWidth="0" w:num="1">
            <w:col w:w="11412"/>
          </w:cols>
          <w:pgMar w:left="248" w:top="368" w:right="239" w:bottom="0" w:gutter="0" w:footer="0" w:header="0"/>
        </w:sectPr>
      </w:pPr>
    </w:p>
    <w:bookmarkStart w:id="5" w:name="page6"/>
    <w:bookmarkEnd w:id="5"/>
    <w:p>
      <w:pPr>
        <w:ind w:left="980"/>
        <w:spacing w:after="0"/>
        <w:rPr>
          <w:sz w:val="20"/>
          <w:szCs w:val="20"/>
          <w:color w:val="auto"/>
        </w:rPr>
      </w:pPr>
      <w:r>
        <w:rPr>
          <w:rFonts w:ascii="Arial" w:cs="Arial" w:eastAsia="Arial" w:hAnsi="Arial"/>
          <w:sz w:val="17"/>
          <w:szCs w:val="17"/>
          <w:color w:val="auto"/>
        </w:rPr>
        <w:t>for purposes of Section 409A of the Code until he or she has separated from service both as a Director and as an independent contractor.</w:t>
      </w:r>
    </w:p>
    <w:p>
      <w:pPr>
        <w:spacing w:after="0" w:line="26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52" w:lineRule="exact"/>
        <w:rPr>
          <w:rFonts w:ascii="Arial" w:cs="Arial" w:eastAsia="Arial" w:hAnsi="Arial"/>
          <w:sz w:val="18"/>
          <w:szCs w:val="18"/>
          <w:color w:val="auto"/>
        </w:rPr>
      </w:pPr>
    </w:p>
    <w:p>
      <w:pPr>
        <w:ind w:left="500" w:right="4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(5) thereof) for the applicable period, as determined annually by the Administrator in accordance with Treas. Reg. §1.409A-1(i). In determining whether a Participant is a Specified Employee, the following provisions shall apply:</w:t>
      </w:r>
    </w:p>
    <w:p>
      <w:pPr>
        <w:spacing w:after="0" w:line="208" w:lineRule="exact"/>
        <w:rPr>
          <w:rFonts w:ascii="Arial" w:cs="Arial" w:eastAsia="Arial" w:hAnsi="Arial"/>
          <w:sz w:val="18"/>
          <w:szCs w:val="18"/>
          <w:color w:val="auto"/>
        </w:rPr>
      </w:pPr>
    </w:p>
    <w:p>
      <w:pPr>
        <w:ind w:left="980" w:hanging="486"/>
        <w:spacing w:after="0" w:line="25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215" w:lineRule="exact"/>
        <w:rPr>
          <w:rFonts w:ascii="Arial" w:cs="Arial" w:eastAsia="Arial" w:hAnsi="Arial"/>
          <w:sz w:val="18"/>
          <w:szCs w:val="18"/>
          <w:color w:val="auto"/>
        </w:rPr>
      </w:pPr>
    </w:p>
    <w:p>
      <w:pPr>
        <w:ind w:left="980" w:hanging="486"/>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2(z) shall be treated as a Specified Employee for purposes of this Plan if such Participant experiences a Separation from Service during the 12-month period that begins on the April 1st following the applicable identification date.</w:t>
      </w:r>
    </w:p>
    <w:p>
      <w:pPr>
        <w:spacing w:after="0" w:line="208" w:lineRule="exact"/>
        <w:rPr>
          <w:sz w:val="20"/>
          <w:szCs w:val="20"/>
          <w:color w:val="auto"/>
        </w:rPr>
      </w:pPr>
    </w:p>
    <w:p>
      <w:pPr>
        <w:ind w:left="460" w:right="80" w:hanging="452"/>
        <w:spacing w:after="0" w:line="28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“Stock Appreciation Right</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“SAR” </w:t>
      </w:r>
      <w:r>
        <w:rPr>
          <w:rFonts w:ascii="Arial" w:cs="Arial" w:eastAsia="Arial" w:hAnsi="Arial"/>
          <w:sz w:val="17"/>
          <w:szCs w:val="17"/>
          <w:color w:val="auto"/>
        </w:rPr>
        <w:t>means a right granted pursuant to Section 10 to receive, upon exercise by the Participant, the excess of (i)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192" w:lineRule="exact"/>
        <w:rPr>
          <w:rFonts w:ascii="Arial" w:cs="Arial" w:eastAsia="Arial" w:hAnsi="Arial"/>
          <w:sz w:val="17"/>
          <w:szCs w:val="17"/>
          <w:color w:val="auto"/>
        </w:rPr>
      </w:pPr>
    </w:p>
    <w:p>
      <w:pPr>
        <w:ind w:left="460" w:right="3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11(b)(ii),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11(b), to have any of his or her Deferred Cash Compensation credited to a stock unit account.</w:t>
      </w:r>
    </w:p>
    <w:p>
      <w:pPr>
        <w:spacing w:after="0" w:line="197" w:lineRule="exact"/>
        <w:rPr>
          <w:rFonts w:ascii="Arial" w:cs="Arial" w:eastAsia="Arial" w:hAnsi="Arial"/>
          <w:sz w:val="18"/>
          <w:szCs w:val="18"/>
          <w:color w:val="auto"/>
        </w:rPr>
      </w:pPr>
    </w:p>
    <w:p>
      <w:pPr>
        <w:ind w:left="500" w:right="20" w:hanging="492"/>
        <w:spacing w:after="0" w:line="25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215"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THE PLAN.</w:t>
      </w:r>
    </w:p>
    <w:p>
      <w:pPr>
        <w:spacing w:after="0" w:line="25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Subject to adjustment as provided in this Section 5, the number of Shares available for issuance under the Plan shall be 2,000,000 Shares.</w:t>
      </w:r>
    </w:p>
    <w:p>
      <w:pPr>
        <w:spacing w:after="0" w:line="263" w:lineRule="exact"/>
        <w:rPr>
          <w:rFonts w:ascii="Arial" w:cs="Arial" w:eastAsia="Arial" w:hAnsi="Arial"/>
          <w:sz w:val="17"/>
          <w:szCs w:val="17"/>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after the effective date of the Plan, (i) any Shares covered by an Award or Stock Unit Account, or to which such an Award relates, are forfeited, or</w:t>
      </w:r>
    </w:p>
    <w:p>
      <w:pPr>
        <w:spacing w:after="0" w:line="46" w:lineRule="exact"/>
        <w:rPr>
          <w:rFonts w:ascii="Arial" w:cs="Arial" w:eastAsia="Arial" w:hAnsi="Arial"/>
          <w:sz w:val="16"/>
          <w:szCs w:val="16"/>
          <w:color w:val="auto"/>
        </w:rPr>
      </w:pPr>
    </w:p>
    <w:p>
      <w:pPr>
        <w:ind w:left="500" w:right="40" w:hanging="6"/>
        <w:spacing w:after="0" w:line="290" w:lineRule="auto"/>
        <w:tabs>
          <w:tab w:leader="none" w:pos="7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increased by: (1) the withh 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191" w:lineRule="exact"/>
        <w:rPr>
          <w:rFonts w:ascii="Arial" w:cs="Arial" w:eastAsia="Arial" w:hAnsi="Arial"/>
          <w:sz w:val="16"/>
          <w:szCs w:val="16"/>
          <w:color w:val="auto"/>
        </w:rPr>
      </w:pPr>
    </w:p>
    <w:p>
      <w:pPr>
        <w:ind w:left="500" w:right="38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of treasury Shares or of both.</w:t>
      </w:r>
    </w:p>
    <w:p>
      <w:pPr>
        <w:spacing w:after="0" w:line="197" w:lineRule="exact"/>
        <w:rPr>
          <w:rFonts w:ascii="Arial" w:cs="Arial" w:eastAsia="Arial" w:hAnsi="Arial"/>
          <w:sz w:val="18"/>
          <w:szCs w:val="18"/>
          <w:color w:val="auto"/>
        </w:rPr>
      </w:pPr>
    </w:p>
    <w:p>
      <w:pPr>
        <w:ind w:left="500" w:right="20" w:hanging="492"/>
        <w:spacing w:after="0" w:line="28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w:t>
      </w:r>
    </w:p>
    <w:p>
      <w:pPr>
        <w:spacing w:after="0" w:line="2" w:lineRule="exact"/>
        <w:rPr>
          <w:rFonts w:ascii="Arial" w:cs="Arial" w:eastAsia="Arial" w:hAnsi="Arial"/>
          <w:sz w:val="16"/>
          <w:szCs w:val="16"/>
          <w:color w:val="auto"/>
        </w:rPr>
      </w:pPr>
    </w:p>
    <w:p>
      <w:pPr>
        <w:ind w:left="500" w:right="40" w:hanging="6"/>
        <w:spacing w:after="0" w:line="255" w:lineRule="auto"/>
        <w:tabs>
          <w:tab w:leader="none" w:pos="7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aggregate limit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EQUITY GRANT UPON INITIAL ELECTION.</w:t>
      </w:r>
    </w:p>
    <w:p>
      <w:pPr>
        <w:spacing w:after="0" w:line="256"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Initial Grant</w:t>
      </w:r>
      <w:r>
        <w:rPr>
          <w:rFonts w:ascii="Arial" w:cs="Arial" w:eastAsia="Arial" w:hAnsi="Arial"/>
          <w:sz w:val="16"/>
          <w:szCs w:val="16"/>
          <w:color w:val="auto"/>
        </w:rPr>
        <w:t>. Following the effective date of this Plan, each Director shall, effective as of the date of such individual’s initial election or appointment</w:t>
      </w:r>
    </w:p>
    <w:p>
      <w:pPr>
        <w:sectPr>
          <w:pgSz w:w="11900" w:h="16838" w:orient="portrait"/>
          <w:cols w:equalWidth="0" w:num="1">
            <w:col w:w="11420"/>
          </w:cols>
          <w:pgMar w:left="240" w:top="125" w:right="239" w:bottom="0" w:gutter="0" w:footer="0" w:header="0"/>
        </w:sectPr>
      </w:pPr>
    </w:p>
    <w:bookmarkStart w:id="6" w:name="page7"/>
    <w:bookmarkEnd w:id="6"/>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Board, be granted 2,000 Restricted Stock Units.</w:t>
      </w:r>
    </w:p>
    <w:p>
      <w:pPr>
        <w:spacing w:after="0" w:line="22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The terms and conditions of each Restricted Stock Unit granted under this Section 6 shall be as described in Section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ANNUAL EQUITY GRANTS.</w:t>
      </w:r>
    </w:p>
    <w:p>
      <w:pPr>
        <w:spacing w:after="0" w:line="256" w:lineRule="exact"/>
        <w:rPr>
          <w:sz w:val="20"/>
          <w:szCs w:val="20"/>
          <w:color w:val="auto"/>
        </w:rPr>
      </w:pPr>
    </w:p>
    <w:p>
      <w:pPr>
        <w:ind w:left="500" w:right="180" w:hanging="492"/>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Annual Grant</w:t>
      </w:r>
      <w:r>
        <w:rPr>
          <w:rFonts w:ascii="Arial" w:cs="Arial" w:eastAsia="Arial" w:hAnsi="Arial"/>
          <w:sz w:val="18"/>
          <w:szCs w:val="18"/>
          <w:color w:val="auto"/>
        </w:rPr>
        <w:t>. Effective in 2011, each Director will be granted annually an Option with a grant-date value of approximately $100,000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a Black-Scholes option-pricing model and a Restricted Stock Unit Award with a grant-date value of approximately $100,000, in each case rounded down to the nearest whole share. The Restricted Stock Units granted under this Section 7(a) shall be in addition to any RSUs granted to any Director pursuant to Section 6.</w:t>
      </w:r>
    </w:p>
    <w:p>
      <w:pPr>
        <w:spacing w:after="0" w:line="213" w:lineRule="exact"/>
        <w:rPr>
          <w:rFonts w:ascii="Arial" w:cs="Arial" w:eastAsia="Arial" w:hAnsi="Arial"/>
          <w:sz w:val="18"/>
          <w:szCs w:val="18"/>
          <w:color w:val="auto"/>
        </w:rPr>
      </w:pPr>
    </w:p>
    <w:p>
      <w:pPr>
        <w:ind w:left="500" w:right="20" w:hanging="492"/>
        <w:spacing w:after="0" w:line="25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Effective Date of Annual Grant</w:t>
      </w:r>
      <w:r>
        <w:rPr>
          <w:rFonts w:ascii="Arial" w:cs="Arial" w:eastAsia="Arial" w:hAnsi="Arial"/>
          <w:sz w:val="18"/>
          <w:szCs w:val="18"/>
          <w:color w:val="auto"/>
        </w:rPr>
        <w:t>. In each year the effective date for the annual grant of equity to the Company’s executive officers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 (or any successor committee) shall be the date the Options and Restricted Stock Units are granted; provided that in any year in which the Compensation Committee does not grant equity to any of the Company’s executive officers in connection with the annual compensation review process, then the third trading day after the release of the Company’s financial results for the first quarter of such year shall be the date the Options and Restricted Stock Units are granted.</w:t>
      </w:r>
    </w:p>
    <w:p>
      <w:pPr>
        <w:spacing w:after="0" w:line="215" w:lineRule="exact"/>
        <w:rPr>
          <w:rFonts w:ascii="Arial" w:cs="Arial" w:eastAsia="Arial" w:hAnsi="Arial"/>
          <w:sz w:val="18"/>
          <w:szCs w:val="18"/>
          <w:color w:val="auto"/>
        </w:rPr>
      </w:pPr>
    </w:p>
    <w:p>
      <w:pPr>
        <w:ind w:left="500" w:right="60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Option and Restricted Stock Unit granted under this Section 6 shall be as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8 and 9, respectively.</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Reductions in Awards</w:t>
      </w:r>
      <w:r>
        <w:rPr>
          <w:rFonts w:ascii="Arial" w:cs="Arial" w:eastAsia="Arial" w:hAnsi="Arial"/>
          <w:sz w:val="18"/>
          <w:szCs w:val="18"/>
          <w:color w:val="auto"/>
        </w:rPr>
        <w:t>. Prior to the effective date of any annual grant as described in this Section 7, the Board shall have the right to make reductions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Awards to be granted under this Section 7. In determining whether to reduce any Award and the amount of any reduction, the Board shall take into consideration such factors as the Board shall determine.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OPTIONS.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Options granted under this Plan will be nonstatutory stock options not intended to qualify under Section 422 of the Code and shall have the terms and conditions described in this Section 8:</w:t>
      </w:r>
    </w:p>
    <w:p>
      <w:pPr>
        <w:spacing w:after="0" w:line="197" w:lineRule="exact"/>
        <w:rPr>
          <w:sz w:val="20"/>
          <w:szCs w:val="20"/>
          <w:color w:val="auto"/>
        </w:rPr>
      </w:pPr>
    </w:p>
    <w:p>
      <w:pPr>
        <w:ind w:left="420" w:right="20" w:hanging="412"/>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the Shares on the effective date of the grant as determined in Section 7(b).</w:t>
      </w:r>
    </w:p>
    <w:p>
      <w:pPr>
        <w:spacing w:after="0" w:line="197" w:lineRule="exact"/>
        <w:rPr>
          <w:rFonts w:ascii="Arial" w:cs="Arial" w:eastAsia="Arial" w:hAnsi="Arial"/>
          <w:sz w:val="18"/>
          <w:szCs w:val="18"/>
          <w:color w:val="auto"/>
        </w:rPr>
      </w:pPr>
    </w:p>
    <w:p>
      <w:pPr>
        <w:ind w:left="500" w:right="14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208"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 8(d), Options shall become exercisable in four equal annual installments commencing on the first anniversary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member of the Board shall be as follows: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52" w:lineRule="exact"/>
        <w:rPr>
          <w:rFonts w:ascii="Arial" w:cs="Arial" w:eastAsia="Arial" w:hAnsi="Arial"/>
          <w:sz w:val="18"/>
          <w:szCs w:val="18"/>
          <w:color w:val="auto"/>
        </w:rPr>
      </w:pPr>
    </w:p>
    <w:p>
      <w:pPr>
        <w:ind w:left="980" w:right="280" w:hanging="486"/>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8(c), and shall be exercisable by such Participant’s heirs or legal representatives.</w:t>
      </w:r>
    </w:p>
    <w:p>
      <w:pPr>
        <w:spacing w:after="0" w:line="197" w:lineRule="exact"/>
        <w:rPr>
          <w:rFonts w:ascii="Arial" w:cs="Arial" w:eastAsia="Arial" w:hAnsi="Arial"/>
          <w:sz w:val="18"/>
          <w:szCs w:val="18"/>
          <w:color w:val="auto"/>
        </w:rPr>
      </w:pPr>
    </w:p>
    <w:p>
      <w:pPr>
        <w:ind w:left="980" w:right="200" w:hanging="486"/>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8(c).</w:t>
      </w:r>
    </w:p>
    <w:p>
      <w:pPr>
        <w:spacing w:after="0" w:line="150" w:lineRule="exact"/>
        <w:rPr>
          <w:rFonts w:ascii="Arial" w:cs="Arial" w:eastAsia="Arial" w:hAnsi="Arial"/>
          <w:sz w:val="16"/>
          <w:szCs w:val="16"/>
          <w:color w:val="auto"/>
        </w:rPr>
      </w:pPr>
    </w:p>
    <w:p>
      <w:pPr>
        <w:ind w:left="980" w:right="140" w:hanging="486"/>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Change in Control: If a Participant experiences a Separation From Service (other than for cause) within 24 months after a Change in Control (Post-2010 Grant), the provisions of Section 8(c) shall not apply and Options held by the Participant shall be immediately exercisable and shall continue to full term.</w:t>
      </w:r>
    </w:p>
    <w:p>
      <w:pPr>
        <w:spacing w:after="0" w:line="208" w:lineRule="exact"/>
        <w:rPr>
          <w:rFonts w:ascii="Arial" w:cs="Arial" w:eastAsia="Arial" w:hAnsi="Arial"/>
          <w:sz w:val="18"/>
          <w:szCs w:val="18"/>
          <w:color w:val="auto"/>
        </w:rPr>
      </w:pPr>
    </w:p>
    <w:p>
      <w:pPr>
        <w:ind w:left="980" w:right="20" w:hanging="486"/>
        <w:spacing w:after="0" w:line="279"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98" w:lineRule="exact"/>
        <w:rPr>
          <w:rFonts w:ascii="Arial" w:cs="Arial" w:eastAsia="Arial" w:hAnsi="Arial"/>
          <w:sz w:val="17"/>
          <w:szCs w:val="17"/>
          <w:color w:val="auto"/>
        </w:rPr>
      </w:pPr>
    </w:p>
    <w:p>
      <w:pPr>
        <w:ind w:left="500" w:right="12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under this Plan shall be evidenced by an Award Agreement with the Company, which shall contain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provisions set forth herein and shall otherwise be consistent with the provisions of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RESTRICTED STOCK UNITS.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Restricted Stock Unit granted under this Plan shall be paid or settled by the issuance of one Share and shall have the terms and conditions described in this Section 9:</w:t>
      </w:r>
    </w:p>
    <w:p>
      <w:pPr>
        <w:spacing w:after="0" w:line="197" w:lineRule="exact"/>
        <w:rPr>
          <w:sz w:val="20"/>
          <w:szCs w:val="20"/>
          <w:color w:val="auto"/>
        </w:rPr>
      </w:pPr>
    </w:p>
    <w:p>
      <w:pPr>
        <w:ind w:left="500" w:hanging="49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Vesting and Settlement</w:t>
      </w:r>
      <w:r>
        <w:rPr>
          <w:rFonts w:ascii="Arial" w:cs="Arial" w:eastAsia="Arial" w:hAnsi="Arial"/>
          <w:sz w:val="18"/>
          <w:szCs w:val="18"/>
          <w:color w:val="auto"/>
        </w:rPr>
        <w:t>. Subject to Sections 9(b) and 9(c)(iii) and subject to a Director’s election to defer the settlement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 the shares covered by the Restricted Stock Units shall be paid or settled as soon as practicable after the fourth anniversary of the date of grant.</w:t>
      </w:r>
    </w:p>
    <w:p>
      <w:pPr>
        <w:spacing w:after="0" w:line="208" w:lineRule="exact"/>
        <w:rPr>
          <w:rFonts w:ascii="Arial" w:cs="Arial" w:eastAsia="Arial" w:hAnsi="Arial"/>
          <w:sz w:val="18"/>
          <w:szCs w:val="18"/>
          <w:color w:val="auto"/>
        </w:rPr>
      </w:pPr>
    </w:p>
    <w:p>
      <w:pPr>
        <w:ind w:left="500" w:right="160" w:hanging="492"/>
        <w:spacing w:after="0" w:line="29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With respect to Restricted Stock Units (2010 Grant), in the event of a Change in Control (2010 Grant), the provisions of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9(a) and (c) shall not apply (except for Section 9(c)(iv), which shall apply), any election by a Director to defer settlement of Restricted Stock</w:t>
      </w:r>
    </w:p>
    <w:p>
      <w:pPr>
        <w:ind w:left="500" w:right="280"/>
        <w:spacing w:after="0" w:line="261" w:lineRule="auto"/>
        <w:rPr>
          <w:rFonts w:ascii="Arial" w:cs="Arial" w:eastAsia="Arial" w:hAnsi="Arial"/>
          <w:sz w:val="16"/>
          <w:szCs w:val="16"/>
          <w:color w:val="auto"/>
        </w:rPr>
      </w:pPr>
      <w:r>
        <w:rPr>
          <w:rFonts w:ascii="Arial" w:cs="Arial" w:eastAsia="Arial" w:hAnsi="Arial"/>
          <w:sz w:val="18"/>
          <w:szCs w:val="18"/>
          <w:color w:val="auto"/>
        </w:rPr>
        <w:t>Units (2010 Grant) pursuant to Section 11 shall be cancelled and any such Restricted Stock Units outstanding under this Plan shall vest and be paid immediately. See Section 9(c)(iii) for the effect of a Change in Control on all other Restricted Stock Units.</w:t>
      </w:r>
    </w:p>
    <w:p>
      <w:pPr>
        <w:sectPr>
          <w:pgSz w:w="11900" w:h="16915" w:orient="portrait"/>
          <w:cols w:equalWidth="0" w:num="1">
            <w:col w:w="11420"/>
          </w:cols>
          <w:pgMar w:left="240" w:top="125" w:right="239" w:bottom="0" w:gutter="0" w:footer="0" w:header="0"/>
        </w:sectPr>
      </w:pPr>
    </w:p>
    <w:bookmarkStart w:id="7" w:name="page8"/>
    <w:bookmarkEnd w:id="7"/>
    <w:p>
      <w:pPr>
        <w:spacing w:after="0" w:line="114"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Termination of Service as a Director</w:t>
      </w:r>
      <w:r>
        <w:rPr>
          <w:rFonts w:ascii="Arial" w:cs="Arial" w:eastAsia="Arial" w:hAnsi="Arial"/>
          <w:sz w:val="18"/>
          <w:szCs w:val="18"/>
          <w:color w:val="auto"/>
        </w:rPr>
        <w:t>. The effect of a Participant's termination of service as a member of the Board shall be as follows:</w:t>
      </w:r>
    </w:p>
    <w:p>
      <w:pPr>
        <w:spacing w:after="0" w:line="252" w:lineRule="exact"/>
        <w:rPr>
          <w:rFonts w:ascii="Arial" w:cs="Arial" w:eastAsia="Arial" w:hAnsi="Arial"/>
          <w:sz w:val="18"/>
          <w:szCs w:val="18"/>
          <w:color w:val="auto"/>
        </w:rPr>
      </w:pPr>
    </w:p>
    <w:p>
      <w:pPr>
        <w:ind w:left="980" w:right="60" w:hanging="486"/>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208" w:lineRule="exact"/>
        <w:rPr>
          <w:rFonts w:ascii="Arial" w:cs="Arial" w:eastAsia="Arial" w:hAnsi="Arial"/>
          <w:sz w:val="18"/>
          <w:szCs w:val="18"/>
          <w:color w:val="auto"/>
        </w:rPr>
      </w:pPr>
    </w:p>
    <w:p>
      <w:pPr>
        <w:ind w:left="980" w:right="140" w:hanging="486"/>
        <w:spacing w:after="0" w:line="31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173" w:lineRule="exact"/>
        <w:rPr>
          <w:rFonts w:ascii="Arial" w:cs="Arial" w:eastAsia="Arial" w:hAnsi="Arial"/>
          <w:sz w:val="16"/>
          <w:szCs w:val="16"/>
          <w:color w:val="auto"/>
        </w:rPr>
      </w:pPr>
    </w:p>
    <w:p>
      <w:pPr>
        <w:ind w:left="980" w:right="240" w:hanging="486"/>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Separation From Service after a Change in Control: With respect to Restricted Stock Units other than Restricted Stock Units (2010 Grant), in the event a Participant experiences a Separation From Service (other than for cause) within 24 months after a Change in Control (Post-2010 Grant), the provisions of Section 9(a) shall not apply and:</w:t>
      </w:r>
    </w:p>
    <w:p>
      <w:pPr>
        <w:spacing w:after="0" w:line="208" w:lineRule="exact"/>
        <w:rPr>
          <w:rFonts w:ascii="Arial" w:cs="Arial" w:eastAsia="Arial" w:hAnsi="Arial"/>
          <w:sz w:val="18"/>
          <w:szCs w:val="18"/>
          <w:color w:val="auto"/>
        </w:rPr>
      </w:pPr>
    </w:p>
    <w:p>
      <w:pPr>
        <w:ind w:left="1620" w:hanging="640"/>
        <w:spacing w:after="0" w:line="273" w:lineRule="auto"/>
        <w:tabs>
          <w:tab w:leader="none" w:pos="1620" w:val="left"/>
        </w:tabs>
        <w:numPr>
          <w:ilvl w:val="2"/>
          <w:numId w:val="17"/>
        </w:numPr>
        <w:rPr>
          <w:rFonts w:ascii="Arial" w:cs="Arial" w:eastAsia="Arial" w:hAnsi="Arial"/>
          <w:sz w:val="17"/>
          <w:szCs w:val="17"/>
          <w:color w:val="auto"/>
        </w:rPr>
      </w:pPr>
      <w:r>
        <w:rPr>
          <w:rFonts w:ascii="Arial" w:cs="Arial" w:eastAsia="Arial" w:hAnsi="Arial"/>
          <w:sz w:val="17"/>
          <w:szCs w:val="17"/>
          <w:color w:val="auto"/>
        </w:rPr>
        <w:t>To the extent permitted without additional tax or penalty by Section 409A of the Code, all shares underlying such Restricted Stock Units held by the Participant (including any such Restricted Stock Units subject to an election to defer settlement under Section 11)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205" w:lineRule="exact"/>
        <w:rPr>
          <w:rFonts w:ascii="Arial" w:cs="Arial" w:eastAsia="Arial" w:hAnsi="Arial"/>
          <w:sz w:val="17"/>
          <w:szCs w:val="17"/>
          <w:color w:val="auto"/>
        </w:rPr>
      </w:pPr>
    </w:p>
    <w:p>
      <w:pPr>
        <w:ind w:left="1620" w:right="100" w:hanging="640"/>
        <w:spacing w:after="0" w:line="259"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11) in accordance with Section 11(h)(i).</w:t>
      </w:r>
    </w:p>
    <w:p>
      <w:pPr>
        <w:spacing w:after="0" w:line="213" w:lineRule="exact"/>
        <w:rPr>
          <w:rFonts w:ascii="Arial" w:cs="Arial" w:eastAsia="Arial" w:hAnsi="Arial"/>
          <w:sz w:val="18"/>
          <w:szCs w:val="18"/>
          <w:color w:val="auto"/>
        </w:rPr>
      </w:pPr>
    </w:p>
    <w:p>
      <w:pPr>
        <w:ind w:left="980" w:right="200" w:hanging="486"/>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Restricted Stock Units held by the Participant shall terminate and become void without any shares being issued.</w:t>
      </w:r>
    </w:p>
    <w:p>
      <w:pPr>
        <w:spacing w:after="0" w:line="197" w:lineRule="exact"/>
        <w:rPr>
          <w:rFonts w:ascii="Arial" w:cs="Arial" w:eastAsia="Arial" w:hAnsi="Arial"/>
          <w:sz w:val="18"/>
          <w:szCs w:val="18"/>
          <w:color w:val="auto"/>
        </w:rPr>
      </w:pPr>
    </w:p>
    <w:p>
      <w:pPr>
        <w:ind w:left="980" w:right="180" w:hanging="486"/>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With respect to Restricted Stock Units (2010 Grant), if a Participant's termination of service (other than for cause) occurs within 30 days of a Change in Control (2010 Grant), then the Change in Control (2010 Grant) shall be deemed to have occurred first and the provisions of Section 9(b) shall apply.</w:t>
      </w:r>
    </w:p>
    <w:p>
      <w:pPr>
        <w:spacing w:after="0" w:line="208" w:lineRule="exact"/>
        <w:rPr>
          <w:rFonts w:ascii="Arial" w:cs="Arial" w:eastAsia="Arial" w:hAnsi="Arial"/>
          <w:sz w:val="18"/>
          <w:szCs w:val="18"/>
          <w:color w:val="auto"/>
        </w:rPr>
      </w:pPr>
    </w:p>
    <w:p>
      <w:pPr>
        <w:ind w:left="500" w:right="460" w:hanging="492"/>
        <w:spacing w:after="0" w:line="34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Restricted Stock Unit Agreement</w:t>
      </w:r>
      <w:r>
        <w:rPr>
          <w:rFonts w:ascii="Arial" w:cs="Arial" w:eastAsia="Arial" w:hAnsi="Arial"/>
          <w:sz w:val="16"/>
          <w:szCs w:val="16"/>
          <w:color w:val="auto"/>
        </w:rPr>
        <w:t>. Each Restricted Stock Unit Award granted under this Plan shall be evidenced by an Award Agreement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which shall contain the terms and conditions set forth herein and shall otherwise be consistent with the provisions of this Plan.</w:t>
      </w:r>
    </w:p>
    <w:p>
      <w:pPr>
        <w:spacing w:after="0" w:line="150" w:lineRule="exact"/>
        <w:rPr>
          <w:rFonts w:ascii="Arial" w:cs="Arial" w:eastAsia="Arial" w:hAnsi="Arial"/>
          <w:sz w:val="16"/>
          <w:szCs w:val="16"/>
          <w:color w:val="auto"/>
        </w:rPr>
      </w:pPr>
    </w:p>
    <w:p>
      <w:pPr>
        <w:ind w:left="500" w:hanging="492"/>
        <w:spacing w:after="0" w:line="255"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11, pay such accumulated amounts without interest in December of each fiscal year, but no later than March 15 of the calendar year following the calendar year in which the related dividend is declared.</w:t>
      </w:r>
    </w:p>
    <w:p>
      <w:pPr>
        <w:spacing w:after="0" w:line="220"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 in the name</w:t>
      </w:r>
      <w:r>
        <w:rPr>
          <w:rFonts w:ascii="Arial" w:cs="Arial" w:eastAsia="Arial" w:hAnsi="Arial"/>
          <w:sz w:val="18"/>
          <w:szCs w:val="18"/>
          <w:i w:val="1"/>
          <w:iCs w:val="1"/>
          <w:color w:val="auto"/>
        </w:rPr>
        <w:t xml:space="preserve"> </w:t>
      </w:r>
      <w:r>
        <w:rPr>
          <w:rFonts w:ascii="Arial" w:cs="Arial" w:eastAsia="Arial" w:hAnsi="Arial"/>
          <w:sz w:val="18"/>
          <w:szCs w:val="18"/>
          <w:color w:val="auto"/>
        </w:rPr>
        <w:t>or for the benefit of the holder of Restricted Stock Units and delivered to such holder as soon as practicable after such Restricted Stock Units have become payable or settleable in accordance with the terms of the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APPRECIATION RIGHTS (SARs).</w:t>
      </w:r>
    </w:p>
    <w:p>
      <w:pPr>
        <w:spacing w:after="0" w:line="256"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SARs may be granted to Directors with such terms and conditions as the Administrator shall determine not inconsistent with the provisions of the Plan.</w:t>
      </w:r>
    </w:p>
    <w:p>
      <w:pPr>
        <w:spacing w:after="0" w:line="275" w:lineRule="exact"/>
        <w:rPr>
          <w:rFonts w:ascii="Arial" w:cs="Arial" w:eastAsia="Arial" w:hAnsi="Arial"/>
          <w:sz w:val="16"/>
          <w:szCs w:val="16"/>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of each SAR shall be fixed by the Administrator but shall not exceed 10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DEFERRED COMPENSATION.</w:t>
      </w:r>
    </w:p>
    <w:p>
      <w:pPr>
        <w:spacing w:after="0" w:line="256" w:lineRule="exact"/>
        <w:rPr>
          <w:sz w:val="20"/>
          <w:szCs w:val="20"/>
          <w:color w:val="auto"/>
        </w:rPr>
      </w:pPr>
    </w:p>
    <w:p>
      <w:pPr>
        <w:ind w:left="500" w:right="38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19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 credited to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 Stock Unit Account or to any combination thereof.</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60" w:right="160" w:hanging="480"/>
        <w:spacing w:after="0" w:line="277" w:lineRule="auto"/>
        <w:tabs>
          <w:tab w:leader="none" w:pos="14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Cash Accounts for each Director who has elected that any portion of his or her Deferred Cash Compensation be credited to a Cash Account.</w:t>
      </w:r>
    </w:p>
    <w:p>
      <w:pPr>
        <w:spacing w:after="0" w:line="197" w:lineRule="exact"/>
        <w:rPr>
          <w:rFonts w:ascii="Arial" w:cs="Arial" w:eastAsia="Arial" w:hAnsi="Arial"/>
          <w:sz w:val="18"/>
          <w:szCs w:val="18"/>
          <w:color w:val="auto"/>
        </w:rPr>
      </w:pPr>
    </w:p>
    <w:p>
      <w:pPr>
        <w:ind w:left="1460" w:right="160" w:hanging="480"/>
        <w:spacing w:after="0" w:line="264" w:lineRule="auto"/>
        <w:tabs>
          <w:tab w:leader="none" w:pos="14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208" w:lineRule="exact"/>
        <w:rPr>
          <w:rFonts w:ascii="Arial" w:cs="Arial" w:eastAsia="Arial" w:hAnsi="Arial"/>
          <w:sz w:val="18"/>
          <w:szCs w:val="18"/>
          <w:color w:val="auto"/>
        </w:rPr>
      </w:pPr>
    </w:p>
    <w:p>
      <w:pPr>
        <w:ind w:left="1460" w:right="160" w:hanging="480"/>
        <w:spacing w:after="0" w:line="312" w:lineRule="auto"/>
        <w:tabs>
          <w:tab w:leader="none" w:pos="146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w:t>
      </w:r>
    </w:p>
    <w:p>
      <w:pPr>
        <w:sectPr>
          <w:pgSz w:w="11900" w:h="16952" w:orient="portrait"/>
          <w:cols w:equalWidth="0" w:num="1">
            <w:col w:w="11420"/>
          </w:cols>
          <w:pgMar w:left="240" w:top="368" w:right="239" w:bottom="0" w:gutter="0" w:footer="0" w:header="0"/>
        </w:sectPr>
      </w:pPr>
    </w:p>
    <w:bookmarkStart w:id="8" w:name="page9"/>
    <w:bookmarkEnd w:id="8"/>
    <w:p>
      <w:pPr>
        <w:spacing w:after="0" w:line="122" w:lineRule="exact"/>
        <w:rPr>
          <w:sz w:val="20"/>
          <w:szCs w:val="20"/>
          <w:color w:val="auto"/>
        </w:rPr>
      </w:pPr>
    </w:p>
    <w:p>
      <w:pPr>
        <w:jc w:val="both"/>
        <w:ind w:left="1452" w:right="420"/>
        <w:spacing w:after="0" w:line="342" w:lineRule="auto"/>
        <w:rPr>
          <w:sz w:val="20"/>
          <w:szCs w:val="20"/>
          <w:color w:val="auto"/>
        </w:rPr>
      </w:pPr>
      <w:r>
        <w:rPr>
          <w:rFonts w:ascii="Arial" w:cs="Arial" w:eastAsia="Arial" w:hAnsi="Arial"/>
          <w:sz w:val="16"/>
          <w:szCs w:val="16"/>
          <w:color w:val="auto"/>
        </w:rPr>
        <w:t>which such a yield is reported) as published in Federal Reserve Statistical Release H.15, or at such other rate that would qualify as a "reasonable rate of interest" as defined by Section 409A of the Code, as may be determined by the G&amp;SR Committee for each Year.</w:t>
      </w:r>
    </w:p>
    <w:p>
      <w:pPr>
        <w:spacing w:after="0" w:line="151" w:lineRule="exact"/>
        <w:rPr>
          <w:sz w:val="20"/>
          <w:szCs w:val="20"/>
          <w:color w:val="auto"/>
        </w:rPr>
      </w:pPr>
    </w:p>
    <w:p>
      <w:pPr>
        <w:ind w:left="972" w:hanging="486"/>
        <w:spacing w:after="0"/>
        <w:tabs>
          <w:tab w:leader="none" w:pos="972" w:val="left"/>
        </w:tabs>
        <w:numPr>
          <w:ilvl w:val="4"/>
          <w:numId w:val="20"/>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52" w:right="40" w:hanging="480"/>
        <w:spacing w:after="0" w:line="277" w:lineRule="auto"/>
        <w:tabs>
          <w:tab w:leader="none" w:pos="1452" w:val="left"/>
        </w:tabs>
        <w:numPr>
          <w:ilvl w:val="7"/>
          <w:numId w:val="20"/>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Stock Unit Accounts for each Director who has elected that any portion of his or her Deferred Cash Compensation be credited to a Stock Unit Account.</w:t>
      </w:r>
    </w:p>
    <w:p>
      <w:pPr>
        <w:spacing w:after="0" w:line="197" w:lineRule="exact"/>
        <w:rPr>
          <w:rFonts w:ascii="Arial" w:cs="Arial" w:eastAsia="Arial" w:hAnsi="Arial"/>
          <w:sz w:val="18"/>
          <w:szCs w:val="18"/>
          <w:color w:val="auto"/>
        </w:rPr>
      </w:pPr>
    </w:p>
    <w:p>
      <w:pPr>
        <w:ind w:left="1452" w:right="40" w:hanging="480"/>
        <w:spacing w:after="0" w:line="259" w:lineRule="auto"/>
        <w:tabs>
          <w:tab w:leader="none" w:pos="1452" w:val="left"/>
        </w:tabs>
        <w:numPr>
          <w:ilvl w:val="7"/>
          <w:numId w:val="20"/>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213" w:lineRule="exact"/>
        <w:rPr>
          <w:rFonts w:ascii="Arial" w:cs="Arial" w:eastAsia="Arial" w:hAnsi="Arial"/>
          <w:sz w:val="18"/>
          <w:szCs w:val="18"/>
          <w:color w:val="auto"/>
        </w:rPr>
      </w:pPr>
    </w:p>
    <w:p>
      <w:pPr>
        <w:ind w:left="1452" w:right="100" w:hanging="480"/>
        <w:spacing w:after="0" w:line="279" w:lineRule="auto"/>
        <w:tabs>
          <w:tab w:leader="none" w:pos="1452" w:val="left"/>
        </w:tabs>
        <w:numPr>
          <w:ilvl w:val="7"/>
          <w:numId w:val="20"/>
        </w:numPr>
        <w:rPr>
          <w:rFonts w:ascii="Arial" w:cs="Arial" w:eastAsia="Arial" w:hAnsi="Arial"/>
          <w:sz w:val="17"/>
          <w:szCs w:val="17"/>
          <w:color w:val="auto"/>
        </w:rPr>
      </w:pPr>
      <w:r>
        <w:rPr>
          <w:rFonts w:ascii="Arial" w:cs="Arial" w:eastAsia="Arial" w:hAnsi="Arial"/>
          <w:sz w:val="17"/>
          <w:szCs w:val="17"/>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198" w:lineRule="exact"/>
        <w:rPr>
          <w:rFonts w:ascii="Arial" w:cs="Arial" w:eastAsia="Arial" w:hAnsi="Arial"/>
          <w:sz w:val="17"/>
          <w:szCs w:val="17"/>
          <w:color w:val="auto"/>
        </w:rPr>
      </w:pPr>
    </w:p>
    <w:p>
      <w:pPr>
        <w:ind w:left="492" w:hanging="492"/>
        <w:spacing w:after="0"/>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Award.</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w:t>
      </w:r>
    </w:p>
    <w:p>
      <w:pPr>
        <w:spacing w:after="0" w:line="252" w:lineRule="exact"/>
        <w:rPr>
          <w:rFonts w:ascii="Arial" w:cs="Arial" w:eastAsia="Arial" w:hAnsi="Arial"/>
          <w:sz w:val="18"/>
          <w:szCs w:val="18"/>
          <w:color w:val="auto"/>
        </w:rPr>
      </w:pPr>
    </w:p>
    <w:p>
      <w:pPr>
        <w:jc w:val="both"/>
        <w:ind w:left="492" w:right="60" w:hanging="492"/>
        <w:spacing w:after="0" w:line="342" w:lineRule="auto"/>
        <w:tabs>
          <w:tab w:leader="none" w:pos="49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Time of Election. </w:t>
      </w:r>
      <w:r>
        <w:rPr>
          <w:rFonts w:ascii="Arial" w:cs="Arial" w:eastAsia="Arial" w:hAnsi="Arial"/>
          <w:sz w:val="16"/>
          <w:szCs w:val="16"/>
          <w:color w:val="auto"/>
        </w:rPr>
        <w:t>An election to defer all or any portion of Eligible Compensation for any Year shall be made in writing in the form (“Election Form”)</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prescribed by the Secretary. The Election Form shall contain the Participant's elections as to the time of distribution of any compensation so deferred.</w:t>
      </w:r>
    </w:p>
    <w:p>
      <w:pPr>
        <w:spacing w:after="0" w:line="150" w:lineRule="exact"/>
        <w:rPr>
          <w:rFonts w:ascii="Arial" w:cs="Arial" w:eastAsia="Arial" w:hAnsi="Arial"/>
          <w:sz w:val="16"/>
          <w:szCs w:val="16"/>
          <w:color w:val="auto"/>
        </w:rPr>
      </w:pPr>
    </w:p>
    <w:p>
      <w:pPr>
        <w:ind w:left="672" w:hanging="415"/>
        <w:spacing w:after="0"/>
        <w:tabs>
          <w:tab w:leader="none" w:pos="6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Participant may elect that his or her Deferred Compensation be distributed at the time or times indicated below:</w:t>
      </w:r>
    </w:p>
    <w:p>
      <w:pPr>
        <w:spacing w:after="0" w:line="252" w:lineRule="exact"/>
        <w:rPr>
          <w:rFonts w:ascii="Arial" w:cs="Arial" w:eastAsia="Arial" w:hAnsi="Arial"/>
          <w:sz w:val="18"/>
          <w:szCs w:val="18"/>
          <w:color w:val="auto"/>
        </w:rPr>
      </w:pPr>
    </w:p>
    <w:p>
      <w:pPr>
        <w:ind w:left="1452" w:hanging="480"/>
        <w:spacing w:after="0"/>
        <w:tabs>
          <w:tab w:leader="none" w:pos="1452" w:val="left"/>
        </w:tabs>
        <w:numPr>
          <w:ilvl w:val="7"/>
          <w:numId w:val="21"/>
        </w:numPr>
        <w:rPr>
          <w:rFonts w:ascii="Arial" w:cs="Arial" w:eastAsia="Arial" w:hAnsi="Arial"/>
          <w:sz w:val="18"/>
          <w:szCs w:val="18"/>
          <w:color w:val="auto"/>
        </w:rPr>
      </w:pPr>
      <w:r>
        <w:rPr>
          <w:rFonts w:ascii="Arial" w:cs="Arial" w:eastAsia="Arial" w:hAnsi="Arial"/>
          <w:sz w:val="18"/>
          <w:szCs w:val="18"/>
          <w:color w:val="auto"/>
        </w:rPr>
        <w:t>Entire balance to be distributed immediately after Separation from Service for any reason other than death;</w:t>
      </w:r>
    </w:p>
    <w:p>
      <w:pPr>
        <w:spacing w:after="0" w:line="252" w:lineRule="exact"/>
        <w:rPr>
          <w:rFonts w:ascii="Arial" w:cs="Arial" w:eastAsia="Arial" w:hAnsi="Arial"/>
          <w:sz w:val="18"/>
          <w:szCs w:val="18"/>
          <w:color w:val="auto"/>
        </w:rPr>
      </w:pPr>
    </w:p>
    <w:p>
      <w:pPr>
        <w:ind w:left="1452" w:right="160" w:hanging="480"/>
        <w:spacing w:after="0" w:line="277" w:lineRule="auto"/>
        <w:tabs>
          <w:tab w:leader="none" w:pos="1452" w:val="left"/>
        </w:tabs>
        <w:numPr>
          <w:ilvl w:val="7"/>
          <w:numId w:val="21"/>
        </w:numPr>
        <w:rPr>
          <w:rFonts w:ascii="Arial" w:cs="Arial" w:eastAsia="Arial" w:hAnsi="Arial"/>
          <w:sz w:val="18"/>
          <w:szCs w:val="18"/>
          <w:color w:val="auto"/>
        </w:rPr>
      </w:pPr>
      <w:r>
        <w:rPr>
          <w:rFonts w:ascii="Arial" w:cs="Arial" w:eastAsia="Arial" w:hAnsi="Arial"/>
          <w:sz w:val="18"/>
          <w:szCs w:val="18"/>
          <w:color w:val="auto"/>
        </w:rPr>
        <w:t>Entire balance to be distributed a number of months, as specified by the Participant on the Election Form, after Separation from Service for any reason other than death, but not later than ten years following such Separation from Service;</w:t>
      </w:r>
    </w:p>
    <w:p>
      <w:pPr>
        <w:spacing w:after="0" w:line="197" w:lineRule="exact"/>
        <w:rPr>
          <w:rFonts w:ascii="Arial" w:cs="Arial" w:eastAsia="Arial" w:hAnsi="Arial"/>
          <w:sz w:val="18"/>
          <w:szCs w:val="18"/>
          <w:color w:val="auto"/>
        </w:rPr>
      </w:pPr>
    </w:p>
    <w:p>
      <w:pPr>
        <w:jc w:val="both"/>
        <w:ind w:left="1452" w:hanging="480"/>
        <w:spacing w:after="0" w:line="264" w:lineRule="auto"/>
        <w:tabs>
          <w:tab w:leader="none" w:pos="1452" w:val="left"/>
        </w:tabs>
        <w:numPr>
          <w:ilvl w:val="7"/>
          <w:numId w:val="21"/>
        </w:numPr>
        <w:rPr>
          <w:rFonts w:ascii="Arial" w:cs="Arial" w:eastAsia="Arial" w:hAnsi="Arial"/>
          <w:sz w:val="18"/>
          <w:szCs w:val="18"/>
          <w:color w:val="auto"/>
        </w:rPr>
      </w:pPr>
      <w:r>
        <w:rPr>
          <w:rFonts w:ascii="Arial" w:cs="Arial" w:eastAsia="Arial" w:hAnsi="Arial"/>
          <w:sz w:val="18"/>
          <w:szCs w:val="18"/>
          <w:color w:val="auto"/>
        </w:rPr>
        <w:t>Approximately equal monthly installments for a number of months, as specified by the Participant on the Election Form, commencing the month after Separation from Service for any reason other than death, provided that distribution shall be completed not later than ten years following such Separation from Service; or</w:t>
      </w:r>
    </w:p>
    <w:p>
      <w:pPr>
        <w:spacing w:after="0" w:line="208" w:lineRule="exact"/>
        <w:rPr>
          <w:rFonts w:ascii="Arial" w:cs="Arial" w:eastAsia="Arial" w:hAnsi="Arial"/>
          <w:sz w:val="18"/>
          <w:szCs w:val="18"/>
          <w:color w:val="auto"/>
        </w:rPr>
      </w:pPr>
    </w:p>
    <w:p>
      <w:pPr>
        <w:ind w:left="1452" w:hanging="480"/>
        <w:spacing w:after="0" w:line="264" w:lineRule="auto"/>
        <w:tabs>
          <w:tab w:leader="none" w:pos="1452" w:val="left"/>
        </w:tabs>
        <w:numPr>
          <w:ilvl w:val="7"/>
          <w:numId w:val="21"/>
        </w:numPr>
        <w:rPr>
          <w:rFonts w:ascii="Arial" w:cs="Arial" w:eastAsia="Arial" w:hAnsi="Arial"/>
          <w:sz w:val="18"/>
          <w:szCs w:val="18"/>
          <w:color w:val="auto"/>
        </w:rPr>
      </w:pPr>
      <w:r>
        <w:rPr>
          <w:rFonts w:ascii="Arial" w:cs="Arial" w:eastAsia="Arial" w:hAnsi="Arial"/>
          <w:sz w:val="18"/>
          <w:szCs w:val="18"/>
          <w:color w:val="auto"/>
        </w:rPr>
        <w:t>A percentage of the entire balance to be paid on certain dates, with such percentages and dates specified by the Participant on the Election Form, provided that distribution shall commence no earlier than Separation from Service for any reason other than death, and shall be completed not later than ten years following such Separation from Service.</w:t>
      </w:r>
    </w:p>
    <w:p>
      <w:pPr>
        <w:spacing w:after="0" w:line="208" w:lineRule="exact"/>
        <w:rPr>
          <w:rFonts w:ascii="Arial" w:cs="Arial" w:eastAsia="Arial" w:hAnsi="Arial"/>
          <w:sz w:val="18"/>
          <w:szCs w:val="18"/>
          <w:color w:val="auto"/>
        </w:rPr>
      </w:pPr>
    </w:p>
    <w:p>
      <w:pPr>
        <w:ind w:left="712" w:right="340" w:hanging="455"/>
        <w:spacing w:after="0" w:line="277" w:lineRule="auto"/>
        <w:tabs>
          <w:tab w:leader="none" w:pos="7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Participant may revoke an election as to the time of distribution and substitute a new election therefore by submitting an Election Form to the Secretary in accordance with the following criteria:</w:t>
      </w:r>
    </w:p>
    <w:p>
      <w:pPr>
        <w:spacing w:after="0" w:line="197" w:lineRule="exact"/>
        <w:rPr>
          <w:rFonts w:ascii="Arial" w:cs="Arial" w:eastAsia="Arial" w:hAnsi="Arial"/>
          <w:sz w:val="18"/>
          <w:szCs w:val="18"/>
          <w:color w:val="auto"/>
        </w:rPr>
      </w:pPr>
    </w:p>
    <w:p>
      <w:pPr>
        <w:ind w:left="1292" w:right="140" w:hanging="468"/>
        <w:spacing w:after="0" w:line="291" w:lineRule="auto"/>
        <w:tabs>
          <w:tab w:leader="none" w:pos="1292" w:val="left"/>
        </w:tabs>
        <w:numPr>
          <w:ilvl w:val="6"/>
          <w:numId w:val="21"/>
        </w:numPr>
        <w:rPr>
          <w:rFonts w:ascii="Arial" w:cs="Arial" w:eastAsia="Arial" w:hAnsi="Arial"/>
          <w:sz w:val="16"/>
          <w:szCs w:val="16"/>
          <w:color w:val="auto"/>
        </w:rPr>
      </w:pPr>
      <w:r>
        <w:rPr>
          <w:rFonts w:ascii="Arial" w:cs="Arial" w:eastAsia="Arial" w:hAnsi="Arial"/>
          <w:sz w:val="16"/>
          <w:szCs w:val="16"/>
          <w:color w:val="auto"/>
        </w:rPr>
        <w:t>Any new election regarding the time of distribution must result in a minimum of five (5) years’ lapse between the currently applicable distribution date and the new date of distribution (as determined in accordance with the Regulations under Section 409A of the Code); and</w:t>
      </w:r>
    </w:p>
    <w:p>
      <w:pPr>
        <w:ind w:left="1292"/>
        <w:spacing w:after="0"/>
        <w:rPr>
          <w:rFonts w:ascii="Arial" w:cs="Arial" w:eastAsia="Arial" w:hAnsi="Arial"/>
          <w:sz w:val="16"/>
          <w:szCs w:val="16"/>
          <w:color w:val="auto"/>
        </w:rPr>
      </w:pPr>
      <w:r>
        <w:rPr>
          <w:rFonts w:ascii="Arial" w:cs="Arial" w:eastAsia="Arial" w:hAnsi="Arial"/>
          <w:sz w:val="17"/>
          <w:szCs w:val="17"/>
          <w:color w:val="auto"/>
        </w:rPr>
        <w:t>(B) the election must be made at least twelve (12) months prior to the date of distribution that would otherwise have been applicable.</w:t>
      </w:r>
    </w:p>
    <w:p>
      <w:pPr>
        <w:spacing w:after="0" w:line="249" w:lineRule="exact"/>
        <w:rPr>
          <w:rFonts w:ascii="Arial" w:cs="Arial" w:eastAsia="Arial" w:hAnsi="Arial"/>
          <w:sz w:val="16"/>
          <w:szCs w:val="16"/>
          <w:color w:val="auto"/>
        </w:rPr>
      </w:pPr>
    </w:p>
    <w:p>
      <w:pPr>
        <w:ind w:left="712" w:right="20" w:hanging="455"/>
        <w:spacing w:after="0" w:line="297" w:lineRule="auto"/>
        <w:tabs>
          <w:tab w:leader="none" w:pos="712"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11(f). The time of election and the time of distribution shall comply in all respects with the applicable requirements of Section 409A of the Code.</w:t>
      </w:r>
    </w:p>
    <w:p>
      <w:pPr>
        <w:spacing w:after="0" w:line="185" w:lineRule="exact"/>
        <w:rPr>
          <w:rFonts w:ascii="Arial" w:cs="Arial" w:eastAsia="Arial" w:hAnsi="Arial"/>
          <w:sz w:val="16"/>
          <w:szCs w:val="16"/>
          <w:color w:val="auto"/>
        </w:rPr>
      </w:pPr>
    </w:p>
    <w:p>
      <w:pPr>
        <w:ind w:left="412" w:right="220" w:hanging="412"/>
        <w:spacing w:after="0" w:line="264" w:lineRule="auto"/>
        <w:tabs>
          <w:tab w:leader="none" w:pos="41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and a revocation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of an election regarding the time of distribution shall be irrevocable upon receipt by the Secretary of a completed Election Form from the Director.</w:t>
      </w:r>
    </w:p>
    <w:p>
      <w:pPr>
        <w:spacing w:after="0" w:line="208" w:lineRule="exact"/>
        <w:rPr>
          <w:rFonts w:ascii="Arial" w:cs="Arial" w:eastAsia="Arial" w:hAnsi="Arial"/>
          <w:sz w:val="18"/>
          <w:szCs w:val="18"/>
          <w:color w:val="auto"/>
        </w:rPr>
      </w:pPr>
    </w:p>
    <w:p>
      <w:pPr>
        <w:ind w:left="492" w:hanging="492"/>
        <w:spacing w:after="0"/>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12" w:hanging="455"/>
        <w:spacing w:after="0"/>
        <w:tabs>
          <w:tab w:leader="none" w:pos="7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Distributions of amounts credited to each Participant's Cash Account shall be made in cash.</w:t>
      </w:r>
    </w:p>
    <w:p>
      <w:pPr>
        <w:spacing w:after="0" w:line="252" w:lineRule="exact"/>
        <w:rPr>
          <w:rFonts w:ascii="Arial" w:cs="Arial" w:eastAsia="Arial" w:hAnsi="Arial"/>
          <w:sz w:val="18"/>
          <w:szCs w:val="18"/>
          <w:color w:val="auto"/>
        </w:rPr>
      </w:pPr>
    </w:p>
    <w:p>
      <w:pPr>
        <w:ind w:left="712" w:right="540" w:hanging="442"/>
        <w:spacing w:after="0" w:line="277" w:lineRule="auto"/>
        <w:tabs>
          <w:tab w:leader="none" w:pos="7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Distributions of units credited to each Participant’s Stock Unit Account shall be made by issuing to such Participant an equivalent number of Shares.</w:t>
      </w:r>
    </w:p>
    <w:p>
      <w:pPr>
        <w:spacing w:after="0" w:line="197" w:lineRule="exact"/>
        <w:rPr>
          <w:rFonts w:ascii="Arial" w:cs="Arial" w:eastAsia="Arial" w:hAnsi="Arial"/>
          <w:sz w:val="18"/>
          <w:szCs w:val="18"/>
          <w:color w:val="auto"/>
        </w:rPr>
      </w:pPr>
    </w:p>
    <w:p>
      <w:pPr>
        <w:jc w:val="both"/>
        <w:ind w:left="712" w:right="140" w:hanging="352"/>
        <w:spacing w:after="0" w:line="259" w:lineRule="auto"/>
        <w:tabs>
          <w:tab w:leader="none" w:pos="712" w:val="left"/>
        </w:tabs>
        <w:numPr>
          <w:ilvl w:val="3"/>
          <w:numId w:val="21"/>
        </w:numPr>
        <w:rPr>
          <w:rFonts w:ascii="Arial" w:cs="Arial" w:eastAsia="Arial" w:hAnsi="Arial"/>
          <w:sz w:val="18"/>
          <w:szCs w:val="18"/>
          <w:color w:val="auto"/>
        </w:rPr>
      </w:pPr>
      <w:r>
        <w:rPr>
          <w:rFonts w:ascii="Arial" w:cs="Arial" w:eastAsia="Arial" w:hAnsi="Arial"/>
          <w:sz w:val="18"/>
          <w:szCs w:val="18"/>
          <w:color w:val="auto"/>
        </w:rPr>
        <w:t>Distribution of Shares relating to vested Restricted Stock Units the 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213" w:lineRule="exact"/>
        <w:rPr>
          <w:rFonts w:ascii="Arial" w:cs="Arial" w:eastAsia="Arial" w:hAnsi="Arial"/>
          <w:sz w:val="18"/>
          <w:szCs w:val="18"/>
          <w:color w:val="auto"/>
        </w:rPr>
      </w:pPr>
    </w:p>
    <w:p>
      <w:pPr>
        <w:ind w:left="432" w:hanging="432"/>
        <w:spacing w:after="0"/>
        <w:tabs>
          <w:tab w:leader="none" w:pos="43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pacing w:after="0" w:line="252" w:lineRule="exact"/>
        <w:rPr>
          <w:rFonts w:ascii="Arial" w:cs="Arial" w:eastAsia="Arial" w:hAnsi="Arial"/>
          <w:sz w:val="18"/>
          <w:szCs w:val="18"/>
          <w:color w:val="auto"/>
        </w:rPr>
      </w:pPr>
    </w:p>
    <w:p>
      <w:pPr>
        <w:ind w:left="812" w:hanging="488"/>
        <w:spacing w:after="0"/>
        <w:tabs>
          <w:tab w:leader="none" w:pos="812" w:val="left"/>
        </w:tabs>
        <w:numPr>
          <w:ilvl w:val="2"/>
          <w:numId w:val="22"/>
        </w:numPr>
        <w:rPr>
          <w:rFonts w:ascii="Arial" w:cs="Arial" w:eastAsia="Arial" w:hAnsi="Arial"/>
          <w:sz w:val="16"/>
          <w:szCs w:val="16"/>
          <w:color w:val="auto"/>
        </w:rPr>
      </w:pPr>
      <w:r>
        <w:rPr>
          <w:rFonts w:ascii="Arial" w:cs="Arial" w:eastAsia="Arial" w:hAnsi="Arial"/>
          <w:sz w:val="16"/>
          <w:szCs w:val="16"/>
          <w:color w:val="auto"/>
        </w:rPr>
        <w:t>Normal Distributions. Except as otherwise hereinafter provided, distributions from a Participant's Deferred Compensation Account shall be made</w:t>
      </w:r>
    </w:p>
    <w:p>
      <w:pPr>
        <w:spacing w:after="0" w:line="46" w:lineRule="exact"/>
        <w:rPr>
          <w:rFonts w:ascii="Arial" w:cs="Arial" w:eastAsia="Arial" w:hAnsi="Arial"/>
          <w:sz w:val="16"/>
          <w:szCs w:val="16"/>
          <w:color w:val="auto"/>
        </w:rPr>
      </w:pPr>
    </w:p>
    <w:p>
      <w:pPr>
        <w:ind w:left="812" w:right="60" w:hanging="2"/>
        <w:spacing w:after="0" w:line="323" w:lineRule="auto"/>
        <w:tabs>
          <w:tab w:leader="none" w:pos="1107" w:val="left"/>
        </w:tabs>
        <w:numPr>
          <w:ilvl w:val="5"/>
          <w:numId w:val="22"/>
        </w:numPr>
        <w:rPr>
          <w:rFonts w:ascii="Arial" w:cs="Arial" w:eastAsia="Arial" w:hAnsi="Arial"/>
          <w:sz w:val="16"/>
          <w:szCs w:val="16"/>
          <w:color w:val="auto"/>
        </w:rPr>
      </w:pPr>
      <w:r>
        <w:rPr>
          <w:rFonts w:ascii="Arial" w:cs="Arial" w:eastAsia="Arial" w:hAnsi="Arial"/>
          <w:sz w:val="16"/>
          <w:szCs w:val="16"/>
          <w:color w:val="auto"/>
        </w:rPr>
        <w:t>on the first day of the month following such Participant’s Separation from Service on the Board for any reason other than death, or (Z) at such later time as the Participant has elected on his or her Election Form in accordance with the terms of this Plan. Notwithstanding the foregoing, no</w:t>
      </w:r>
    </w:p>
    <w:p>
      <w:pPr>
        <w:sectPr>
          <w:pgSz w:w="11900" w:h="16960" w:orient="portrait"/>
          <w:cols w:equalWidth="0" w:num="1">
            <w:col w:w="11392"/>
          </w:cols>
          <w:pgMar w:left="248" w:top="125" w:right="259" w:bottom="0" w:gutter="0" w:footer="0" w:header="0"/>
        </w:sectPr>
      </w:pPr>
    </w:p>
    <w:bookmarkStart w:id="9" w:name="page10"/>
    <w:bookmarkEnd w:id="9"/>
    <w:p>
      <w:pPr>
        <w:ind w:left="820"/>
        <w:spacing w:after="0" w:line="277" w:lineRule="auto"/>
        <w:rPr>
          <w:sz w:val="20"/>
          <w:szCs w:val="20"/>
          <w:color w:val="auto"/>
        </w:rPr>
      </w:pPr>
      <w:r>
        <w:rPr>
          <w:rFonts w:ascii="Arial" w:cs="Arial" w:eastAsia="Arial" w:hAnsi="Arial"/>
          <w:sz w:val="18"/>
          <w:szCs w:val="18"/>
          <w:color w:val="auto"/>
        </w:rPr>
        <w:t>distribution may be made to a Sepcified Employee before the date that is six months after the date of Separation from Service or, if earlier, the date of death.</w:t>
      </w:r>
    </w:p>
    <w:p>
      <w:pPr>
        <w:spacing w:after="0" w:line="197" w:lineRule="exact"/>
        <w:rPr>
          <w:sz w:val="20"/>
          <w:szCs w:val="20"/>
          <w:color w:val="auto"/>
        </w:rPr>
      </w:pPr>
    </w:p>
    <w:p>
      <w:pPr>
        <w:ind w:left="820" w:right="100" w:hanging="488"/>
        <w:spacing w:after="0" w:line="270"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Change in Control. In the event a Participant experiences a Separation From Service (other than for cause) within 24 months after a Change in Control (Post-2010 Grant), then, to the extent permitted without additional tax or penalty by Section 409A of the Code, such Participant shall receive a distribution of the balances credited to the Participant’s Account which are attributable to amounts credited to the account beginning on or after January 1, 2010. See Section 9(c)(iii) for the effect of such Separation From Service on deferred Restricted Stock Units. The amounts to be distributed pursuant to this Section 11(h)(ii)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 To the extent that distributions of amounts pursuant to this Section 11(h)(ii) are not permitted without additional tax or penalty by Section 409A of the Code, the affected Participant shall receive distribution of the amounts referred to in this Section 11(h)(ii) in accordance with Section 11(h)(i).</w:t>
      </w:r>
    </w:p>
    <w:p>
      <w:pPr>
        <w:spacing w:after="0" w:line="204" w:lineRule="exact"/>
        <w:rPr>
          <w:rFonts w:ascii="Arial" w:cs="Arial" w:eastAsia="Arial" w:hAnsi="Arial"/>
          <w:sz w:val="17"/>
          <w:szCs w:val="17"/>
          <w:color w:val="auto"/>
        </w:rPr>
      </w:pPr>
    </w:p>
    <w:p>
      <w:pPr>
        <w:ind w:left="820" w:right="80" w:hanging="488"/>
        <w:spacing w:after="0" w:line="270"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 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 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200" w:lineRule="exact"/>
        <w:rPr>
          <w:rFonts w:ascii="Arial" w:cs="Arial" w:eastAsia="Arial" w:hAnsi="Arial"/>
          <w:sz w:val="17"/>
          <w:szCs w:val="17"/>
          <w:color w:val="auto"/>
        </w:rPr>
      </w:pPr>
    </w:p>
    <w:p>
      <w:pPr>
        <w:spacing w:after="0" w:line="247" w:lineRule="exact"/>
        <w:rPr>
          <w:rFonts w:ascii="Arial" w:cs="Arial" w:eastAsia="Arial" w:hAnsi="Arial"/>
          <w:sz w:val="17"/>
          <w:szCs w:val="17"/>
          <w:color w:val="auto"/>
        </w:rPr>
      </w:pPr>
    </w:p>
    <w:p>
      <w:pPr>
        <w:ind w:left="440" w:right="80" w:hanging="432"/>
        <w:spacing w:after="0" w:line="297"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Notwithstanding the foregoing, in the event of the death of a Participant prior to receipt by such Participant of the full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185" w:lineRule="exact"/>
        <w:rPr>
          <w:rFonts w:ascii="Arial" w:cs="Arial" w:eastAsia="Arial" w:hAnsi="Arial"/>
          <w:sz w:val="16"/>
          <w:szCs w:val="16"/>
          <w:color w:val="auto"/>
        </w:rPr>
      </w:pPr>
    </w:p>
    <w:p>
      <w:pPr>
        <w:ind w:left="500" w:right="220" w:hanging="492"/>
        <w:spacing w:after="0" w:line="276"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Certain Rights Reserved by the Company</w:t>
      </w:r>
      <w:r>
        <w:rPr>
          <w:rFonts w:ascii="Arial" w:cs="Arial" w:eastAsia="Arial" w:hAnsi="Arial"/>
          <w:sz w:val="17"/>
          <w:szCs w:val="17"/>
          <w:color w:val="auto"/>
        </w:rPr>
        <w:t>. In the event that, pursuant to Section 13, the Company suspends, modifies or terminates this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199" w:lineRule="exact"/>
        <w:rPr>
          <w:rFonts w:ascii="Arial" w:cs="Arial" w:eastAsia="Arial" w:hAnsi="Arial"/>
          <w:sz w:val="17"/>
          <w:szCs w:val="17"/>
          <w:color w:val="auto"/>
        </w:rPr>
      </w:pPr>
    </w:p>
    <w:p>
      <w:pPr>
        <w:ind w:left="500" w:right="80" w:hanging="492"/>
        <w:spacing w:after="0" w:line="25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 Participant terminates his or her membership on the Board and becomes affiliated with a government agency,</w:t>
      </w:r>
      <w:r>
        <w:rPr>
          <w:rFonts w:ascii="Arial" w:cs="Arial" w:eastAsia="Arial" w:hAnsi="Arial"/>
          <w:sz w:val="18"/>
          <w:szCs w:val="18"/>
          <w:i w:val="1"/>
          <w:iCs w:val="1"/>
          <w:color w:val="auto"/>
        </w:rPr>
        <w:t xml:space="preserve"> </w:t>
      </w:r>
      <w:r>
        <w:rPr>
          <w:rFonts w:ascii="Arial" w:cs="Arial" w:eastAsia="Arial" w:hAnsi="Arial"/>
          <w:sz w:val="18"/>
          <w:szCs w:val="18"/>
          <w:color w:val="auto"/>
        </w:rPr>
        <w:t>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STOCK-BASED AWARDS.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12 shall be purchased for such consideration, which may be paid by such method or methods and in such form or forms, including, without limitation, cash, Shares, other securities, other Awards, or other property, or any combination thereof, as the Administrator shall dete 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52" w:lineRule="exact"/>
        <w:rPr>
          <w:sz w:val="20"/>
          <w:szCs w:val="20"/>
          <w:color w:val="auto"/>
        </w:rPr>
      </w:pPr>
    </w:p>
    <w:p>
      <w:pPr>
        <w:ind w:left="500" w:hanging="492"/>
        <w:spacing w:after="0" w:line="283"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The Board may amend, alter, suspend, discontinue or terminate the Plan, including, without limitation, the number of shares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granted pursuant to Sections 6, 7 and 10,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comply with the listing requirements of the New York Stock Exchange or (ii) the consent of the affected Participants, if such action would adversely affect the rights of such Participants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 ndment or alteration shall increase the aggregate number of shares that may be issued under the Plan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 ther Option, SAR, restricted stock unit or any other Award, or</w:t>
      </w:r>
    </w:p>
    <w:p>
      <w:pPr>
        <w:spacing w:after="0" w:line="3" w:lineRule="exact"/>
        <w:rPr>
          <w:rFonts w:ascii="Arial" w:cs="Arial" w:eastAsia="Arial" w:hAnsi="Arial"/>
          <w:sz w:val="16"/>
          <w:szCs w:val="16"/>
          <w:color w:val="auto"/>
        </w:rPr>
      </w:pPr>
    </w:p>
    <w:p>
      <w:pPr>
        <w:ind w:left="500" w:right="80"/>
        <w:spacing w:after="0" w:line="302" w:lineRule="auto"/>
        <w:rPr>
          <w:rFonts w:ascii="Arial" w:cs="Arial" w:eastAsia="Arial" w:hAnsi="Arial"/>
          <w:sz w:val="16"/>
          <w:szCs w:val="16"/>
          <w:color w:val="auto"/>
        </w:rPr>
      </w:pPr>
      <w:r>
        <w:rPr>
          <w:rFonts w:ascii="Arial" w:cs="Arial" w:eastAsia="Arial" w:hAnsi="Arial"/>
          <w:sz w:val="16"/>
          <w:szCs w:val="16"/>
          <w:color w:val="auto"/>
        </w:rPr>
        <w:t>(z)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 option, SAR, restricted stock unit or other equity</w:t>
      </w:r>
    </w:p>
    <w:p>
      <w:pPr>
        <w:sectPr>
          <w:pgSz w:w="11900" w:h="16838" w:orient="portrait"/>
          <w:cols w:equalWidth="0" w:num="1">
            <w:col w:w="11400"/>
          </w:cols>
          <w:pgMar w:left="240" w:top="125" w:right="259" w:bottom="0" w:gutter="0" w:footer="0" w:header="0"/>
        </w:sectPr>
      </w:pPr>
    </w:p>
    <w:bookmarkStart w:id="10" w:name="page11"/>
    <w:bookmarkEnd w:id="10"/>
    <w:p>
      <w:pPr>
        <w:ind w:left="500" w:right="20"/>
        <w:spacing w:after="0" w:line="277" w:lineRule="auto"/>
        <w:rPr>
          <w:sz w:val="20"/>
          <w:szCs w:val="20"/>
          <w:color w:val="auto"/>
        </w:rPr>
      </w:pPr>
      <w:r>
        <w:rPr>
          <w:rFonts w:ascii="Arial" w:cs="Arial" w:eastAsia="Arial" w:hAnsi="Arial"/>
          <w:sz w:val="18"/>
          <w:szCs w:val="18"/>
          <w:color w:val="auto"/>
        </w:rPr>
        <w:t>is delivered simultaneously with the cancellation and regardless of whether the cancellation and exchange are treated as a repricing under GAAP or are voluntary on the part of the Participant.</w:t>
      </w:r>
    </w:p>
    <w:p>
      <w:pPr>
        <w:spacing w:after="0" w:line="197" w:lineRule="exact"/>
        <w:rPr>
          <w:sz w:val="20"/>
          <w:szCs w:val="20"/>
          <w:color w:val="auto"/>
        </w:rPr>
      </w:pPr>
    </w:p>
    <w:p>
      <w:pPr>
        <w:ind w:left="500" w:right="6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 inconsistency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or any Award in the manner and to the extent it shall deem desirable to carry the Plan into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256" w:lineRule="exact"/>
        <w:rPr>
          <w:sz w:val="20"/>
          <w:szCs w:val="20"/>
          <w:color w:val="auto"/>
        </w:rPr>
      </w:pPr>
    </w:p>
    <w:p>
      <w:pPr>
        <w:ind w:left="500" w:right="60" w:hanging="49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the Company in respect of any Shares issuable under the Plan in connection with any Award or Account, in whole or in part, unless and until certificates or other indicia of ownership of such shares shall have been issued.</w:t>
      </w:r>
    </w:p>
    <w:p>
      <w:pPr>
        <w:spacing w:after="0" w:line="208" w:lineRule="exact"/>
        <w:rPr>
          <w:rFonts w:ascii="Arial" w:cs="Arial" w:eastAsia="Arial" w:hAnsi="Arial"/>
          <w:sz w:val="18"/>
          <w:szCs w:val="18"/>
          <w:color w:val="auto"/>
        </w:rPr>
      </w:pPr>
    </w:p>
    <w:p>
      <w:pPr>
        <w:ind w:left="500" w:right="80" w:hanging="49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208" w:lineRule="exact"/>
        <w:rPr>
          <w:rFonts w:ascii="Arial" w:cs="Arial" w:eastAsia="Arial" w:hAnsi="Arial"/>
          <w:sz w:val="18"/>
          <w:szCs w:val="18"/>
          <w:color w:val="auto"/>
        </w:rPr>
      </w:pPr>
    </w:p>
    <w:p>
      <w:pPr>
        <w:ind w:left="500" w:right="4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No Limit on Other Compensation Arrangements</w:t>
      </w:r>
      <w:r>
        <w:rPr>
          <w:rFonts w:ascii="Arial" w:cs="Arial" w:eastAsia="Arial" w:hAnsi="Arial"/>
          <w:sz w:val="17"/>
          <w:szCs w:val="17"/>
          <w:color w:val="auto"/>
        </w:rPr>
        <w:t>. Nothing contained in the Plan shall prevent the Company from adopting or continuing in effect 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additional compensation arrangements, and such arrangements may be either generally applicable or applicable only in specific cases.</w:t>
      </w:r>
    </w:p>
    <w:p>
      <w:pPr>
        <w:spacing w:after="0" w:line="173" w:lineRule="exact"/>
        <w:rPr>
          <w:rFonts w:ascii="Arial" w:cs="Arial" w:eastAsia="Arial" w:hAnsi="Arial"/>
          <w:sz w:val="17"/>
          <w:szCs w:val="17"/>
          <w:color w:val="auto"/>
        </w:rPr>
      </w:pPr>
    </w:p>
    <w:p>
      <w:pPr>
        <w:ind w:left="500" w:right="12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laws of the State of Delaware without giving effect to the principles of conflict of laws thereof.</w:t>
      </w:r>
    </w:p>
    <w:p>
      <w:pPr>
        <w:spacing w:after="0" w:line="197" w:lineRule="exact"/>
        <w:rPr>
          <w:rFonts w:ascii="Arial" w:cs="Arial" w:eastAsia="Arial" w:hAnsi="Arial"/>
          <w:sz w:val="18"/>
          <w:szCs w:val="18"/>
          <w:color w:val="auto"/>
        </w:rPr>
      </w:pPr>
    </w:p>
    <w:p>
      <w:pPr>
        <w:ind w:left="500" w:right="20" w:hanging="492"/>
        <w:spacing w:after="0" w:line="27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the Plan or any Award Agreement is or becomes or is deemed to be invalid, illegal, or unenforceable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99" w:lineRule="exact"/>
        <w:rPr>
          <w:rFonts w:ascii="Arial" w:cs="Arial" w:eastAsia="Arial" w:hAnsi="Arial"/>
          <w:sz w:val="17"/>
          <w:szCs w:val="17"/>
          <w:color w:val="auto"/>
        </w:rPr>
      </w:pPr>
    </w:p>
    <w:p>
      <w:pPr>
        <w:ind w:left="500" w:right="16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213"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213" w:lineRule="exact"/>
        <w:rPr>
          <w:rFonts w:ascii="Arial" w:cs="Arial" w:eastAsia="Arial" w:hAnsi="Arial"/>
          <w:sz w:val="18"/>
          <w:szCs w:val="18"/>
          <w:color w:val="auto"/>
        </w:rPr>
      </w:pPr>
    </w:p>
    <w:p>
      <w:pPr>
        <w:ind w:left="500" w:right="40" w:hanging="492"/>
        <w:spacing w:after="0" w:line="25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 the Plan or from</w:t>
      </w:r>
      <w:r>
        <w:rPr>
          <w:rFonts w:ascii="Arial" w:cs="Arial" w:eastAsia="Arial" w:hAnsi="Arial"/>
          <w:sz w:val="18"/>
          <w:szCs w:val="18"/>
          <w:i w:val="1"/>
          <w:iCs w:val="1"/>
          <w:color w:val="auto"/>
        </w:rPr>
        <w:t xml:space="preserve"> </w:t>
      </w:r>
      <w:r>
        <w:rPr>
          <w:rFonts w:ascii="Arial" w:cs="Arial" w:eastAsia="Arial" w:hAnsi="Arial"/>
          <w:sz w:val="18"/>
          <w:szCs w:val="18"/>
          <w:color w:val="auto"/>
        </w:rPr>
        <w:t>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215" w:lineRule="exact"/>
        <w:rPr>
          <w:rFonts w:ascii="Arial" w:cs="Arial" w:eastAsia="Arial" w:hAnsi="Arial"/>
          <w:sz w:val="18"/>
          <w:szCs w:val="18"/>
          <w:color w:val="auto"/>
        </w:rPr>
      </w:pPr>
    </w:p>
    <w:p>
      <w:pPr>
        <w:ind w:left="500" w:right="10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213"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will comply with Section 409A of the Code.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EFFECTIVE DATE OF THE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12 to amend, alter, adjust, suspend, discontinue, or terminate any such Award or Account, or to waive any conditions or rights thereunder, shall extend beyond such date.</w:t>
      </w:r>
    </w:p>
    <w:p>
      <w:pPr>
        <w:sectPr>
          <w:pgSz w:w="11900" w:h="16838" w:orient="portrait"/>
          <w:cols w:equalWidth="0" w:num="1">
            <w:col w:w="11400"/>
          </w:cols>
          <w:pgMar w:left="240" w:top="125"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fourth-quarter 2010 business outlook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DALLAS (Dec. 7, 2010) – In a scheduled update to its business outlook for the fourth quarter of 2010, Texas Instruments Incorporated (TI) (NYSE: TXN) today narrowed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$3.43 – 3.57 billion, compared with the prior range of $3.36 – 3.64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EPS: $0.61 – 0.65, compared with the prior range of $0.59 – 0.67</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fourth-quarter outlook was published in the company’s third-quarter 2010 earnings release on October 25, available at www.ti.com/ir. TI’s fourth quarter ends on December 31.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entertainment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
    <w:nsid w:val="25E45D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5">
    <w:nsid w:val="519B50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lvl w:ilvl="3">
      <w:lvlJc w:val="left"/>
      <w:lvlText w:val="%4"/>
      <w:numFmt w:val="decimal"/>
      <w:start w:val="1"/>
    </w:lvl>
  </w:abstractNum>
  <w:abstractNum w:abstractNumId="6">
    <w:nsid w:val="431BD7B7"/>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
    <w:nsid w:val="3F2DBA31"/>
    <w:multiLevelType w:val="hybridMultilevel"/>
    <w:lvl w:ilvl="0">
      <w:lvlJc w:val="left"/>
      <w:lvlText w:val="(%1)"/>
      <w:numFmt w:val="lowerLetter"/>
      <w:start w:val="25"/>
    </w:lvl>
    <w:lvl w:ilvl="1">
      <w:lvlJc w:val="left"/>
      <w:lvlText w:val="(%2)"/>
      <w:numFmt w:val="lowerRoman"/>
      <w:start w:val="1"/>
    </w:lvl>
  </w:abstractNum>
  <w:abstractNum w:abstractNumId="8">
    <w:nsid w:val="7C83E458"/>
    <w:multiLevelType w:val="hybridMultilevel"/>
    <w:lvl w:ilvl="0">
      <w:lvlJc w:val="left"/>
      <w:lvlText w:val="(%1)"/>
      <w:numFmt w:val="lowerLetter"/>
      <w:start w:val="27"/>
    </w:lvl>
  </w:abstractNum>
  <w:abstractNum w:abstractNumId="9">
    <w:nsid w:val="257130A3"/>
    <w:multiLevelType w:val="hybridMultilevel"/>
    <w:lvl w:ilvl="0">
      <w:lvlJc w:val="left"/>
      <w:lvlText w:val="(%1)"/>
      <w:numFmt w:val="lowerLetter"/>
      <w:start w:val="1"/>
    </w:lvl>
    <w:lvl w:ilvl="1">
      <w:lvlJc w:val="left"/>
      <w:lvlText w:val="(%2)"/>
      <w:numFmt w:val="lowerLetter"/>
      <w:start w:val="35"/>
    </w:lvl>
  </w:abstractNum>
  <w:abstractNum w:abstractNumId="10">
    <w:nsid w:val="62BBD95A"/>
    <w:multiLevelType w:val="hybridMultilevel"/>
    <w:lvl w:ilvl="0">
      <w:lvlJc w:val="left"/>
      <w:lvlText w:val="%1"/>
      <w:numFmt w:val="lowerLetter"/>
      <w:start w:val="1"/>
    </w:lvl>
    <w:lvl w:ilvl="1">
      <w:lvlJc w:val="left"/>
      <w:lvlText w:val="(%2)"/>
      <w:numFmt w:val="lowerLetter"/>
      <w:start w:val="22"/>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2"/>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lvl w:ilvl="1">
      <w:lvlJc w:val="left"/>
      <w:lvlText w:val="(%2)"/>
      <w:numFmt w:val="lowerRoman"/>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
    <w:nsid w:val="8EDBD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Letter"/>
      <w:start w:val="35"/>
    </w:lvl>
    <w:lvl w:ilvl="5">
      <w:lvlJc w:val="left"/>
      <w:lvlText w:val="%6"/>
      <w:numFmt w:val="upperLetter"/>
      <w:start w:val="1"/>
    </w:lvl>
    <w:lvl w:ilvl="6">
      <w:lvlJc w:val="left"/>
      <w:lvlText w:val="%7"/>
      <w:numFmt w:val="upperLetter"/>
      <w:start w:val="1"/>
    </w:lvl>
    <w:lvl w:ilvl="7">
      <w:lvlJc w:val="left"/>
      <w:lvlText w:val="(%8)"/>
      <w:numFmt w:val="upperLetter"/>
      <w:start w:val="1"/>
    </w:lvl>
  </w:abstractNum>
  <w:abstractNum w:abstractNumId="20">
    <w:nsid w:val="79838CB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lvl w:ilvl="3">
      <w:lvlJc w:val="left"/>
      <w:lvlText w:val="(%4)"/>
      <w:numFmt w:val="lowerLetter"/>
      <w:start w:val="61"/>
    </w:lvl>
    <w:lvl w:ilvl="4">
      <w:lvlJc w:val="left"/>
      <w:lvlText w:val="%5"/>
      <w:numFmt w:val="lowerLetter"/>
      <w:start w:val="1"/>
    </w:lvl>
    <w:lvl w:ilvl="5">
      <w:lvlJc w:val="left"/>
      <w:lvlText w:val="%6"/>
      <w:numFmt w:val="upperLetter"/>
      <w:start w:val="1"/>
    </w:lvl>
    <w:lvl w:ilvl="6">
      <w:lvlJc w:val="left"/>
      <w:lvlText w:val="(%7)"/>
      <w:numFmt w:val="upperLetter"/>
      <w:start w:val="1"/>
    </w:lvl>
    <w:lvl w:ilvl="7">
      <w:lvlJc w:val="left"/>
      <w:lvlText w:val="(%8)"/>
      <w:numFmt w:val="upperLetter"/>
      <w:start w:val="1"/>
    </w:lvl>
  </w:abstractNum>
  <w:abstractNum w:abstractNumId="21">
    <w:nsid w:val="4353D0C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1"/>
    </w:lvl>
    <w:lvl w:ilvl="4">
      <w:lvlJc w:val="left"/>
      <w:lvlText w:val="%5"/>
      <w:numFmt w:val="lowerLetter"/>
      <w:start w:val="1"/>
    </w:lvl>
    <w:lvl w:ilvl="5">
      <w:lvlJc w:val="left"/>
      <w:lvlText w:val="(%6)"/>
      <w:numFmt w:val="upperLetter"/>
      <w:start w:val="25"/>
    </w:lvl>
    <w:lvl w:ilvl="6">
      <w:lvlJc w:val="left"/>
      <w:lvlText w:val="%7"/>
      <w:numFmt w:val="upperLetter"/>
      <w:start w:val="1"/>
    </w:lvl>
    <w:lvl w:ilvl="7">
      <w:lvlJc w:val="left"/>
      <w:lvlText w:val="%8"/>
      <w:numFmt w:val="upperLetter"/>
      <w:start w:val="1"/>
    </w:lvl>
  </w:abstractNum>
  <w:abstractNum w:abstractNumId="22">
    <w:nsid w:val="B03E0C6"/>
    <w:multiLevelType w:val="hybridMultilevel"/>
    <w:lvl w:ilvl="0">
      <w:lvlJc w:val="left"/>
      <w:lvlText w:val="%1"/>
      <w:numFmt w:val="lowerLetter"/>
      <w:start w:val="1"/>
    </w:lvl>
    <w:lvl w:ilvl="1">
      <w:lvlJc w:val="left"/>
      <w:lvlText w:val="(%2)"/>
      <w:numFmt w:val="lowerRoman"/>
      <w:start w:val="2"/>
    </w:lvl>
  </w:abstractNum>
  <w:abstractNum w:abstractNumId="23">
    <w:nsid w:val="189A769B"/>
    <w:multiLevelType w:val="hybridMultilevel"/>
    <w:lvl w:ilvl="0">
      <w:lvlJc w:val="left"/>
      <w:lvlText w:val="(%1)"/>
      <w:numFmt w:val="lowerLetter"/>
      <w:start w:val="9"/>
    </w:lvl>
    <w:lvl w:ilvl="1">
      <w:lvlJc w:val="left"/>
      <w:lvlText w:val="%2"/>
      <w:numFmt w:val="lowerRoman"/>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2019-12-10T03:18:15Z</dcterms:created>
  <dcterms:modified xsi:type="dcterms:W3CDTF">2019-12-10T03:18:15Z</dcterms:modified>
</cp:coreProperties>
</file>