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DATE OF REPORT (DATE OF EARLIEST EVENT REPORTED): June 9, 2005</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DELAWARE</w:t>
            </w:r>
          </w:p>
        </w:tc>
        <w:tc>
          <w:tcPr>
            <w:tcW w:w="274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001-03761</w:t>
            </w:r>
          </w:p>
        </w:tc>
        <w:tc>
          <w:tcPr>
            <w:tcW w:w="2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75-0289970</w:t>
            </w:r>
          </w:p>
        </w:tc>
      </w:tr>
      <w:tr>
        <w:trPr>
          <w:trHeight w:val="203"/>
        </w:trPr>
        <w:tc>
          <w:tcPr>
            <w:tcW w:w="30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(State or other jurisdiction</w:t>
            </w:r>
          </w:p>
        </w:tc>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(Commission file number)</w:t>
            </w:r>
          </w:p>
        </w:tc>
        <w:tc>
          <w:tcPr>
            <w:tcW w:w="2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3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 incorporation)</w:t>
            </w:r>
          </w:p>
        </w:tc>
        <w:tc>
          <w:tcPr>
            <w:tcW w:w="2740" w:type="dxa"/>
            <w:vAlign w:val="bottom"/>
          </w:tcPr>
          <w:p>
            <w:pPr>
              <w:spacing w:after="0"/>
              <w:rPr>
                <w:sz w:val="17"/>
                <w:szCs w:val="17"/>
                <w:color w:val="auto"/>
              </w:rPr>
            </w:pP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no.)</w:t>
            </w:r>
          </w:p>
        </w:tc>
      </w:tr>
    </w:tbl>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12500 TI BOULEVARD</w:t>
      </w:r>
    </w:p>
    <w:p>
      <w:pPr>
        <w:jc w:val="center"/>
        <w:ind w:right="1679"/>
        <w:spacing w:after="0" w:line="238" w:lineRule="auto"/>
        <w:rPr>
          <w:sz w:val="20"/>
          <w:szCs w:val="20"/>
          <w:color w:val="auto"/>
        </w:rPr>
      </w:pPr>
      <w:r>
        <w:rPr>
          <w:rFonts w:ascii="Courier New" w:cs="Courier New" w:eastAsia="Courier New" w:hAnsi="Courier New"/>
          <w:sz w:val="18"/>
          <w:szCs w:val="18"/>
          <w:color w:val="auto"/>
        </w:rPr>
        <w:t>P.O. BOX 660199</w:t>
      </w:r>
    </w:p>
    <w:p>
      <w:pPr>
        <w:jc w:val="center"/>
        <w:ind w:right="1779"/>
        <w:spacing w:after="0"/>
        <w:rPr>
          <w:sz w:val="20"/>
          <w:szCs w:val="20"/>
          <w:color w:val="auto"/>
        </w:rPr>
      </w:pPr>
      <w:r>
        <w:rPr>
          <w:rFonts w:ascii="Courier New" w:cs="Courier New" w:eastAsia="Courier New" w:hAnsi="Courier New"/>
          <w:sz w:val="18"/>
          <w:szCs w:val="18"/>
          <w:color w:val="auto"/>
        </w:rPr>
        <w:t>DALLAS, TEXAS 75266-0199</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 (972) 995-3773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9"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__</w:t>
            </w:r>
          </w:p>
        </w:tc>
        <w:tc>
          <w:tcPr>
            <w:tcW w:w="47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Written communications pursuant to Rule 425</w:t>
            </w:r>
          </w:p>
        </w:tc>
        <w:tc>
          <w:tcPr>
            <w:tcW w:w="32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under the Securities Act (17</w:t>
            </w:r>
          </w:p>
        </w:tc>
      </w:tr>
      <w:tr>
        <w:trPr>
          <w:trHeight w:val="203"/>
        </w:trPr>
        <w:tc>
          <w:tcPr>
            <w:tcW w:w="3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CFR 230.425)</w:t>
            </w:r>
          </w:p>
        </w:tc>
        <w:tc>
          <w:tcPr>
            <w:tcW w:w="2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__</w:t>
            </w:r>
          </w:p>
        </w:tc>
        <w:tc>
          <w:tcPr>
            <w:tcW w:w="47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Soliciting material pursuant to Rule 14a-12</w:t>
            </w:r>
          </w:p>
        </w:tc>
        <w:tc>
          <w:tcPr>
            <w:tcW w:w="32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under the Exchange Act (17 CFR</w:t>
            </w:r>
          </w:p>
        </w:tc>
      </w:tr>
      <w:tr>
        <w:trPr>
          <w:trHeight w:val="203"/>
        </w:trPr>
        <w:tc>
          <w:tcPr>
            <w:tcW w:w="3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240.14a-12)</w:t>
            </w:r>
          </w:p>
        </w:tc>
        <w:tc>
          <w:tcPr>
            <w:tcW w:w="2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__</w:t>
            </w:r>
          </w:p>
        </w:tc>
        <w:tc>
          <w:tcPr>
            <w:tcW w:w="1900" w:type="dxa"/>
            <w:vAlign w:val="bottom"/>
          </w:tcPr>
          <w:p>
            <w:pPr>
              <w:ind w:left="160"/>
              <w:spacing w:after="0"/>
              <w:rPr>
                <w:sz w:val="20"/>
                <w:szCs w:val="20"/>
                <w:color w:val="auto"/>
              </w:rPr>
            </w:pPr>
            <w:r>
              <w:rPr>
                <w:rFonts w:ascii="Courier New" w:cs="Courier New" w:eastAsia="Courier New" w:hAnsi="Courier New"/>
                <w:sz w:val="18"/>
                <w:szCs w:val="18"/>
                <w:color w:val="auto"/>
                <w:w w:val="99"/>
              </w:rPr>
              <w:t>Pre-commencement</w:t>
            </w: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w w:val="98"/>
              </w:rPr>
              <w:t>communications pursuant to</w:t>
            </w:r>
          </w:p>
        </w:tc>
        <w:tc>
          <w:tcPr>
            <w:tcW w:w="1480" w:type="dxa"/>
            <w:vAlign w:val="bottom"/>
          </w:tcPr>
          <w:p>
            <w:pPr>
              <w:ind w:left="40"/>
              <w:spacing w:after="0"/>
              <w:rPr>
                <w:sz w:val="20"/>
                <w:szCs w:val="20"/>
                <w:color w:val="auto"/>
              </w:rPr>
            </w:pPr>
            <w:r>
              <w:rPr>
                <w:rFonts w:ascii="Courier New" w:cs="Courier New" w:eastAsia="Courier New" w:hAnsi="Courier New"/>
                <w:sz w:val="18"/>
                <w:szCs w:val="18"/>
                <w:color w:val="auto"/>
              </w:rPr>
              <w:t>Rule 14d-2(b)</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under the</w:t>
            </w:r>
          </w:p>
        </w:tc>
      </w:tr>
      <w:tr>
        <w:trPr>
          <w:trHeight w:val="203"/>
        </w:trPr>
        <w:tc>
          <w:tcPr>
            <w:tcW w:w="3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Exchange Act (17</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CFR 240.14d-2(b))</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__</w:t>
            </w:r>
          </w:p>
        </w:tc>
        <w:tc>
          <w:tcPr>
            <w:tcW w:w="1900" w:type="dxa"/>
            <w:vAlign w:val="bottom"/>
          </w:tcPr>
          <w:p>
            <w:pPr>
              <w:ind w:left="160"/>
              <w:spacing w:after="0"/>
              <w:rPr>
                <w:sz w:val="20"/>
                <w:szCs w:val="20"/>
                <w:color w:val="auto"/>
              </w:rPr>
            </w:pPr>
            <w:r>
              <w:rPr>
                <w:rFonts w:ascii="Courier New" w:cs="Courier New" w:eastAsia="Courier New" w:hAnsi="Courier New"/>
                <w:sz w:val="18"/>
                <w:szCs w:val="18"/>
                <w:color w:val="auto"/>
                <w:w w:val="99"/>
              </w:rPr>
              <w:t>Pre-commencement</w:t>
            </w: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w w:val="98"/>
              </w:rPr>
              <w:t>communications pursuant to</w:t>
            </w:r>
          </w:p>
        </w:tc>
        <w:tc>
          <w:tcPr>
            <w:tcW w:w="1480" w:type="dxa"/>
            <w:vAlign w:val="bottom"/>
          </w:tcPr>
          <w:p>
            <w:pPr>
              <w:ind w:left="40"/>
              <w:spacing w:after="0"/>
              <w:rPr>
                <w:sz w:val="20"/>
                <w:szCs w:val="20"/>
                <w:color w:val="auto"/>
              </w:rPr>
            </w:pPr>
            <w:r>
              <w:rPr>
                <w:rFonts w:ascii="Courier New" w:cs="Courier New" w:eastAsia="Courier New" w:hAnsi="Courier New"/>
                <w:sz w:val="18"/>
                <w:szCs w:val="18"/>
                <w:color w:val="auto"/>
              </w:rPr>
              <w:t>Rule 13e-4(c)</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under the</w:t>
            </w:r>
          </w:p>
        </w:tc>
      </w:tr>
      <w:tr>
        <w:trPr>
          <w:trHeight w:val="203"/>
        </w:trPr>
        <w:tc>
          <w:tcPr>
            <w:tcW w:w="3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Exchange Act (17</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CFR 240.13e-(4c))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8.01. Other Events</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Registrant's news release dated June 9, 2005, regarding developments in litigation between the Registrant and Qualcomm Incorporated, attached hereto as Exhibit 99, is incorporated by reference herein.</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9.01. Exhibits</w:t>
      </w:r>
    </w:p>
    <w:p>
      <w:pPr>
        <w:sectPr>
          <w:pgSz w:w="11900" w:h="16849" w:orient="portrait"/>
          <w:cols w:equalWidth="0" w:num="1">
            <w:col w:w="10219"/>
          </w:cols>
          <w:pgMar w:left="240" w:top="852"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in</w:t>
      </w:r>
    </w:p>
    <w:p>
      <w:pPr>
        <w:spacing w:after="0" w:line="238"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49" w:orient="portrait"/>
          <w:cols w:equalWidth="0" w:num="2">
            <w:col w:w="1500" w:space="720"/>
            <w:col w:w="7999"/>
          </w:cols>
          <w:pgMar w:left="240" w:top="852" w:right="1440" w:bottom="0" w:gutter="0" w:footer="0" w:header="0"/>
          <w:type w:val="continuous"/>
        </w:sectPr>
      </w:pPr>
    </w:p>
    <w:p>
      <w:pPr>
        <w:spacing w:after="0" w:line="1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Registrant's News Release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Dated June 9, 2005 (furnished pursuant to Item 8.01)</w:t>
      </w:r>
    </w:p>
    <w:p>
      <w:pPr>
        <w:spacing w:after="0" w:line="200" w:lineRule="exact"/>
        <w:rPr>
          <w:sz w:val="24"/>
          <w:szCs w:val="24"/>
          <w:color w:val="auto"/>
        </w:rPr>
      </w:pPr>
    </w:p>
    <w:p>
      <w:pPr>
        <w:sectPr>
          <w:pgSz w:w="11900" w:h="16849" w:orient="portrait"/>
          <w:cols w:equalWidth="0" w:num="2">
            <w:col w:w="1500" w:space="720"/>
            <w:col w:w="7999"/>
          </w:cols>
          <w:pgMar w:left="240" w:top="852" w:right="1440" w:bottom="0" w:gutter="0" w:footer="0" w:header="0"/>
          <w:type w:val="continuous"/>
        </w:sectPr>
      </w:pPr>
    </w:p>
    <w:p>
      <w:pPr>
        <w:spacing w:after="0" w:line="24" w:lineRule="exact"/>
        <w:rPr>
          <w:sz w:val="24"/>
          <w:szCs w:val="24"/>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w:t>
      </w:r>
    </w:p>
    <w:p>
      <w:pPr>
        <w:sectPr>
          <w:pgSz w:w="11900" w:h="16849" w:orient="portrait"/>
          <w:cols w:equalWidth="0" w:num="1">
            <w:col w:w="10219"/>
          </w:cols>
          <w:pgMar w:left="240" w:top="852" w:right="1440" w:bottom="0" w:gutter="0" w:footer="0" w:header="0"/>
          <w:type w:val="continuous"/>
        </w:sectPr>
      </w:pPr>
    </w:p>
    <w:bookmarkStart w:id="1" w:name="page2"/>
    <w:bookmarkEnd w:id="1"/>
    <w:p>
      <w:pPr>
        <w:ind w:right="1999"/>
        <w:spacing w:after="0" w:line="237" w:lineRule="auto"/>
        <w:rPr>
          <w:sz w:val="20"/>
          <w:szCs w:val="20"/>
          <w:color w:val="auto"/>
        </w:rPr>
      </w:pPr>
      <w:r>
        <w:rPr>
          <w:rFonts w:ascii="Courier New" w:cs="Courier New" w:eastAsia="Courier New" w:hAnsi="Courier New"/>
          <w:sz w:val="18"/>
          <w:szCs w:val="18"/>
          <w:color w:val="auto"/>
        </w:rPr>
        <w:t>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3"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Market demand for semiconductors, particularly for analog chips and digital</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signal processors in key markets such as telecommunications and computers;</w:t>
      </w:r>
    </w:p>
    <w:p>
      <w:pPr>
        <w:spacing w:after="0" w:line="207" w:lineRule="exact"/>
        <w:rPr>
          <w:rFonts w:ascii="Courier New" w:cs="Courier New" w:eastAsia="Courier New" w:hAnsi="Courier New"/>
          <w:sz w:val="18"/>
          <w:szCs w:val="18"/>
          <w:color w:val="auto"/>
        </w:rPr>
      </w:pPr>
    </w:p>
    <w:p>
      <w:pPr>
        <w:ind w:left="540" w:right="1779" w:hanging="532"/>
        <w:spacing w:after="0" w:line="236"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of TI's patent licensees and market conditions reducing royalty payments to TI;</w:t>
      </w:r>
    </w:p>
    <w:p>
      <w:pPr>
        <w:spacing w:after="0" w:line="208" w:lineRule="exact"/>
        <w:rPr>
          <w:rFonts w:ascii="Courier New" w:cs="Courier New" w:eastAsia="Courier New" w:hAnsi="Courier New"/>
          <w:sz w:val="18"/>
          <w:szCs w:val="18"/>
          <w:color w:val="auto"/>
        </w:rPr>
      </w:pPr>
    </w:p>
    <w:p>
      <w:pPr>
        <w:ind w:left="540" w:right="1579" w:hanging="532"/>
        <w:spacing w:after="0" w:line="237"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07" w:lineRule="exact"/>
        <w:rPr>
          <w:rFonts w:ascii="Courier New" w:cs="Courier New" w:eastAsia="Courier New" w:hAnsi="Courier New"/>
          <w:sz w:val="18"/>
          <w:szCs w:val="18"/>
          <w:color w:val="auto"/>
        </w:rPr>
      </w:pPr>
    </w:p>
    <w:p>
      <w:pPr>
        <w:ind w:left="540" w:right="17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-Natural events such as severe weather and earthquakes in the locations in which TI, its customers or suppliers operate;</w:t>
      </w:r>
    </w:p>
    <w:p>
      <w:pPr>
        <w:spacing w:after="0" w:line="208" w:lineRule="exact"/>
        <w:rPr>
          <w:rFonts w:ascii="Courier New" w:cs="Courier New" w:eastAsia="Courier New" w:hAnsi="Courier New"/>
          <w:sz w:val="18"/>
          <w:szCs w:val="18"/>
          <w:color w:val="auto"/>
        </w:rPr>
      </w:pPr>
    </w:p>
    <w:p>
      <w:pPr>
        <w:ind w:left="540" w:right="261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-Availability and cost of raw materials and critical manufacturing equipment;</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Changes in the tax rate applicable to TI as the result of changes in tax</w:t>
      </w:r>
    </w:p>
    <w:p>
      <w:pPr>
        <w:spacing w:after="0" w:line="4" w:lineRule="exact"/>
        <w:rPr>
          <w:rFonts w:ascii="Courier New" w:cs="Courier New" w:eastAsia="Courier New" w:hAnsi="Courier New"/>
          <w:sz w:val="18"/>
          <w:szCs w:val="18"/>
          <w:color w:val="auto"/>
        </w:rPr>
      </w:pPr>
    </w:p>
    <w:p>
      <w:pPr>
        <w:ind w:left="540"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law, the jurisdictions in which profits are determined to be earned and taxed, the outcome of tax audits and the ability to realize deferred tax assets;</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accounting treatment of stock options and other share-based compensation;</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-Losses or curtailments of purchases from key customers and the timing and amount of distributor and other customer inventory adjustments;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Customer demand that differs from company forecasts;</w:t>
      </w:r>
    </w:p>
    <w:p>
      <w:pPr>
        <w:spacing w:after="0" w:line="206"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impact of inadequate or excess TI inventories to meet demand that differs from projections;</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liability or warranty claims, or recalls by TI customers for a product containing a TI part;</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 and</w:t>
      </w:r>
    </w:p>
    <w:p>
      <w:pPr>
        <w:spacing w:after="0" w:line="206" w:lineRule="exact"/>
        <w:rPr>
          <w:rFonts w:ascii="Courier New" w:cs="Courier New" w:eastAsia="Courier New" w:hAnsi="Courier New"/>
          <w:sz w:val="18"/>
          <w:szCs w:val="18"/>
          <w:color w:val="auto"/>
        </w:rPr>
      </w:pPr>
    </w:p>
    <w:p>
      <w:pPr>
        <w:ind w:left="540" w:right="1879" w:hanging="532"/>
        <w:spacing w:after="0" w:line="236"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implementation of new manufacturing technologies, installation of manufacturing equipment and the ability to obtain needed third-party foundry and assembly/test subcontract services.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factors, see the text under the heading "Cautionary Statements Regarding Future Results of Operations" in Item 1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142" w:right="1440" w:bottom="132" w:gutter="0" w:footer="0" w:header="0"/>
        </w:sectPr>
      </w:pPr>
    </w:p>
    <w:bookmarkStart w:id="2" w:name="page3"/>
    <w:bookmarkEnd w:id="2"/>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10, 2005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JOSEPH F. HUBACH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Joseph F. Hubach</w:t>
      </w:r>
    </w:p>
    <w:p>
      <w:pPr>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rPr>
          <w:sz w:val="20"/>
          <w:szCs w:val="20"/>
          <w:color w:val="auto"/>
        </w:rPr>
      </w:pPr>
      <w:r>
        <w:rPr>
          <w:rFonts w:ascii="Courier New" w:cs="Courier New" w:eastAsia="Courier New" w:hAnsi="Courier New"/>
          <w:sz w:val="18"/>
          <w:szCs w:val="18"/>
          <w:color w:val="auto"/>
        </w:rPr>
        <w:t>Secretary and</w:t>
      </w:r>
    </w:p>
    <w:p>
      <w:pPr>
        <w:spacing w:after="0" w:line="237" w:lineRule="auto"/>
        <w:rPr>
          <w:sz w:val="20"/>
          <w:szCs w:val="20"/>
          <w:color w:val="auto"/>
        </w:rPr>
      </w:pPr>
      <w:r>
        <w:rPr>
          <w:rFonts w:ascii="Courier New" w:cs="Courier New" w:eastAsia="Courier New" w:hAnsi="Courier New"/>
          <w:sz w:val="18"/>
          <w:szCs w:val="18"/>
          <w:color w:val="auto"/>
        </w:rPr>
        <w:t>General Counsel</w:t>
      </w:r>
    </w:p>
    <w:p>
      <w:pPr>
        <w:sectPr>
          <w:pgSz w:w="11900" w:h="16838" w:orient="portrait"/>
          <w:cols w:equalWidth="0" w:num="3">
            <w:col w:w="2980" w:space="720"/>
            <w:col w:w="320" w:space="300"/>
            <w:col w:w="5899"/>
          </w:cols>
          <w:pgMar w:left="240" w:top="339" w:right="1440" w:bottom="1440" w:gutter="0" w:footer="0" w:header="0"/>
        </w:sectPr>
      </w:pPr>
    </w:p>
    <w:bookmarkStart w:id="3" w:name="page4"/>
    <w:bookmarkEnd w:id="3"/>
    <w:p>
      <w:pPr>
        <w:ind w:left="7380"/>
        <w:spacing w:after="0"/>
        <w:rPr>
          <w:sz w:val="20"/>
          <w:szCs w:val="20"/>
          <w:color w:val="auto"/>
        </w:rPr>
      </w:pPr>
      <w:r>
        <w:rPr>
          <w:rFonts w:ascii="Courier New" w:cs="Courier New" w:eastAsia="Courier New" w:hAnsi="Courier New"/>
          <w:sz w:val="18"/>
          <w:szCs w:val="18"/>
          <w:color w:val="auto"/>
        </w:rPr>
        <w:t>Exhibit 99</w:t>
      </w:r>
    </w:p>
    <w:p>
      <w:pPr>
        <w:ind w:left="73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38" w:lineRule="auto"/>
        <w:rPr>
          <w:sz w:val="20"/>
          <w:szCs w:val="20"/>
          <w:color w:val="auto"/>
        </w:rPr>
      </w:pPr>
      <w:r>
        <w:rPr>
          <w:rFonts w:ascii="Courier New" w:cs="Courier New" w:eastAsia="Courier New" w:hAnsi="Courier New"/>
          <w:sz w:val="18"/>
          <w:szCs w:val="18"/>
          <w:color w:val="auto"/>
        </w:rPr>
        <w:t>C-05032</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DELAWARE SUPREME COURT RULES IN TI'S FAVOR, AFFIRMS LOWER COURT RULING</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TI Retains Rights to Qualcomm Patents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DALLAS (June 9, 2005) -- The Delaware Supreme Court has affirmed the ruling of the Delaware Court of Chancery, by a 5-0 vote, rejecting a claim by Qualcomm Incorporated that Texas Instruments Incorporated (TI) (NYSE:TXN) materially breached the parties' cross-license agreement.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Qualcomm had appealed a ruling by Chancellor William B. Chandler, III of the Delaware Court of Chancery, issued in June last year. In that ruling, the court rejected an assertion by Qualcomm that TI materially breached the cross-license agreement that has existed between the companies since December 2000. The Delaware Supreme Court heard the appeal April 20 and in its finding, dated June 8, affirmed the Court of Chancery ruling that no such material breach of the agreement occurred.</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With Qualcomm having abandoned in August 2004 a previous claim for damages, the latest ruling disposes of all outstanding claims in the existing litigation between the parties. The license rights of each party under the cross-license agreement remain in effect.</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 are pleased that the Delaware Supreme Court has upheld the Court of Chancery's ruling in TI's favor on these issues. We believe that this was the correct outcome," said Senior Vice President and General Counsel Joseph F. Hubach.</w:t>
      </w:r>
    </w:p>
    <w:p>
      <w:pPr>
        <w:ind w:left="3800"/>
        <w:spacing w:after="0"/>
        <w:tabs>
          <w:tab w:leader="none" w:pos="4200" w:val="left"/>
          <w:tab w:leader="none" w:pos="4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8"/>
          <w:szCs w:val="18"/>
          <w:color w:val="auto"/>
        </w:rPr>
        <w:t>ABOUT TEXAS INSTRUMENTS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Texas Instruments Incorporated provides innovative DSP and Analog technologies to meet our customers' real world signal processing requirements. In addition to Semiconductor, the company's businesses include Sensors &amp; Controls and Educational &amp; Productivity Solutions. TI is headquartered in Dallas, Texas, and has manufacturing, design or sales operations in more than 25 countries.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is traded on the New York Stock Exchange under the symbol TXN.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More information is located on the World Wide Web at www.ti.com.</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SAFE</w:t>
      </w:r>
      <w:r>
        <w:rPr>
          <w:sz w:val="20"/>
          <w:szCs w:val="20"/>
          <w:color w:val="auto"/>
        </w:rPr>
        <w:tab/>
      </w:r>
      <w:r>
        <w:rPr>
          <w:rFonts w:ascii="Courier New" w:cs="Courier New" w:eastAsia="Courier New" w:hAnsi="Courier New"/>
          <w:sz w:val="16"/>
          <w:szCs w:val="16"/>
          <w:color w:val="auto"/>
        </w:rPr>
        <w:t>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1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3"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Market demand for semiconductors, particularly for analog chips and digital</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signal processors in key markets such as telecommunications and computers;</w:t>
      </w:r>
    </w:p>
    <w:p>
      <w:pPr>
        <w:spacing w:after="0" w:line="207" w:lineRule="exact"/>
        <w:rPr>
          <w:rFonts w:ascii="Courier New" w:cs="Courier New" w:eastAsia="Courier New" w:hAnsi="Courier New"/>
          <w:sz w:val="18"/>
          <w:szCs w:val="18"/>
          <w:color w:val="auto"/>
        </w:rPr>
      </w:pPr>
    </w:p>
    <w:p>
      <w:pPr>
        <w:ind w:left="540" w:right="1779" w:hanging="532"/>
        <w:spacing w:after="0" w:line="236"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ectPr>
          <w:pgSz w:w="11900" w:h="16838" w:orient="portrait"/>
          <w:cols w:equalWidth="0" w:num="1">
            <w:col w:w="10219"/>
          </w:cols>
          <w:pgMar w:left="240" w:top="717" w:right="1440" w:bottom="0" w:gutter="0" w:footer="0" w:header="0"/>
        </w:sectPr>
      </w:pPr>
    </w:p>
    <w:bookmarkStart w:id="4" w:name="page5"/>
    <w:bookmarkEnd w:id="4"/>
    <w:p>
      <w:pPr>
        <w:ind w:left="540" w:right="219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of TI's patent licensees and market conditions reducing royalty payments to TI;</w:t>
      </w:r>
    </w:p>
    <w:p>
      <w:pPr>
        <w:spacing w:after="0" w:line="208" w:lineRule="exact"/>
        <w:rPr>
          <w:rFonts w:ascii="Courier New" w:cs="Courier New" w:eastAsia="Courier New" w:hAnsi="Courier New"/>
          <w:sz w:val="18"/>
          <w:szCs w:val="18"/>
          <w:color w:val="auto"/>
        </w:rPr>
      </w:pPr>
    </w:p>
    <w:p>
      <w:pPr>
        <w:ind w:left="540" w:right="1579" w:hanging="532"/>
        <w:spacing w:after="0" w:line="237"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07" w:lineRule="exact"/>
        <w:rPr>
          <w:rFonts w:ascii="Courier New" w:cs="Courier New" w:eastAsia="Courier New" w:hAnsi="Courier New"/>
          <w:sz w:val="18"/>
          <w:szCs w:val="18"/>
          <w:color w:val="auto"/>
        </w:rPr>
      </w:pPr>
    </w:p>
    <w:p>
      <w:pPr>
        <w:ind w:left="540" w:right="17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-Natural events such as severe weather and earthquakes in the locations in which TI, its customers or its suppliers operate;</w:t>
      </w:r>
    </w:p>
    <w:p>
      <w:pPr>
        <w:spacing w:after="0" w:line="208" w:lineRule="exact"/>
        <w:rPr>
          <w:rFonts w:ascii="Courier New" w:cs="Courier New" w:eastAsia="Courier New" w:hAnsi="Courier New"/>
          <w:sz w:val="18"/>
          <w:szCs w:val="18"/>
          <w:color w:val="auto"/>
        </w:rPr>
      </w:pPr>
    </w:p>
    <w:p>
      <w:pPr>
        <w:ind w:left="540" w:right="261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-Availability and cost of raw materials and critical manufacturing equipment;</w:t>
      </w:r>
    </w:p>
    <w:p>
      <w:pPr>
        <w:spacing w:after="0" w:line="208" w:lineRule="exact"/>
        <w:rPr>
          <w:rFonts w:ascii="Courier New" w:cs="Courier New" w:eastAsia="Courier New" w:hAnsi="Courier New"/>
          <w:sz w:val="18"/>
          <w:szCs w:val="18"/>
          <w:color w:val="auto"/>
        </w:rPr>
      </w:pPr>
    </w:p>
    <w:p>
      <w:pPr>
        <w:ind w:left="540" w:right="1579" w:hanging="532"/>
        <w:spacing w:after="0" w:line="279"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Changes in the tax rate applicable to TI as a result of changes in tax law, the jurisdictions in which profits are determined to be earned and taxed, the outcome of tax audits and the ability to realize deferred tax assets;</w:t>
      </w:r>
    </w:p>
    <w:p>
      <w:pPr>
        <w:spacing w:after="0" w:line="17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accounting treatment of stock options and other share-based compensation;</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-Losses or curtailments of purchases from key customers and the timing and amount of distributor and other customer inventory adjustments;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Customer demand that differs from company forecasts;</w:t>
      </w:r>
    </w:p>
    <w:p>
      <w:pPr>
        <w:spacing w:after="0" w:line="206"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impact of inadequate or excess TI inventories to meet demand that differs from projections;</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liability or warranty claims, or recalls by TI customers for a product containing a TI part;</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 and</w:t>
      </w:r>
    </w:p>
    <w:p>
      <w:pPr>
        <w:spacing w:after="0" w:line="206" w:lineRule="exact"/>
        <w:rPr>
          <w:rFonts w:ascii="Courier New" w:cs="Courier New" w:eastAsia="Courier New" w:hAnsi="Courier New"/>
          <w:sz w:val="18"/>
          <w:szCs w:val="18"/>
          <w:color w:val="auto"/>
        </w:rPr>
      </w:pPr>
    </w:p>
    <w:p>
      <w:pPr>
        <w:ind w:left="540" w:right="1879" w:hanging="532"/>
        <w:spacing w:after="0" w:line="236"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implementation of new manufacturing technologies, installation of manufacturing equipment, and the ability to obtain needed third-party foundry and assembly/test subcontract services.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factors, see the text under the heading "Cautionary Statements Regarding Future Results of Operations" in Item 1 of the company's most recent Form 10-K. The forward-looking statements included in this release are made only as of the date of publication, and the company undertakes no obligation to update the forward-looking statements to reflect subsequent events or circumstances.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2019-12-13T07:24:15Z</dcterms:created>
  <dcterms:modified xsi:type="dcterms:W3CDTF">2019-12-13T07:24:15Z</dcterms:modified>
</cp:coreProperties>
</file>