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right="120"/>
        <w:spacing w:after="0" w:line="244" w:lineRule="auto"/>
        <w:rPr>
          <w:sz w:val="20"/>
          <w:szCs w:val="20"/>
          <w:color w:val="auto"/>
        </w:rPr>
      </w:pPr>
      <w:r>
        <w:rPr>
          <w:rFonts w:ascii="Arial" w:cs="Arial" w:eastAsia="Arial" w:hAnsi="Arial"/>
          <w:sz w:val="18"/>
          <w:szCs w:val="18"/>
          <w:b w:val="1"/>
          <w:bCs w:val="1"/>
          <w:color w:val="C21128"/>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2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333-165045</w:t>
      </w:r>
    </w:p>
    <w:p>
      <w:pPr>
        <w:spacing w:after="0" w:line="145"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C21128"/>
        </w:rPr>
        <w:t>SUBJECT TO COMPLETION, DATED JULY 30, 2012</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 R E L I M I N A R Y  P R O S P E C T U S  S U P P L E M E N 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24, 2010)</w:t>
      </w:r>
    </w:p>
    <w:p>
      <w:pPr>
        <w:spacing w:after="0" w:line="37" w:lineRule="exact"/>
        <w:rPr>
          <w:sz w:val="24"/>
          <w:szCs w:val="24"/>
          <w:color w:val="auto"/>
        </w:rPr>
      </w:pPr>
    </w:p>
    <w:p>
      <w:pPr>
        <w:ind w:left="51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127000</wp:posOffset>
            </wp:positionV>
            <wp:extent cx="266700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880" w:hanging="1142"/>
        <w:spacing w:after="0"/>
        <w:tabs>
          <w:tab w:leader="none" w:pos="488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32" w:lineRule="exact"/>
        <w:rPr>
          <w:rFonts w:ascii="Arial" w:cs="Arial" w:eastAsia="Arial" w:hAnsi="Arial"/>
          <w:sz w:val="32"/>
          <w:szCs w:val="32"/>
          <w:b w:val="1"/>
          <w:bCs w:val="1"/>
          <w:color w:val="auto"/>
        </w:rPr>
      </w:pPr>
    </w:p>
    <w:p>
      <w:pPr>
        <w:ind w:left="4880" w:hanging="1142"/>
        <w:spacing w:after="0"/>
        <w:tabs>
          <w:tab w:leader="none" w:pos="488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95250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Texas Instruments Incorporated is offering the aggregate principal amount of each series of notes (collectively, the “Notes”), which will bear interest at the</w:t>
      </w:r>
    </w:p>
    <w:p>
      <w:pPr>
        <w:spacing w:after="0" w:line="38" w:lineRule="exact"/>
        <w:rPr>
          <w:sz w:val="24"/>
          <w:szCs w:val="24"/>
          <w:color w:val="auto"/>
        </w:rPr>
      </w:pPr>
    </w:p>
    <w:p>
      <w:pPr>
        <w:ind w:right="320"/>
        <w:spacing w:after="0" w:line="261" w:lineRule="auto"/>
        <w:rPr>
          <w:sz w:val="20"/>
          <w:szCs w:val="20"/>
          <w:color w:val="auto"/>
        </w:rPr>
      </w:pPr>
      <w:r>
        <w:rPr>
          <w:rFonts w:ascii="Arial" w:cs="Arial" w:eastAsia="Arial" w:hAnsi="Arial"/>
          <w:sz w:val="18"/>
          <w:szCs w:val="18"/>
          <w:color w:val="auto"/>
        </w:rPr>
        <w:t>rate per year, in each case as set forth above. Interest on the Notes will be payable semi-annually in arrears on and of each year, beginning , 2013.</w:t>
      </w:r>
    </w:p>
    <w:p>
      <w:pPr>
        <w:spacing w:after="0" w:line="124" w:lineRule="exact"/>
        <w:rPr>
          <w:sz w:val="24"/>
          <w:szCs w:val="24"/>
          <w:color w:val="auto"/>
        </w:rPr>
      </w:pPr>
    </w:p>
    <w:p>
      <w:pPr>
        <w:ind w:left="460"/>
        <w:spacing w:after="0"/>
        <w:tabs>
          <w:tab w:leader="none" w:pos="1340" w:val="left"/>
          <w:tab w:leader="none" w:pos="3380" w:val="left"/>
          <w:tab w:leader="none" w:pos="4040" w:val="left"/>
          <w:tab w:leader="none" w:pos="5160" w:val="left"/>
          <w:tab w:leader="none" w:pos="7220" w:val="left"/>
          <w:tab w:leader="none" w:pos="7820" w:val="left"/>
        </w:tabs>
        <w:rPr>
          <w:sz w:val="20"/>
          <w:szCs w:val="20"/>
          <w:color w:val="auto"/>
        </w:rPr>
      </w:pPr>
      <w:r>
        <w:rPr>
          <w:rFonts w:ascii="Arial" w:cs="Arial" w:eastAsia="Arial" w:hAnsi="Arial"/>
          <w:sz w:val="18"/>
          <w:szCs w:val="18"/>
          <w:color w:val="auto"/>
        </w:rPr>
        <w:t>The 20</w:t>
      </w:r>
      <w:r>
        <w:rPr>
          <w:sz w:val="20"/>
          <w:szCs w:val="20"/>
          <w:color w:val="auto"/>
        </w:rPr>
        <w:tab/>
      </w:r>
      <w:r>
        <w:rPr>
          <w:rFonts w:ascii="Arial" w:cs="Arial" w:eastAsia="Arial" w:hAnsi="Arial"/>
          <w:sz w:val="18"/>
          <w:szCs w:val="18"/>
          <w:color w:val="auto"/>
        </w:rPr>
        <w:t>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and the 20</w:t>
      </w:r>
      <w:r>
        <w:rPr>
          <w:sz w:val="20"/>
          <w:szCs w:val="20"/>
          <w:color w:val="auto"/>
        </w:rPr>
        <w:tab/>
      </w:r>
      <w:r>
        <w:rPr>
          <w:rFonts w:ascii="Arial" w:cs="Arial" w:eastAsia="Arial" w:hAnsi="Arial"/>
          <w:sz w:val="18"/>
          <w:szCs w:val="18"/>
          <w:color w:val="auto"/>
        </w:rPr>
        <w:t>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p>
    <w:p>
      <w:pPr>
        <w:spacing w:after="0" w:line="158" w:lineRule="exact"/>
        <w:rPr>
          <w:sz w:val="24"/>
          <w:szCs w:val="24"/>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redeem some or all of the Notes at any time, each at the “make-whole premium” price indicated under the caption “Description of the Notes — Optional Redemption.”</w:t>
      </w:r>
    </w:p>
    <w:p>
      <w:pPr>
        <w:spacing w:after="0" w:line="118" w:lineRule="exact"/>
        <w:rPr>
          <w:sz w:val="24"/>
          <w:szCs w:val="24"/>
          <w:color w:val="auto"/>
        </w:rPr>
      </w:pPr>
    </w:p>
    <w:p>
      <w:pPr>
        <w:ind w:right="860" w:firstLine="456"/>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71755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4"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105410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6" w:lineRule="exact"/>
        <w:rPr>
          <w:sz w:val="24"/>
          <w:szCs w:val="24"/>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Per 20</w:t>
            </w:r>
          </w:p>
        </w:tc>
        <w:tc>
          <w:tcPr>
            <w:tcW w:w="420" w:type="dxa"/>
            <w:vAlign w:val="bottom"/>
          </w:tcPr>
          <w:p>
            <w:pPr>
              <w:ind w:left="160"/>
              <w:spacing w:after="0"/>
              <w:rPr>
                <w:sz w:val="20"/>
                <w:szCs w:val="20"/>
                <w:color w:val="auto"/>
              </w:rPr>
            </w:pPr>
            <w:r>
              <w:rPr>
                <w:rFonts w:ascii="Arial" w:cs="Arial" w:eastAsia="Arial" w:hAnsi="Arial"/>
                <w:sz w:val="14"/>
                <w:szCs w:val="14"/>
                <w:b w:val="1"/>
                <w:bCs w:val="1"/>
                <w:color w:val="auto"/>
                <w:w w:val="76"/>
              </w:rPr>
              <w:t>Note</w:t>
            </w:r>
          </w:p>
        </w:tc>
        <w:tc>
          <w:tcPr>
            <w:tcW w:w="9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Per 20</w:t>
            </w:r>
          </w:p>
        </w:tc>
        <w:tc>
          <w:tcPr>
            <w:tcW w:w="420" w:type="dxa"/>
            <w:vAlign w:val="bottom"/>
          </w:tcPr>
          <w:p>
            <w:pPr>
              <w:ind w:left="160"/>
              <w:spacing w:after="0"/>
              <w:rPr>
                <w:sz w:val="20"/>
                <w:szCs w:val="20"/>
                <w:color w:val="auto"/>
              </w:rPr>
            </w:pPr>
            <w:r>
              <w:rPr>
                <w:rFonts w:ascii="Arial" w:cs="Arial" w:eastAsia="Arial" w:hAnsi="Arial"/>
                <w:sz w:val="14"/>
                <w:szCs w:val="14"/>
                <w:b w:val="1"/>
                <w:bCs w:val="1"/>
                <w:color w:val="auto"/>
                <w:w w:val="76"/>
              </w:rPr>
              <w:t>Note</w:t>
            </w:r>
          </w:p>
        </w:tc>
        <w:tc>
          <w:tcPr>
            <w:tcW w:w="9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420" w:type="dxa"/>
            <w:vAlign w:val="bottom"/>
          </w:tcPr>
          <w:p>
            <w:pPr>
              <w:spacing w:after="0"/>
              <w:rPr>
                <w:sz w:val="18"/>
                <w:szCs w:val="18"/>
                <w:color w:val="auto"/>
              </w:rPr>
            </w:pPr>
          </w:p>
        </w:tc>
        <w:tc>
          <w:tcPr>
            <w:tcW w:w="920" w:type="dxa"/>
            <w:vAlign w:val="bottom"/>
          </w:tcPr>
          <w:p>
            <w:pPr>
              <w:jc w:val="right"/>
              <w:ind w:right="692"/>
              <w:spacing w:after="0"/>
              <w:rPr>
                <w:sz w:val="20"/>
                <w:szCs w:val="20"/>
                <w:color w:val="auto"/>
              </w:rPr>
            </w:pPr>
            <w:r>
              <w:rPr>
                <w:rFonts w:ascii="Arial" w:cs="Arial" w:eastAsia="Arial" w:hAnsi="Arial"/>
                <w:sz w:val="18"/>
                <w:szCs w:val="18"/>
                <w:color w:val="auto"/>
                <w:w w:val="74"/>
              </w:rPr>
              <w: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672"/>
              <w:spacing w:after="0"/>
              <w:rPr>
                <w:sz w:val="20"/>
                <w:szCs w:val="20"/>
                <w:color w:val="auto"/>
              </w:rPr>
            </w:pPr>
            <w:r>
              <w:rPr>
                <w:rFonts w:ascii="Arial" w:cs="Arial" w:eastAsia="Arial" w:hAnsi="Arial"/>
                <w:sz w:val="18"/>
                <w:szCs w:val="18"/>
                <w:color w:val="auto"/>
                <w:w w:val="87"/>
              </w:rPr>
              <w:t>%</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363"/>
        </w:trPr>
        <w:tc>
          <w:tcPr>
            <w:tcW w:w="7500" w:type="dxa"/>
            <w:vAlign w:val="bottom"/>
            <w:gridSpan w:val="2"/>
          </w:tcPr>
          <w:p>
            <w:pPr>
              <w:ind w:left="460"/>
              <w:spacing w:after="0"/>
              <w:rPr>
                <w:sz w:val="20"/>
                <w:szCs w:val="20"/>
                <w:color w:val="auto"/>
              </w:rPr>
            </w:pPr>
            <w:r>
              <w:rPr>
                <w:rFonts w:ascii="Arial" w:cs="Arial" w:eastAsia="Arial" w:hAnsi="Arial"/>
                <w:sz w:val="18"/>
                <w:szCs w:val="18"/>
                <w:color w:val="auto"/>
              </w:rPr>
              <w:t>Interest on the Notes will accrue from August   , 2012 to date of delivery.</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42" w:lineRule="exact"/>
        <w:rPr>
          <w:sz w:val="24"/>
          <w:szCs w:val="24"/>
          <w:color w:val="auto"/>
        </w:rPr>
      </w:pPr>
    </w:p>
    <w:p>
      <w:pPr>
        <w:ind w:left="460"/>
        <w:spacing w:after="0"/>
        <w:tabs>
          <w:tab w:leader="none" w:pos="6160" w:val="left"/>
        </w:tabs>
        <w:rPr>
          <w:sz w:val="20"/>
          <w:szCs w:val="20"/>
          <w:color w:val="auto"/>
        </w:rPr>
      </w:pPr>
      <w:r>
        <w:rPr>
          <w:rFonts w:ascii="Arial" w:cs="Arial" w:eastAsia="Arial" w:hAnsi="Arial"/>
          <w:sz w:val="18"/>
          <w:szCs w:val="18"/>
          <w:color w:val="auto"/>
        </w:rPr>
        <w:t>The underwriters expect to deliver the Notes to purchasers on or about August</w:t>
      </w:r>
      <w:r>
        <w:rPr>
          <w:sz w:val="20"/>
          <w:szCs w:val="20"/>
          <w:color w:val="auto"/>
        </w:rPr>
        <w:tab/>
      </w:r>
      <w:r>
        <w:rPr>
          <w:rFonts w:ascii="Arial" w:cs="Arial" w:eastAsia="Arial" w:hAnsi="Arial"/>
          <w:sz w:val="16"/>
          <w:szCs w:val="16"/>
          <w:color w:val="auto"/>
        </w:rPr>
        <w:t>, 2012, only in book-entry form through the facilities of The Depository</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Trust Company.</w:t>
            </w:r>
          </w:p>
        </w:tc>
        <w:tc>
          <w:tcPr>
            <w:tcW w:w="2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131"/>
        </w:trPr>
        <w:tc>
          <w:tcPr>
            <w:tcW w:w="2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88"/>
        </w:trPr>
        <w:tc>
          <w:tcPr>
            <w:tcW w:w="2540" w:type="dxa"/>
            <w:vAlign w:val="bottom"/>
          </w:tcPr>
          <w:p>
            <w:pPr>
              <w:spacing w:after="0"/>
              <w:rPr>
                <w:sz w:val="7"/>
                <w:szCs w:val="7"/>
                <w:color w:val="auto"/>
              </w:rPr>
            </w:pPr>
          </w:p>
        </w:tc>
        <w:tc>
          <w:tcPr>
            <w:tcW w:w="5560" w:type="dxa"/>
            <w:vAlign w:val="bottom"/>
            <w:gridSpan w:val="3"/>
          </w:tcPr>
          <w:p>
            <w:pPr>
              <w:spacing w:after="0"/>
              <w:rPr>
                <w:sz w:val="7"/>
                <w:szCs w:val="7"/>
                <w:color w:val="auto"/>
              </w:rPr>
            </w:pPr>
          </w:p>
        </w:tc>
        <w:tc>
          <w:tcPr>
            <w:tcW w:w="3320" w:type="dxa"/>
            <w:vAlign w:val="bottom"/>
          </w:tcPr>
          <w:p>
            <w:pPr>
              <w:spacing w:after="0"/>
              <w:rPr>
                <w:sz w:val="7"/>
                <w:szCs w:val="7"/>
                <w:color w:val="auto"/>
              </w:rPr>
            </w:pPr>
          </w:p>
        </w:tc>
      </w:tr>
      <w:tr>
        <w:trPr>
          <w:trHeight w:val="216"/>
        </w:trPr>
        <w:tc>
          <w:tcPr>
            <w:tcW w:w="25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2100"/>
              <w:spacing w:after="0"/>
              <w:rPr>
                <w:sz w:val="20"/>
                <w:szCs w:val="20"/>
                <w:color w:val="auto"/>
              </w:rPr>
            </w:pPr>
            <w:r>
              <w:rPr>
                <w:rFonts w:ascii="Arial" w:cs="Arial" w:eastAsia="Arial" w:hAnsi="Arial"/>
                <w:sz w:val="18"/>
                <w:szCs w:val="18"/>
                <w:i w:val="1"/>
                <w:iCs w:val="1"/>
                <w:color w:val="auto"/>
              </w:rPr>
              <w:t>Joint Book-Running Managers</w:t>
            </w:r>
          </w:p>
        </w:tc>
        <w:tc>
          <w:tcPr>
            <w:tcW w:w="3320" w:type="dxa"/>
            <w:vAlign w:val="bottom"/>
            <w:shd w:val="clear" w:color="auto" w:fill="CCEEFF"/>
          </w:tcPr>
          <w:p>
            <w:pPr>
              <w:spacing w:after="0"/>
              <w:rPr>
                <w:sz w:val="18"/>
                <w:szCs w:val="18"/>
                <w:color w:val="auto"/>
              </w:rPr>
            </w:pPr>
          </w:p>
        </w:tc>
      </w:tr>
      <w:tr>
        <w:trPr>
          <w:trHeight w:val="421"/>
        </w:trPr>
        <w:tc>
          <w:tcPr>
            <w:tcW w:w="2540" w:type="dxa"/>
            <w:vAlign w:val="bottom"/>
          </w:tcPr>
          <w:p>
            <w:pPr>
              <w:ind w:left="700"/>
              <w:spacing w:after="0"/>
              <w:rPr>
                <w:sz w:val="20"/>
                <w:szCs w:val="20"/>
                <w:color w:val="auto"/>
              </w:rPr>
            </w:pPr>
            <w:r>
              <w:rPr>
                <w:rFonts w:ascii="Arial" w:cs="Arial" w:eastAsia="Arial" w:hAnsi="Arial"/>
                <w:sz w:val="32"/>
                <w:szCs w:val="32"/>
                <w:b w:val="1"/>
                <w:bCs w:val="1"/>
                <w:color w:val="auto"/>
              </w:rPr>
              <w:t>Citigroup</w:t>
            </w:r>
          </w:p>
        </w:tc>
        <w:tc>
          <w:tcPr>
            <w:tcW w:w="2320" w:type="dxa"/>
            <w:vAlign w:val="bottom"/>
          </w:tcPr>
          <w:p>
            <w:pPr>
              <w:ind w:left="500"/>
              <w:spacing w:after="0"/>
              <w:rPr>
                <w:sz w:val="20"/>
                <w:szCs w:val="20"/>
                <w:color w:val="auto"/>
              </w:rPr>
            </w:pPr>
            <w:r>
              <w:rPr>
                <w:rFonts w:ascii="Arial" w:cs="Arial" w:eastAsia="Arial" w:hAnsi="Arial"/>
                <w:sz w:val="32"/>
                <w:szCs w:val="32"/>
                <w:b w:val="1"/>
                <w:bCs w:val="1"/>
                <w:color w:val="auto"/>
                <w:w w:val="99"/>
              </w:rPr>
              <w:t>J.P. Morgan</w:t>
            </w:r>
          </w:p>
        </w:tc>
        <w:tc>
          <w:tcPr>
            <w:tcW w:w="3240" w:type="dxa"/>
            <w:vAlign w:val="bottom"/>
            <w:gridSpan w:val="2"/>
          </w:tcPr>
          <w:p>
            <w:pPr>
              <w:ind w:left="560"/>
              <w:spacing w:after="0"/>
              <w:rPr>
                <w:sz w:val="20"/>
                <w:szCs w:val="20"/>
                <w:color w:val="auto"/>
              </w:rPr>
            </w:pPr>
            <w:r>
              <w:rPr>
                <w:rFonts w:ascii="Arial" w:cs="Arial" w:eastAsia="Arial" w:hAnsi="Arial"/>
                <w:sz w:val="32"/>
                <w:szCs w:val="32"/>
                <w:b w:val="1"/>
                <w:bCs w:val="1"/>
                <w:color w:val="auto"/>
              </w:rPr>
              <w:t>Morgan Stanley</w:t>
            </w:r>
          </w:p>
        </w:tc>
        <w:tc>
          <w:tcPr>
            <w:tcW w:w="3320" w:type="dxa"/>
            <w:vAlign w:val="bottom"/>
          </w:tcPr>
          <w:p>
            <w:pPr>
              <w:ind w:left="460"/>
              <w:spacing w:after="0"/>
              <w:rPr>
                <w:sz w:val="20"/>
                <w:szCs w:val="20"/>
                <w:color w:val="auto"/>
              </w:rPr>
            </w:pPr>
            <w:r>
              <w:rPr>
                <w:rFonts w:ascii="Arial" w:cs="Arial" w:eastAsia="Arial" w:hAnsi="Arial"/>
                <w:sz w:val="32"/>
                <w:szCs w:val="32"/>
                <w:b w:val="1"/>
                <w:bCs w:val="1"/>
                <w:color w:val="auto"/>
              </w:rPr>
              <w:t>Mizuho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58420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2"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July</w:t>
        <w:tab/>
        <w:t>, 2012</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110490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gridSpan w:val="4"/>
          </w:tcPr>
          <w:p>
            <w:pPr>
              <w:jc w:val="center"/>
              <w:ind w:right="4054"/>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vMerge w:val="restart"/>
          </w:tcPr>
          <w:p>
            <w:pPr>
              <w:jc w:val="center"/>
              <w:ind w:right="3660"/>
              <w:spacing w:after="0"/>
              <w:rPr>
                <w:sz w:val="20"/>
                <w:szCs w:val="20"/>
                <w:color w:val="auto"/>
              </w:rPr>
            </w:pPr>
            <w:r>
              <w:rPr>
                <w:rFonts w:ascii="Arial" w:cs="Arial" w:eastAsia="Arial" w:hAnsi="Arial"/>
                <w:sz w:val="18"/>
                <w:szCs w:val="18"/>
                <w:b w:val="1"/>
                <w:bCs w:val="1"/>
                <w:color w:val="auto"/>
                <w:w w:val="85"/>
              </w:rPr>
              <w:t>Prospectus Supplement</w:t>
            </w:r>
          </w:p>
        </w:tc>
        <w:tc>
          <w:tcPr>
            <w:tcW w:w="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500" w:type="dxa"/>
            <w:vAlign w:val="bottom"/>
            <w:gridSpan w:val="19"/>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Cautionary Note on Forward-Looking Statements</w:t>
              </w:r>
            </w:hyperlink>
          </w:p>
        </w:tc>
        <w:tc>
          <w:tcPr>
            <w:tcW w:w="660" w:type="dxa"/>
            <w:vAlign w:val="bottom"/>
            <w:gridSpan w:val="2"/>
            <w:vMerge w:val="restart"/>
          </w:tcPr>
          <w:p>
            <w:pPr>
              <w:spacing w:after="0"/>
              <w:rPr>
                <w:sz w:val="18"/>
                <w:szCs w:val="18"/>
                <w:color w:val="auto"/>
              </w:rPr>
            </w:pPr>
          </w:p>
        </w:tc>
        <w:tc>
          <w:tcPr>
            <w:tcW w:w="6780" w:type="dxa"/>
            <w:vAlign w:val="bottom"/>
            <w:gridSpan w:val="3"/>
            <w:vMerge w:val="continue"/>
          </w:tcPr>
          <w:p>
            <w:pPr>
              <w:spacing w:after="0"/>
              <w:rPr>
                <w:sz w:val="18"/>
                <w:szCs w:val="18"/>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399"/>
        </w:trPr>
        <w:tc>
          <w:tcPr>
            <w:tcW w:w="3500" w:type="dxa"/>
            <w:vAlign w:val="bottom"/>
            <w:tcBorders>
              <w:bottom w:val="single" w:sz="8" w:color="0000EE"/>
            </w:tcBorders>
            <w:gridSpan w:val="19"/>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166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46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326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02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Ratios of Earnings to Fixed Charges</w:t>
              </w:r>
            </w:hyperlink>
          </w:p>
        </w:tc>
        <w:tc>
          <w:tcPr>
            <w:tcW w:w="160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Notes</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Material U.S. Federal Income Tax Consequences</w:t>
              </w:r>
            </w:hyperlink>
          </w:p>
        </w:tc>
        <w:tc>
          <w:tcPr>
            <w:tcW w:w="7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Underwriting</w:t>
              </w:r>
            </w:hyperlink>
          </w:p>
        </w:tc>
        <w:tc>
          <w:tcPr>
            <w:tcW w:w="320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Validity of Securities</w:t>
              </w:r>
            </w:hyperlink>
          </w:p>
        </w:tc>
        <w:tc>
          <w:tcPr>
            <w:tcW w:w="266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60" w:type="dxa"/>
            <w:vAlign w:val="bottom"/>
            <w:gridSpan w:val="3"/>
          </w:tcPr>
          <w:p>
            <w:pPr>
              <w:jc w:val="center"/>
              <w:ind w:right="4774"/>
              <w:spacing w:after="0"/>
              <w:rPr>
                <w:sz w:val="20"/>
                <w:szCs w:val="20"/>
                <w:color w:val="auto"/>
              </w:rPr>
            </w:pPr>
            <w:r>
              <w:rPr>
                <w:rFonts w:ascii="Arial" w:cs="Arial" w:eastAsia="Arial" w:hAnsi="Arial"/>
                <w:sz w:val="18"/>
                <w:szCs w:val="18"/>
                <w:b w:val="1"/>
                <w:bCs w:val="1"/>
                <w:color w:val="auto"/>
                <w:w w:val="83"/>
              </w:rPr>
              <w:t>Prospectus</w:t>
            </w:r>
          </w:p>
        </w:tc>
        <w:tc>
          <w:tcPr>
            <w:tcW w:w="0" w:type="dxa"/>
            <w:vAlign w:val="bottom"/>
          </w:tcPr>
          <w:p>
            <w:pPr>
              <w:spacing w:after="0"/>
              <w:rPr>
                <w:sz w:val="1"/>
                <w:szCs w:val="1"/>
                <w:color w:val="auto"/>
              </w:rPr>
            </w:pPr>
          </w:p>
        </w:tc>
      </w:tr>
      <w:tr>
        <w:trPr>
          <w:trHeight w:val="326"/>
        </w:trPr>
        <w:tc>
          <w:tcPr>
            <w:tcW w:w="41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7260" w:type="dxa"/>
            <w:vAlign w:val="bottom"/>
            <w:gridSpan w:val="4"/>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Ratios of Earnings to Fixed Charges</w:t>
              </w:r>
            </w:hyperlink>
          </w:p>
        </w:tc>
        <w:tc>
          <w:tcPr>
            <w:tcW w:w="1600" w:type="dxa"/>
            <w:vAlign w:val="bottom"/>
            <w:gridSpan w:val="5"/>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Capital Stock</w:t>
              </w:r>
            </w:hyperlink>
          </w:p>
        </w:tc>
        <w:tc>
          <w:tcPr>
            <w:tcW w:w="2140" w:type="dxa"/>
            <w:vAlign w:val="bottom"/>
            <w:gridSpan w:val="8"/>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Debt Securities</w:t>
              </w:r>
            </w:hyperlink>
          </w:p>
        </w:tc>
        <w:tc>
          <w:tcPr>
            <w:tcW w:w="2020" w:type="dxa"/>
            <w:vAlign w:val="bottom"/>
            <w:gridSpan w:val="7"/>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Warrants</w:t>
              </w:r>
            </w:hyperlink>
          </w:p>
        </w:tc>
        <w:tc>
          <w:tcPr>
            <w:tcW w:w="2440" w:type="dxa"/>
            <w:vAlign w:val="bottom"/>
            <w:gridSpan w:val="9"/>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Units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Forms of Securities</w:t>
              </w:r>
            </w:hyperlink>
          </w:p>
        </w:tc>
        <w:tc>
          <w:tcPr>
            <w:tcW w:w="2720" w:type="dxa"/>
            <w:vAlign w:val="bottom"/>
            <w:gridSpan w:val="12"/>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13"/>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760" w:type="dxa"/>
            <w:vAlign w:val="bottom"/>
            <w:gridSpan w:val="13"/>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Validity of Securities</w:t>
              </w:r>
            </w:hyperlink>
          </w:p>
        </w:tc>
        <w:tc>
          <w:tcPr>
            <w:tcW w:w="2660" w:type="dxa"/>
            <w:vAlign w:val="bottom"/>
            <w:gridSpan w:val="11"/>
          </w:tcPr>
          <w:p>
            <w:pPr>
              <w:spacing w:after="0"/>
              <w:rPr>
                <w:sz w:val="17"/>
                <w:szCs w:val="17"/>
                <w:color w:val="auto"/>
              </w:rPr>
            </w:pPr>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16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260" w:type="dxa"/>
            <w:vAlign w:val="bottom"/>
            <w:gridSpan w:val="4"/>
          </w:tcPr>
          <w:p>
            <w:pPr>
              <w:jc w:val="right"/>
              <w:ind w:right="14"/>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demand for semiconductors, particularly in key markets such as communications, computing, industrial, and consumer electronics;</w:t>
      </w:r>
    </w:p>
    <w:p>
      <w:pPr>
        <w:spacing w:after="0" w:line="126" w:lineRule="exact"/>
        <w:rPr>
          <w:rFonts w:ascii="Arial" w:cs="Arial" w:eastAsia="Arial" w:hAnsi="Arial"/>
          <w:sz w:val="16"/>
          <w:szCs w:val="16"/>
          <w:color w:val="auto"/>
        </w:rPr>
      </w:pPr>
    </w:p>
    <w:p>
      <w:pPr>
        <w:ind w:left="440" w:right="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03" w:lineRule="exact"/>
        <w:rPr>
          <w:rFonts w:ascii="Arial" w:cs="Arial" w:eastAsia="Arial" w:hAnsi="Arial"/>
          <w:sz w:val="18"/>
          <w:szCs w:val="18"/>
          <w:color w:val="auto"/>
        </w:rPr>
      </w:pPr>
    </w:p>
    <w:p>
      <w:pPr>
        <w:ind w:left="440" w:right="220" w:hanging="324"/>
        <w:spacing w:after="0" w:line="325"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440" w:right="26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40" w:right="320" w:hanging="324"/>
        <w:spacing w:after="0" w:line="325"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03"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03"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37"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03"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the operations, product lines and technologies of National Semiconductor Corporation, and to realize opportunities for growth and cost savings from the acquisition; and</w:t>
      </w:r>
    </w:p>
    <w:p>
      <w:pPr>
        <w:spacing w:after="0" w:line="37"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85"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other periodic filings with the Securities and Exchange Commission.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2010.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3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were the world’s fourth largest semiconductor company in 2011 as measured by revenue. We own and operate semiconductor manufacturing facilities in North America, Asia and Europe. Over the last few years we have expanded our sales networks in the emerging markets of China, India and Eastern Europe. Additionally, we sell calculators and related products.</w:t>
      </w:r>
    </w:p>
    <w:p>
      <w:pPr>
        <w:spacing w:after="0" w:line="127"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On September 23, 2011, we completed the acquisition of National Semiconductor Corporation. The acquisition has brought to TI a portfolio of thousands of analog products, strong customer design tools and additional manufacturing capacity, and is consistent with our strategy to grow our Analog business.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On July 23, 2012, we announced our results of operations as of and for the three months ended June 30, 2012. A summary of our results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2Q12 financial summary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are in millions of dollars, except per-share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2Q12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2Q11</w:t>
            </w:r>
          </w:p>
        </w:tc>
        <w:tc>
          <w:tcPr>
            <w:tcW w:w="4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1Q12</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304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3,335</w:t>
            </w: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3,458</w:t>
            </w:r>
          </w:p>
        </w:tc>
        <w:tc>
          <w:tcPr>
            <w:tcW w:w="48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3,121</w:t>
            </w:r>
          </w:p>
        </w:tc>
        <w:tc>
          <w:tcPr>
            <w:tcW w:w="5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profit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598</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905</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397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Earnings per share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3"/>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2Q12 segment results</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2Q12</w:t>
            </w:r>
          </w:p>
        </w:tc>
        <w:tc>
          <w:tcPr>
            <w:tcW w:w="80" w:type="dxa"/>
            <w:vAlign w:val="bottom"/>
          </w:tcPr>
          <w:p>
            <w:pPr>
              <w:spacing w:after="0"/>
              <w:rPr>
                <w:sz w:val="24"/>
                <w:szCs w:val="2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2Q11</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1Q12</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3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Revenue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1,588</w:t>
            </w:r>
          </w:p>
        </w:tc>
        <w:tc>
          <w:tcPr>
            <w:tcW w:w="4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1,686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Embedded Processing:</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37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56"/>
        </w:trPr>
        <w:tc>
          <w:tcPr>
            <w:tcW w:w="3740" w:type="dxa"/>
            <w:vAlign w:val="bottom"/>
          </w:tcPr>
          <w:p>
            <w:pPr>
              <w:spacing w:after="0"/>
              <w:rPr>
                <w:sz w:val="24"/>
                <w:szCs w:val="24"/>
                <w:color w:val="auto"/>
              </w:rPr>
            </w:pPr>
          </w:p>
        </w:tc>
        <w:tc>
          <w:tcPr>
            <w:tcW w:w="3160" w:type="dxa"/>
            <w:vAlign w:val="bottom"/>
            <w:gridSpan w:val="2"/>
          </w:tcPr>
          <w:p>
            <w:pPr>
              <w:jc w:val="right"/>
              <w:ind w:right="982"/>
              <w:spacing w:after="0"/>
              <w:rPr>
                <w:sz w:val="20"/>
                <w:szCs w:val="20"/>
                <w:color w:val="auto"/>
              </w:rPr>
            </w:pPr>
            <w:r>
              <w:rPr>
                <w:rFonts w:ascii="Arial" w:cs="Arial" w:eastAsia="Arial" w:hAnsi="Arial"/>
                <w:sz w:val="18"/>
                <w:szCs w:val="18"/>
                <w:color w:val="auto"/>
              </w:rPr>
              <w:t>S-1</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2Q12</w:t>
            </w:r>
          </w:p>
        </w:tc>
        <w:tc>
          <w:tcPr>
            <w:tcW w:w="2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2Q11</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3"/>
              </w:rPr>
              <w:t>1Q12</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Wireless:</w:t>
            </w:r>
          </w:p>
        </w:tc>
        <w:tc>
          <w:tcPr>
            <w:tcW w:w="2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Revenue</w:t>
            </w:r>
          </w:p>
        </w:tc>
        <w:tc>
          <w:tcPr>
            <w:tcW w:w="3180" w:type="dxa"/>
            <w:vAlign w:val="bottom"/>
            <w:gridSpan w:val="2"/>
          </w:tcPr>
          <w:p>
            <w:pPr>
              <w:ind w:left="2820"/>
              <w:spacing w:after="0"/>
              <w:rPr>
                <w:sz w:val="20"/>
                <w:szCs w:val="20"/>
                <w:color w:val="auto"/>
              </w:rPr>
            </w:pPr>
            <w:r>
              <w:rPr>
                <w:rFonts w:ascii="Arial" w:cs="Arial" w:eastAsia="Arial" w:hAnsi="Arial"/>
                <w:sz w:val="18"/>
                <w:szCs w:val="18"/>
                <w:color w:val="auto"/>
                <w:w w:val="84"/>
              </w:rPr>
              <w:t>$342</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558</w:t>
            </w:r>
          </w:p>
        </w:tc>
        <w:tc>
          <w:tcPr>
            <w:tcW w:w="5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w w:val="79"/>
              </w:rPr>
              <w:t>373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3440" w:type="dxa"/>
            <w:vAlign w:val="bottom"/>
            <w:gridSpan w:val="3"/>
            <w:shd w:val="clear" w:color="auto" w:fill="CCEEFF"/>
          </w:tcPr>
          <w:p>
            <w:pPr>
              <w:ind w:left="2820"/>
              <w:spacing w:after="0"/>
              <w:rPr>
                <w:sz w:val="20"/>
                <w:szCs w:val="20"/>
                <w:color w:val="auto"/>
              </w:rPr>
            </w:pPr>
            <w:r>
              <w:rPr>
                <w:rFonts w:ascii="Arial" w:cs="Arial" w:eastAsia="Arial" w:hAnsi="Arial"/>
                <w:sz w:val="18"/>
                <w:szCs w:val="18"/>
                <w:color w:val="auto"/>
              </w:rPr>
              <w:t>$ (51)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31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84"/>
              </w:rPr>
              <w:t>$684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716</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589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22"/>
        </w:trPr>
        <w:tc>
          <w:tcPr>
            <w:tcW w:w="438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3180" w:type="dxa"/>
            <w:vAlign w:val="bottom"/>
            <w:gridSpan w:val="2"/>
          </w:tcPr>
          <w:p>
            <w:pPr>
              <w:ind w:left="2820"/>
              <w:spacing w:after="0"/>
              <w:rPr>
                <w:sz w:val="20"/>
                <w:szCs w:val="20"/>
                <w:color w:val="auto"/>
              </w:rPr>
            </w:pPr>
            <w:r>
              <w:rPr>
                <w:rFonts w:ascii="Arial" w:cs="Arial" w:eastAsia="Arial" w:hAnsi="Arial"/>
                <w:sz w:val="18"/>
                <w:szCs w:val="18"/>
                <w:color w:val="auto"/>
                <w:w w:val="84"/>
              </w:rPr>
              <w:t>$161</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236</w:t>
            </w:r>
          </w:p>
        </w:tc>
        <w:tc>
          <w:tcPr>
            <w:tcW w:w="5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2Q12 additional financial information</w:t>
      </w:r>
    </w:p>
    <w:p>
      <w:pPr>
        <w:spacing w:after="0" w:line="7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were $3.41 billion, down 5 percent from the year-ago quarter and up 5 percent from the prior quarter.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was $1.88 billion at the end of the quarter, up $123 million from a year ago and $32 million from the prior quarter.</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were $146 million in the quarter compared with $276 million a year ago and $103 million in the prior quarter. Capital expenditures in the quarter were primarily for assembly/test manufacturing equipment.</w:t>
      </w:r>
    </w:p>
    <w:p>
      <w:pPr>
        <w:spacing w:after="0" w:line="37"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repaid $200 million of our commercial paper borrowings in the quarter and $375 million of maturing debt assumed in the acquisition of National Semiconductor.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$300 million in the quarter to repurchase 9.6 million shares of our common stock and paid dividends of $195 million.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expect earnings per share will be negatively impacted by about 7 cents from acquisition and restructuring charges in the third quarter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188595</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75266-0199, and our telephone number is (972) 995-3773. We maintain a website at www.ti.com where general information about us is available. We are not incorporating the contents of the website into this prospectus supplement or the accompanying prospectus.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incorporated by reference in this prospectus supplement. For instructions on how to find copies of these and our other filings incorporated by reference in this prospectus supplement, see “Where You Can Find More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Issuer</w:t>
            </w:r>
          </w:p>
        </w:tc>
        <w:tc>
          <w:tcPr>
            <w:tcW w:w="3580" w:type="dxa"/>
            <w:vAlign w:val="bottom"/>
            <w:gridSpan w:val="4"/>
          </w:tcPr>
          <w:p>
            <w:pPr>
              <w:ind w:left="1340"/>
              <w:spacing w:after="0"/>
              <w:rPr>
                <w:sz w:val="20"/>
                <w:szCs w:val="20"/>
                <w:color w:val="auto"/>
              </w:rPr>
            </w:pPr>
            <w:r>
              <w:rPr>
                <w:rFonts w:ascii="Arial" w:cs="Arial" w:eastAsia="Arial" w:hAnsi="Arial"/>
                <w:sz w:val="18"/>
                <w:szCs w:val="18"/>
                <w:color w:val="auto"/>
                <w:w w:val="87"/>
              </w:rPr>
              <w:t>Texas Instruments Incorporated</w:t>
            </w:r>
          </w:p>
        </w:tc>
        <w:tc>
          <w:tcPr>
            <w:tcW w:w="66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78"/>
        </w:trPr>
        <w:tc>
          <w:tcPr>
            <w:tcW w:w="3000" w:type="dxa"/>
            <w:vAlign w:val="bottom"/>
          </w:tcPr>
          <w:p>
            <w:pPr>
              <w:spacing w:after="0"/>
              <w:rPr>
                <w:sz w:val="20"/>
                <w:szCs w:val="20"/>
                <w:color w:val="auto"/>
              </w:rPr>
            </w:pPr>
            <w:r>
              <w:rPr>
                <w:rFonts w:ascii="Arial" w:cs="Arial" w:eastAsia="Arial" w:hAnsi="Arial"/>
                <w:sz w:val="18"/>
                <w:szCs w:val="18"/>
                <w:color w:val="auto"/>
              </w:rPr>
              <w:t>Securities Offered</w:t>
            </w:r>
          </w:p>
        </w:tc>
        <w:tc>
          <w:tcPr>
            <w:tcW w:w="1860" w:type="dxa"/>
            <w:vAlign w:val="bottom"/>
          </w:tcPr>
          <w:p>
            <w:pPr>
              <w:ind w:left="1340"/>
              <w:spacing w:after="0"/>
              <w:rPr>
                <w:sz w:val="20"/>
                <w:szCs w:val="20"/>
                <w:color w:val="auto"/>
              </w:rPr>
            </w:pPr>
            <w:r>
              <w:rPr>
                <w:rFonts w:ascii="Arial" w:cs="Arial" w:eastAsia="Arial" w:hAnsi="Arial"/>
                <w:sz w:val="18"/>
                <w:szCs w:val="18"/>
                <w:color w:val="auto"/>
              </w:rPr>
              <w:t>$</w:t>
            </w:r>
          </w:p>
        </w:tc>
        <w:tc>
          <w:tcPr>
            <w:tcW w:w="2380" w:type="dxa"/>
            <w:vAlign w:val="bottom"/>
            <w:gridSpan w:val="4"/>
          </w:tcPr>
          <w:p>
            <w:pPr>
              <w:jc w:val="right"/>
              <w:ind w:right="32"/>
              <w:spacing w:after="0"/>
              <w:rPr>
                <w:sz w:val="20"/>
                <w:szCs w:val="20"/>
                <w:color w:val="auto"/>
              </w:rPr>
            </w:pPr>
            <w:r>
              <w:rPr>
                <w:rFonts w:ascii="Arial" w:cs="Arial" w:eastAsia="Arial" w:hAnsi="Arial"/>
                <w:sz w:val="18"/>
                <w:szCs w:val="18"/>
                <w:color w:val="auto"/>
                <w:w w:val="94"/>
              </w:rPr>
              <w:t>aggregate principal amount of</w:t>
            </w:r>
          </w:p>
        </w:tc>
        <w:tc>
          <w:tcPr>
            <w:tcW w:w="4180" w:type="dxa"/>
            <w:vAlign w:val="bottom"/>
          </w:tcPr>
          <w:p>
            <w:pPr>
              <w:ind w:left="100"/>
              <w:spacing w:after="0"/>
              <w:rPr>
                <w:sz w:val="20"/>
                <w:szCs w:val="20"/>
                <w:color w:val="auto"/>
              </w:rPr>
            </w:pPr>
            <w:r>
              <w:rPr>
                <w:rFonts w:ascii="Arial" w:cs="Arial" w:eastAsia="Arial" w:hAnsi="Arial"/>
                <w:sz w:val="18"/>
                <w:szCs w:val="18"/>
                <w:color w:val="auto"/>
              </w:rPr>
              <w:t>% Notes due 20</w:t>
            </w:r>
          </w:p>
        </w:tc>
      </w:tr>
      <w:tr>
        <w:trPr>
          <w:trHeight w:val="230"/>
        </w:trPr>
        <w:tc>
          <w:tcPr>
            <w:tcW w:w="3000" w:type="dxa"/>
            <w:vAlign w:val="bottom"/>
          </w:tcPr>
          <w:p>
            <w:pPr>
              <w:spacing w:after="0"/>
              <w:rPr>
                <w:sz w:val="19"/>
                <w:szCs w:val="19"/>
                <w:color w:val="auto"/>
              </w:rPr>
            </w:pPr>
          </w:p>
        </w:tc>
        <w:tc>
          <w:tcPr>
            <w:tcW w:w="1860" w:type="dxa"/>
            <w:vAlign w:val="bottom"/>
          </w:tcPr>
          <w:p>
            <w:pPr>
              <w:ind w:left="1340"/>
              <w:spacing w:after="0"/>
              <w:rPr>
                <w:sz w:val="20"/>
                <w:szCs w:val="20"/>
                <w:color w:val="auto"/>
              </w:rPr>
            </w:pPr>
            <w:r>
              <w:rPr>
                <w:rFonts w:ascii="Arial" w:cs="Arial" w:eastAsia="Arial" w:hAnsi="Arial"/>
                <w:sz w:val="18"/>
                <w:szCs w:val="18"/>
                <w:color w:val="auto"/>
              </w:rPr>
              <w:t>$</w:t>
            </w:r>
          </w:p>
        </w:tc>
        <w:tc>
          <w:tcPr>
            <w:tcW w:w="2380" w:type="dxa"/>
            <w:vAlign w:val="bottom"/>
            <w:gridSpan w:val="4"/>
          </w:tcPr>
          <w:p>
            <w:pPr>
              <w:jc w:val="right"/>
              <w:ind w:right="32"/>
              <w:spacing w:after="0"/>
              <w:rPr>
                <w:sz w:val="20"/>
                <w:szCs w:val="20"/>
                <w:color w:val="auto"/>
              </w:rPr>
            </w:pPr>
            <w:r>
              <w:rPr>
                <w:rFonts w:ascii="Arial" w:cs="Arial" w:eastAsia="Arial" w:hAnsi="Arial"/>
                <w:sz w:val="18"/>
                <w:szCs w:val="18"/>
                <w:color w:val="auto"/>
                <w:w w:val="94"/>
              </w:rPr>
              <w:t>aggregate principal amount of</w:t>
            </w:r>
          </w:p>
        </w:tc>
        <w:tc>
          <w:tcPr>
            <w:tcW w:w="4180" w:type="dxa"/>
            <w:vAlign w:val="bottom"/>
          </w:tcPr>
          <w:p>
            <w:pPr>
              <w:ind w:left="100"/>
              <w:spacing w:after="0"/>
              <w:rPr>
                <w:sz w:val="20"/>
                <w:szCs w:val="20"/>
                <w:color w:val="auto"/>
              </w:rPr>
            </w:pPr>
            <w:r>
              <w:rPr>
                <w:rFonts w:ascii="Arial" w:cs="Arial" w:eastAsia="Arial" w:hAnsi="Arial"/>
                <w:sz w:val="18"/>
                <w:szCs w:val="18"/>
                <w:color w:val="auto"/>
              </w:rPr>
              <w:t>% Notes due 20</w:t>
            </w:r>
          </w:p>
        </w:tc>
      </w:tr>
      <w:tr>
        <w:trPr>
          <w:trHeight w:val="365"/>
        </w:trPr>
        <w:tc>
          <w:tcPr>
            <w:tcW w:w="3000" w:type="dxa"/>
            <w:vAlign w:val="bottom"/>
          </w:tcPr>
          <w:p>
            <w:pPr>
              <w:spacing w:after="0"/>
              <w:rPr>
                <w:sz w:val="20"/>
                <w:szCs w:val="20"/>
                <w:color w:val="auto"/>
              </w:rPr>
            </w:pPr>
            <w:r>
              <w:rPr>
                <w:rFonts w:ascii="Arial" w:cs="Arial" w:eastAsia="Arial" w:hAnsi="Arial"/>
                <w:sz w:val="18"/>
                <w:szCs w:val="18"/>
                <w:color w:val="auto"/>
              </w:rPr>
              <w:t>Maturity Dates</w:t>
            </w:r>
          </w:p>
        </w:tc>
        <w:tc>
          <w:tcPr>
            <w:tcW w:w="1860" w:type="dxa"/>
            <w:vAlign w:val="bottom"/>
          </w:tcPr>
          <w:p>
            <w:pPr>
              <w:spacing w:after="0"/>
              <w:rPr>
                <w:sz w:val="24"/>
                <w:szCs w:val="24"/>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 20</w:t>
            </w:r>
          </w:p>
        </w:tc>
        <w:tc>
          <w:tcPr>
            <w:tcW w:w="2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for the 20</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89"/>
              </w:rPr>
              <w:t>Notes</w:t>
            </w:r>
          </w:p>
        </w:tc>
        <w:tc>
          <w:tcPr>
            <w:tcW w:w="4180" w:type="dxa"/>
            <w:vAlign w:val="bottom"/>
          </w:tcPr>
          <w:p>
            <w:pPr>
              <w:spacing w:after="0"/>
              <w:rPr>
                <w:sz w:val="24"/>
                <w:szCs w:val="24"/>
                <w:color w:val="auto"/>
              </w:rPr>
            </w:pPr>
          </w:p>
        </w:tc>
      </w:tr>
      <w:tr>
        <w:trPr>
          <w:trHeight w:val="230"/>
        </w:trPr>
        <w:tc>
          <w:tcPr>
            <w:tcW w:w="3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 20</w:t>
            </w:r>
          </w:p>
        </w:tc>
        <w:tc>
          <w:tcPr>
            <w:tcW w:w="26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for the 20</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89"/>
              </w:rPr>
              <w:t>Notes</w:t>
            </w:r>
          </w:p>
        </w:tc>
        <w:tc>
          <w:tcPr>
            <w:tcW w:w="4180" w:type="dxa"/>
            <w:vAlign w:val="bottom"/>
          </w:tcPr>
          <w:p>
            <w:pPr>
              <w:spacing w:after="0"/>
              <w:rPr>
                <w:sz w:val="19"/>
                <w:szCs w:val="19"/>
                <w:color w:val="auto"/>
              </w:rPr>
            </w:pPr>
          </w:p>
        </w:tc>
      </w:tr>
      <w:tr>
        <w:trPr>
          <w:trHeight w:val="365"/>
        </w:trPr>
        <w:tc>
          <w:tcPr>
            <w:tcW w:w="3000" w:type="dxa"/>
            <w:vAlign w:val="bottom"/>
          </w:tcPr>
          <w:p>
            <w:pPr>
              <w:spacing w:after="0"/>
              <w:rPr>
                <w:sz w:val="20"/>
                <w:szCs w:val="20"/>
                <w:color w:val="auto"/>
              </w:rPr>
            </w:pPr>
            <w:r>
              <w:rPr>
                <w:rFonts w:ascii="Arial" w:cs="Arial" w:eastAsia="Arial" w:hAnsi="Arial"/>
                <w:sz w:val="18"/>
                <w:szCs w:val="18"/>
                <w:color w:val="auto"/>
              </w:rPr>
              <w:t>Original Issue Date</w:t>
            </w:r>
          </w:p>
        </w:tc>
        <w:tc>
          <w:tcPr>
            <w:tcW w:w="1860" w:type="dxa"/>
            <w:vAlign w:val="bottom"/>
          </w:tcPr>
          <w:p>
            <w:pPr>
              <w:ind w:left="1340"/>
              <w:spacing w:after="0"/>
              <w:rPr>
                <w:sz w:val="20"/>
                <w:szCs w:val="20"/>
                <w:color w:val="auto"/>
              </w:rPr>
            </w:pPr>
            <w:r>
              <w:rPr>
                <w:rFonts w:ascii="Arial" w:cs="Arial" w:eastAsia="Arial" w:hAnsi="Arial"/>
                <w:sz w:val="18"/>
                <w:szCs w:val="18"/>
                <w:color w:val="auto"/>
                <w:w w:val="89"/>
              </w:rPr>
              <w:t>August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2012</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78"/>
        </w:trPr>
        <w:tc>
          <w:tcPr>
            <w:tcW w:w="3000" w:type="dxa"/>
            <w:vAlign w:val="bottom"/>
          </w:tcPr>
          <w:p>
            <w:pPr>
              <w:spacing w:after="0"/>
              <w:rPr>
                <w:sz w:val="20"/>
                <w:szCs w:val="20"/>
                <w:color w:val="auto"/>
              </w:rPr>
            </w:pPr>
            <w:r>
              <w:rPr>
                <w:rFonts w:ascii="Arial" w:cs="Arial" w:eastAsia="Arial" w:hAnsi="Arial"/>
                <w:sz w:val="18"/>
                <w:szCs w:val="18"/>
                <w:color w:val="auto"/>
              </w:rPr>
              <w:t>Interest Rates</w:t>
            </w:r>
          </w:p>
        </w:tc>
        <w:tc>
          <w:tcPr>
            <w:tcW w:w="2260" w:type="dxa"/>
            <w:vAlign w:val="bottom"/>
            <w:gridSpan w:val="2"/>
          </w:tcPr>
          <w:p>
            <w:pPr>
              <w:ind w:left="1340"/>
              <w:spacing w:after="0"/>
              <w:rPr>
                <w:sz w:val="20"/>
                <w:szCs w:val="20"/>
                <w:color w:val="auto"/>
              </w:rPr>
            </w:pPr>
            <w:r>
              <w:rPr>
                <w:rFonts w:ascii="Arial" w:cs="Arial" w:eastAsia="Arial" w:hAnsi="Arial"/>
                <w:sz w:val="18"/>
                <w:szCs w:val="18"/>
                <w:color w:val="auto"/>
                <w:w w:val="89"/>
              </w:rPr>
              <w:t>Fixed rate of</w:t>
            </w: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 for the 20</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Notes</w:t>
            </w:r>
          </w:p>
        </w:tc>
        <w:tc>
          <w:tcPr>
            <w:tcW w:w="4180" w:type="dxa"/>
            <w:vAlign w:val="bottom"/>
          </w:tcPr>
          <w:p>
            <w:pPr>
              <w:spacing w:after="0"/>
              <w:rPr>
                <w:sz w:val="24"/>
                <w:szCs w:val="24"/>
                <w:color w:val="auto"/>
              </w:rPr>
            </w:pPr>
          </w:p>
        </w:tc>
      </w:tr>
      <w:tr>
        <w:trPr>
          <w:trHeight w:val="230"/>
        </w:trPr>
        <w:tc>
          <w:tcPr>
            <w:tcW w:w="3000" w:type="dxa"/>
            <w:vAlign w:val="bottom"/>
          </w:tcPr>
          <w:p>
            <w:pPr>
              <w:spacing w:after="0"/>
              <w:rPr>
                <w:sz w:val="19"/>
                <w:szCs w:val="19"/>
                <w:color w:val="auto"/>
              </w:rPr>
            </w:pPr>
          </w:p>
        </w:tc>
        <w:tc>
          <w:tcPr>
            <w:tcW w:w="2260" w:type="dxa"/>
            <w:vAlign w:val="bottom"/>
            <w:gridSpan w:val="2"/>
          </w:tcPr>
          <w:p>
            <w:pPr>
              <w:ind w:left="1340"/>
              <w:spacing w:after="0"/>
              <w:rPr>
                <w:sz w:val="20"/>
                <w:szCs w:val="20"/>
                <w:color w:val="auto"/>
              </w:rPr>
            </w:pPr>
            <w:r>
              <w:rPr>
                <w:rFonts w:ascii="Arial" w:cs="Arial" w:eastAsia="Arial" w:hAnsi="Arial"/>
                <w:sz w:val="18"/>
                <w:szCs w:val="18"/>
                <w:color w:val="auto"/>
                <w:w w:val="89"/>
              </w:rPr>
              <w:t>Fixed rate of</w:t>
            </w: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 for the 20</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Notes</w:t>
            </w:r>
          </w:p>
        </w:tc>
        <w:tc>
          <w:tcPr>
            <w:tcW w:w="4180" w:type="dxa"/>
            <w:vAlign w:val="bottom"/>
          </w:tcPr>
          <w:p>
            <w:pPr>
              <w:spacing w:after="0"/>
              <w:rPr>
                <w:sz w:val="19"/>
                <w:szCs w:val="19"/>
                <w:color w:val="auto"/>
              </w:rPr>
            </w:pPr>
          </w:p>
        </w:tc>
      </w:tr>
      <w:tr>
        <w:trPr>
          <w:trHeight w:val="358"/>
        </w:trPr>
        <w:tc>
          <w:tcPr>
            <w:tcW w:w="30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860" w:type="dxa"/>
            <w:vAlign w:val="bottom"/>
          </w:tcPr>
          <w:p>
            <w:pPr>
              <w:ind w:left="1340"/>
              <w:spacing w:after="0"/>
              <w:rPr>
                <w:sz w:val="20"/>
                <w:szCs w:val="20"/>
                <w:color w:val="auto"/>
              </w:rPr>
            </w:pPr>
            <w:r>
              <w:rPr>
                <w:rFonts w:ascii="Arial" w:cs="Arial" w:eastAsia="Arial" w:hAnsi="Arial"/>
                <w:sz w:val="18"/>
                <w:szCs w:val="18"/>
                <w:color w:val="auto"/>
              </w:rPr>
              <w:t>Each</w:t>
            </w:r>
          </w:p>
        </w:tc>
        <w:tc>
          <w:tcPr>
            <w:tcW w:w="4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79"/>
              </w:rPr>
              <w:t>and</w:t>
            </w:r>
          </w:p>
        </w:tc>
        <w:tc>
          <w:tcPr>
            <w:tcW w:w="1720" w:type="dxa"/>
            <w:vAlign w:val="bottom"/>
            <w:gridSpan w:val="2"/>
          </w:tcPr>
          <w:p>
            <w:pPr>
              <w:jc w:val="right"/>
              <w:ind w:right="132"/>
              <w:spacing w:after="0"/>
              <w:rPr>
                <w:sz w:val="20"/>
                <w:szCs w:val="20"/>
                <w:color w:val="auto"/>
              </w:rPr>
            </w:pPr>
            <w:r>
              <w:rPr>
                <w:rFonts w:ascii="Arial" w:cs="Arial" w:eastAsia="Arial" w:hAnsi="Arial"/>
                <w:sz w:val="18"/>
                <w:szCs w:val="18"/>
                <w:color w:val="auto"/>
              </w:rPr>
              <w:t>beginning on</w:t>
            </w:r>
          </w:p>
        </w:tc>
        <w:tc>
          <w:tcPr>
            <w:tcW w:w="4180" w:type="dxa"/>
            <w:vAlign w:val="bottom"/>
          </w:tcPr>
          <w:p>
            <w:pPr>
              <w:ind w:left="700"/>
              <w:spacing w:after="0"/>
              <w:rPr>
                <w:sz w:val="20"/>
                <w:szCs w:val="20"/>
                <w:color w:val="auto"/>
              </w:rPr>
            </w:pPr>
            <w:r>
              <w:rPr>
                <w:rFonts w:ascii="Arial" w:cs="Arial" w:eastAsia="Arial" w:hAnsi="Arial"/>
                <w:sz w:val="18"/>
                <w:szCs w:val="18"/>
                <w:color w:val="auto"/>
                <w:w w:val="87"/>
              </w:rPr>
              <w:t>, 2013, and on the maturity date for each series of</w:t>
            </w:r>
          </w:p>
        </w:tc>
      </w:tr>
      <w:tr>
        <w:trPr>
          <w:trHeight w:val="222"/>
        </w:trPr>
        <w:tc>
          <w:tcPr>
            <w:tcW w:w="3000" w:type="dxa"/>
            <w:vAlign w:val="bottom"/>
          </w:tcPr>
          <w:p>
            <w:pPr>
              <w:spacing w:after="0"/>
              <w:rPr>
                <w:sz w:val="19"/>
                <w:szCs w:val="19"/>
                <w:color w:val="auto"/>
              </w:rPr>
            </w:pPr>
          </w:p>
        </w:tc>
        <w:tc>
          <w:tcPr>
            <w:tcW w:w="1860" w:type="dxa"/>
            <w:vAlign w:val="bottom"/>
          </w:tcPr>
          <w:p>
            <w:pPr>
              <w:ind w:left="1340"/>
              <w:spacing w:after="0"/>
              <w:rPr>
                <w:sz w:val="20"/>
                <w:szCs w:val="20"/>
                <w:color w:val="auto"/>
              </w:rPr>
            </w:pPr>
            <w:r>
              <w:rPr>
                <w:rFonts w:ascii="Arial" w:cs="Arial" w:eastAsia="Arial" w:hAnsi="Arial"/>
                <w:sz w:val="18"/>
                <w:szCs w:val="18"/>
                <w:color w:val="auto"/>
                <w:w w:val="96"/>
              </w:rPr>
              <w:t>Notes.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58"/>
        </w:trPr>
        <w:tc>
          <w:tcPr>
            <w:tcW w:w="3000" w:type="dxa"/>
            <w:vAlign w:val="bottom"/>
          </w:tcPr>
          <w:p>
            <w:pPr>
              <w:spacing w:after="0"/>
              <w:rPr>
                <w:sz w:val="20"/>
                <w:szCs w:val="20"/>
                <w:color w:val="auto"/>
              </w:rPr>
            </w:pPr>
            <w:r>
              <w:rPr>
                <w:rFonts w:ascii="Arial" w:cs="Arial" w:eastAsia="Arial" w:hAnsi="Arial"/>
                <w:sz w:val="18"/>
                <w:szCs w:val="18"/>
                <w:color w:val="auto"/>
              </w:rPr>
              <w:t>Ranking</w:t>
            </w:r>
          </w:p>
        </w:tc>
        <w:tc>
          <w:tcPr>
            <w:tcW w:w="8420" w:type="dxa"/>
            <w:vAlign w:val="bottom"/>
            <w:gridSpan w:val="6"/>
          </w:tcPr>
          <w:p>
            <w:pPr>
              <w:ind w:left="1340"/>
              <w:spacing w:after="0"/>
              <w:rPr>
                <w:sz w:val="20"/>
                <w:szCs w:val="20"/>
                <w:color w:val="auto"/>
              </w:rPr>
            </w:pPr>
            <w:r>
              <w:rPr>
                <w:rFonts w:ascii="Arial" w:cs="Arial" w:eastAsia="Arial" w:hAnsi="Arial"/>
                <w:sz w:val="18"/>
                <w:szCs w:val="18"/>
                <w:color w:val="auto"/>
                <w:w w:val="89"/>
              </w:rPr>
              <w:t>The Notes will be the senior unsecured obligations of Texas Instruments Incorporated and will rank</w:t>
            </w:r>
          </w:p>
        </w:tc>
      </w:tr>
      <w:tr>
        <w:trPr>
          <w:trHeight w:val="222"/>
        </w:trPr>
        <w:tc>
          <w:tcPr>
            <w:tcW w:w="3000" w:type="dxa"/>
            <w:vAlign w:val="bottom"/>
          </w:tcPr>
          <w:p>
            <w:pPr>
              <w:spacing w:after="0"/>
              <w:rPr>
                <w:sz w:val="19"/>
                <w:szCs w:val="19"/>
                <w:color w:val="auto"/>
              </w:rPr>
            </w:pPr>
          </w:p>
        </w:tc>
        <w:tc>
          <w:tcPr>
            <w:tcW w:w="8420" w:type="dxa"/>
            <w:vAlign w:val="bottom"/>
            <w:gridSpan w:val="6"/>
          </w:tcPr>
          <w:p>
            <w:pPr>
              <w:ind w:left="1340"/>
              <w:spacing w:after="0"/>
              <w:rPr>
                <w:sz w:val="20"/>
                <w:szCs w:val="20"/>
                <w:color w:val="auto"/>
              </w:rPr>
            </w:pPr>
            <w:r>
              <w:rPr>
                <w:rFonts w:ascii="Arial" w:cs="Arial" w:eastAsia="Arial" w:hAnsi="Arial"/>
                <w:sz w:val="18"/>
                <w:szCs w:val="18"/>
                <w:color w:val="auto"/>
                <w:w w:val="94"/>
              </w:rPr>
              <w:t>equally with all of its existing and future senior indebtedness from time to time outstanding. All</w:t>
            </w:r>
          </w:p>
        </w:tc>
      </w:tr>
    </w:tbl>
    <w:p>
      <w:pPr>
        <w:ind w:left="4340" w:right="220"/>
        <w:spacing w:after="0" w:line="261" w:lineRule="auto"/>
        <w:rPr>
          <w:sz w:val="20"/>
          <w:szCs w:val="20"/>
          <w:color w:val="auto"/>
        </w:rPr>
      </w:pPr>
      <w:r>
        <w:rPr>
          <w:rFonts w:ascii="Arial" w:cs="Arial" w:eastAsia="Arial" w:hAnsi="Arial"/>
          <w:sz w:val="18"/>
          <w:szCs w:val="18"/>
          <w:color w:val="auto"/>
        </w:rPr>
        <w:t>existing and future liabilities of subsidiaries of Texas Instruments Incorporated will be effectively senior to the Notes.</w:t>
      </w:r>
    </w:p>
    <w:p>
      <w:pPr>
        <w:spacing w:after="0" w:line="124" w:lineRule="exact"/>
        <w:rPr>
          <w:sz w:val="20"/>
          <w:szCs w:val="20"/>
          <w:color w:val="auto"/>
        </w:rPr>
      </w:pPr>
    </w:p>
    <w:p>
      <w:pPr>
        <w:ind w:left="4340" w:right="160"/>
        <w:spacing w:after="0" w:line="294" w:lineRule="auto"/>
        <w:rPr>
          <w:sz w:val="20"/>
          <w:szCs w:val="20"/>
          <w:color w:val="auto"/>
        </w:rPr>
      </w:pPr>
      <w:r>
        <w:rPr>
          <w:rFonts w:ascii="Arial" w:cs="Arial" w:eastAsia="Arial" w:hAnsi="Arial"/>
          <w:sz w:val="16"/>
          <w:szCs w:val="16"/>
          <w:color w:val="auto"/>
        </w:rPr>
        <w:t>As of March 31, 2012, Texas Instruments Incorporated had approximately $5.3 billion of outstanding indebtedness. As of March 31, 2012, we had approximately $8.9 billion of total liabilities on a consolidated basis. Of this amount, subsidiaries of Texas Instruments Incorporated had approximately $3.1 billion of liabilities (including trade payables and excluding intercompany debt) to which the Notes will be effectively subordinated.</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or DTC. Except in the limited circumstances described under “Description of the Notes — Book-Entry; Delivery and Form; Global Note,” Notes in certificated form will not be issued or exchanged for interests in global securities.</w:t>
      </w:r>
    </w:p>
    <w:p>
      <w:pPr>
        <w:spacing w:after="0" w:line="107"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laws of the State of New York</w:t>
      </w:r>
    </w:p>
    <w:p>
      <w:pPr>
        <w:spacing w:after="0" w:line="19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The net proceeds of this offering will be used for general corporate purposes, which, among other things, could include repurchases of</w:t>
      </w:r>
    </w:p>
    <w:p>
      <w:pPr>
        <w:spacing w:after="0" w:line="118"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340" w:right="60"/>
        <w:spacing w:after="0" w:line="259" w:lineRule="auto"/>
        <w:rPr>
          <w:sz w:val="20"/>
          <w:szCs w:val="20"/>
          <w:color w:val="auto"/>
        </w:rPr>
      </w:pPr>
      <w:r>
        <w:rPr>
          <w:rFonts w:ascii="Arial" w:cs="Arial" w:eastAsia="Arial" w:hAnsi="Arial"/>
          <w:sz w:val="18"/>
          <w:szCs w:val="18"/>
          <w:color w:val="auto"/>
        </w:rPr>
        <w:t>common stock. See “Use of Proceeds.” In connection with the issuance of the Notes, we may enter into interest rate swap agreements with financial institutions, which may include one or more of the underwriters or their affiliates.</w:t>
      </w:r>
    </w:p>
    <w:p>
      <w:pPr>
        <w:sectPr>
          <w:pgSz w:w="11900" w:h="16838" w:orient="portrait"/>
          <w:cols w:equalWidth="0" w:num="1">
            <w:col w:w="11400"/>
          </w:cols>
          <w:pgMar w:left="240" w:top="459" w:right="25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Texas Instruments Incorporated may create and issue further notes of a series ranking equally and ratably with the applicable series of Notes offered by this prospectus supplement in all respects, so that such further notes of each series will be consolidated and form a single series with the applicable series of Notes offered by this prospectus supplement.</w:t>
      </w:r>
    </w:p>
    <w:p>
      <w:pPr>
        <w:spacing w:after="0" w:line="99"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5"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380"/>
        <w:spacing w:after="0" w:line="259" w:lineRule="auto"/>
        <w:rPr>
          <w:sz w:val="20"/>
          <w:szCs w:val="20"/>
          <w:color w:val="auto"/>
        </w:rPr>
      </w:pPr>
      <w:r>
        <w:rPr>
          <w:rFonts w:ascii="Arial" w:cs="Arial" w:eastAsia="Arial" w:hAnsi="Arial"/>
          <w:sz w:val="18"/>
          <w:szCs w:val="18"/>
          <w:color w:val="auto"/>
        </w:rPr>
        <w:t>Texas Instruments Incorporated may redeem some or all of the Notes at any time at the “make-whole premium” redemption prices indicated under the heading “Description of the Notes — Optional Redemption.”</w:t>
      </w:r>
    </w:p>
    <w:p>
      <w:pPr>
        <w:spacing w:after="0" w:line="127"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are new issues of securities with no established trading market. We do not intend to apply for listing of the Notes on any securities exchange. The underwriters have advised us that they intend to make a market in each series of the Notes, but they are not obligated to do so and may discontinue market-making at any time without notice. See “Underwriting” in this prospectus supplement for more information about possible market-making by the underwriters.</w:t>
      </w:r>
    </w:p>
    <w:p>
      <w:pPr>
        <w:spacing w:after="0" w:line="102"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194"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98" w:lineRule="auto"/>
        <w:rPr>
          <w:sz w:val="20"/>
          <w:szCs w:val="20"/>
          <w:color w:val="auto"/>
        </w:rPr>
      </w:pPr>
      <w:r>
        <w:rPr>
          <w:rFonts w:ascii="Arial" w:cs="Arial" w:eastAsia="Arial" w:hAnsi="Arial"/>
          <w:sz w:val="16"/>
          <w:szCs w:val="16"/>
          <w:color w:val="auto"/>
        </w:rPr>
        <w:t>You should carefully consider all of the information in this prospectus supplement and the accompanying prospectus and the documents incorporated herein by reference. In particular, you should evaluate the information set forth under “Cautionary Note on Forward-Looking Statements” and “Risk Factors” before deciding whether to invest in the Notes.</w:t>
      </w:r>
    </w:p>
    <w:p>
      <w:pPr>
        <w:spacing w:after="0" w:line="99"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6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following table sets forth our summary historical financial information. The summary historical financial information for the years ended December 31, 2011, 2010 and 2009 and as of December 31, 2011 and 2010 has been derived from our audited consolidated financial statements included or incorporated by reference in this prospectus supplement and the accompanying prospectus. The summary historical financial information as of and for the three months ended March 31, 2012 and for the three months ended March 31, 2011 has been derived from our unaudited consolidated financial statements incorporated by reference in this prospectus supplement and the accompanying prospectus.</w:t>
      </w:r>
    </w:p>
    <w:p>
      <w:pPr>
        <w:spacing w:after="0" w:line="10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“Management’s Discussion and Analysis of Financial Condition and Results of Operations,” our consolidated financial statements and the related notes, all included elsewhere or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2" w:lineRule="exact"/>
              <w:rPr>
                <w:sz w:val="20"/>
                <w:szCs w:val="20"/>
                <w:color w:val="auto"/>
              </w:rPr>
            </w:pPr>
            <w:r>
              <w:rPr>
                <w:rFonts w:ascii="Arial" w:cs="Arial" w:eastAsia="Arial" w:hAnsi="Arial"/>
                <w:sz w:val="14"/>
                <w:szCs w:val="14"/>
                <w:color w:val="auto"/>
                <w:w w:val="87"/>
              </w:rPr>
              <w:t>(unaudited)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4"/>
              <w:spacing w:after="0" w:line="142" w:lineRule="exact"/>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Restructuring charges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4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380" w:type="dxa"/>
            <w:vAlign w:val="bottom"/>
            <w:gridSpan w:val="2"/>
          </w:tcPr>
          <w:p>
            <w:pPr>
              <w:jc w:val="right"/>
              <w:ind w:right="2980"/>
              <w:spacing w:after="0"/>
              <w:rPr>
                <w:sz w:val="20"/>
                <w:szCs w:val="20"/>
                <w:color w:val="auto"/>
              </w:rPr>
            </w:pPr>
            <w:r>
              <w:rPr>
                <w:rFonts w:ascii="Arial" w:cs="Arial" w:eastAsia="Arial" w:hAnsi="Arial"/>
                <w:sz w:val="18"/>
                <w:szCs w:val="18"/>
                <w:color w:val="auto"/>
              </w:rPr>
              <w:t>S-5</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$13,735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$13,966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Restructuring charges</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charges/divestiture (gain)</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6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26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4260" w:type="dxa"/>
            <w:vAlign w:val="bottom"/>
            <w:gridSpan w:val="3"/>
          </w:tcPr>
          <w:p>
            <w:pPr>
              <w:ind w:left="41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Basic</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120" w:type="dxa"/>
            <w:vAlign w:val="bottom"/>
          </w:tcPr>
          <w:p>
            <w:pPr>
              <w:spacing w:after="0"/>
              <w:rPr>
                <w:sz w:val="24"/>
                <w:szCs w:val="2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7"/>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40" w:type="dxa"/>
            <w:vAlign w:val="bottom"/>
            <w:gridSpan w:val="4"/>
          </w:tcPr>
          <w:p>
            <w:pPr>
              <w:spacing w:after="0" w:line="142" w:lineRule="exact"/>
              <w:rPr>
                <w:sz w:val="20"/>
                <w:szCs w:val="20"/>
                <w:color w:val="auto"/>
              </w:rPr>
            </w:pPr>
            <w:r>
              <w:rPr>
                <w:rFonts w:ascii="Arial" w:cs="Arial" w:eastAsia="Arial" w:hAnsi="Arial"/>
                <w:sz w:val="14"/>
                <w:szCs w:val="14"/>
                <w:color w:val="auto"/>
                <w:w w:val="87"/>
              </w:rPr>
              <w:t>(unaudited)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2,935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Inventories</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1,788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4,428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20,497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4260" w:type="dxa"/>
            <w:vAlign w:val="bottom"/>
            <w:gridSpan w:val="3"/>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4,211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60" w:type="dxa"/>
            <w:vAlign w:val="bottom"/>
            <w:gridSpan w:val="3"/>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760" w:type="dxa"/>
            <w:vAlign w:val="bottom"/>
            <w:gridSpan w:val="5"/>
          </w:tcPr>
          <w:p>
            <w:pPr>
              <w:jc w:val="right"/>
              <w:ind w:right="20"/>
              <w:spacing w:after="0"/>
              <w:rPr>
                <w:sz w:val="20"/>
                <w:szCs w:val="20"/>
                <w:color w:val="auto"/>
              </w:rPr>
            </w:pPr>
            <w:r>
              <w:rPr>
                <w:rFonts w:ascii="Arial" w:cs="Arial" w:eastAsia="Arial" w:hAnsi="Arial"/>
                <w:sz w:val="18"/>
                <w:szCs w:val="18"/>
                <w:color w:val="auto"/>
              </w:rPr>
              <w:t>$ 11,071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10,952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20,497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60" w:type="dxa"/>
            <w:vAlign w:val="bottom"/>
            <w:gridSpan w:val="3"/>
          </w:tcPr>
          <w:p>
            <w:pPr>
              <w:ind w:left="1020"/>
              <w:spacing w:after="0"/>
              <w:rPr>
                <w:sz w:val="20"/>
                <w:szCs w:val="20"/>
                <w:color w:val="auto"/>
              </w:rPr>
            </w:pPr>
            <w:r>
              <w:rPr>
                <w:rFonts w:ascii="Arial" w:cs="Arial" w:eastAsia="Arial" w:hAnsi="Arial"/>
                <w:sz w:val="18"/>
                <w:szCs w:val="18"/>
                <w:color w:val="auto"/>
              </w:rPr>
              <w:t>S-6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hereby incorporate by reference risk factors in Item 1A of our Quarterly Report on Form 10-Q for the three months ended March 31,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2012, we had approximately $8.9 billion of total liabilities on a consolidated basis. Of this amount, subsidiaries of Texas Instruments Incorporated had approximately $3.1 billion of liabilities (including trade payables and excluding intercompany debt) to which the Notes will be effectively subordinated.</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05"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March 31, 2012, Texas Instruments Incorporated would have had approximately $ billion of total long-term indebtedness (including the Notes), all of which would have been unsecured and unsubordinated.</w:t>
      </w:r>
    </w:p>
    <w:p>
      <w:pPr>
        <w:spacing w:after="0" w:line="12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depending on the levels of its outstanding debt, its ability to obtain additional financing for working capital, capital expenditures, general corporate and other purposes may be limited.</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anticipate that we will receive net proceeds of approximately $ billion from this offering after underwriters discounts and other estimated expenses. The net proceeds of this offering will be used for general corporate purposes, which, among other things, could include repurchases of common stock. Initially we intend to invest the proceeds in certificates of deposit, United States government securities and certain other interest-bearing securities.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8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March 31, 2012. Our consolidated capitalization, as adjusted, gives effect to the issuance of the Notes offered by this prospectus supplement and the application of the estimated net proceeds as described in “Use of Proceeds” as if the offering had occurred on March 31, 2012. This table should be read in conjunction with our consolidated financial statements and the related notes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 share amounts)</w:t>
            </w:r>
          </w:p>
        </w:tc>
        <w:tc>
          <w:tcPr>
            <w:tcW w:w="10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As of March 31, 2012</w:t>
            </w:r>
          </w:p>
        </w:tc>
        <w:tc>
          <w:tcPr>
            <w:tcW w:w="0" w:type="dxa"/>
            <w:vAlign w:val="bottom"/>
          </w:tcPr>
          <w:p>
            <w:pPr>
              <w:spacing w:after="0"/>
              <w:rPr>
                <w:sz w:val="1"/>
                <w:szCs w:val="1"/>
                <w:color w:val="auto"/>
              </w:rPr>
            </w:pPr>
          </w:p>
        </w:tc>
      </w:tr>
      <w:tr>
        <w:trPr>
          <w:trHeight w:val="142"/>
        </w:trPr>
        <w:tc>
          <w:tcPr>
            <w:tcW w:w="9420" w:type="dxa"/>
            <w:vAlign w:val="bottom"/>
            <w:gridSpan w:val="3"/>
            <w:vMerge w:val="continue"/>
          </w:tcPr>
          <w:p>
            <w:pPr>
              <w:spacing w:after="0"/>
              <w:rPr>
                <w:sz w:val="12"/>
                <w:szCs w:val="12"/>
                <w:color w:val="auto"/>
              </w:rPr>
            </w:pPr>
          </w:p>
        </w:tc>
        <w:tc>
          <w:tcPr>
            <w:tcW w:w="94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Historical</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20</w:t>
            </w:r>
          </w:p>
        </w:tc>
        <w:tc>
          <w:tcPr>
            <w:tcW w:w="8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ind w:left="440"/>
              <w:spacing w:after="0"/>
              <w:rPr>
                <w:sz w:val="20"/>
                <w:szCs w:val="20"/>
                <w:color w:val="auto"/>
              </w:rPr>
            </w:pPr>
            <w:r>
              <w:rPr>
                <w:rFonts w:ascii="Arial" w:cs="Arial" w:eastAsia="Arial" w:hAnsi="Arial"/>
                <w:sz w:val="18"/>
                <w:szCs w:val="18"/>
                <w:color w:val="auto"/>
                <w:w w:val="89"/>
              </w:rPr>
              <w:t>20</w:t>
            </w:r>
          </w:p>
        </w:tc>
        <w:tc>
          <w:tcPr>
            <w:tcW w:w="8780" w:type="dxa"/>
            <w:vAlign w:val="bottom"/>
            <w:gridSpan w:val="2"/>
          </w:tcPr>
          <w:p>
            <w:pPr>
              <w:ind w:left="380"/>
              <w:spacing w:after="0"/>
              <w:rPr>
                <w:sz w:val="20"/>
                <w:szCs w:val="20"/>
                <w:color w:val="auto"/>
              </w:rPr>
            </w:pPr>
            <w:r>
              <w:rPr>
                <w:rFonts w:ascii="Arial" w:cs="Arial" w:eastAsia="Arial" w:hAnsi="Arial"/>
                <w:sz w:val="18"/>
                <w:szCs w:val="18"/>
                <w:color w:val="auto"/>
              </w:rPr>
              <w:t>Notes offered hereby</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 long-term debt(1)</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20" w:type="dxa"/>
            <w:vAlign w:val="bottom"/>
            <w:gridSpan w:val="3"/>
          </w:tcPr>
          <w:p>
            <w:pPr>
              <w:ind w:left="440"/>
              <w:spacing w:after="0"/>
              <w:rPr>
                <w:sz w:val="20"/>
                <w:szCs w:val="20"/>
                <w:color w:val="auto"/>
              </w:rPr>
            </w:pPr>
            <w:r>
              <w:rPr>
                <w:rFonts w:ascii="Arial" w:cs="Arial" w:eastAsia="Arial" w:hAnsi="Arial"/>
                <w:sz w:val="18"/>
                <w:szCs w:val="18"/>
                <w:color w:val="auto"/>
              </w:rPr>
              <w:t>Preferred stock, $25 par value</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Authorized – 10,000,000 shares. Participating cumulative preferred. None issued</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Common stock, $1 par value.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8"/>
        </w:trPr>
        <w:tc>
          <w:tcPr>
            <w:tcW w:w="640" w:type="dxa"/>
            <w:vAlign w:val="bottom"/>
            <w:shd w:val="clear" w:color="auto" w:fill="CCEEFF"/>
          </w:tcPr>
          <w:p>
            <w:pPr>
              <w:spacing w:after="0"/>
              <w:rPr>
                <w:sz w:val="20"/>
                <w:szCs w:val="20"/>
                <w:color w:val="auto"/>
              </w:rPr>
            </w:pPr>
          </w:p>
        </w:tc>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Authorized – 2,400,000,000 shares. Shares issued: 1,740,814,489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gridSpan w:val="3"/>
          </w:tcPr>
          <w:p>
            <w:pPr>
              <w:ind w:left="440"/>
              <w:spacing w:after="0"/>
              <w:rPr>
                <w:sz w:val="20"/>
                <w:szCs w:val="20"/>
                <w:color w:val="auto"/>
              </w:rPr>
            </w:pPr>
            <w:r>
              <w:rPr>
                <w:rFonts w:ascii="Arial" w:cs="Arial" w:eastAsia="Arial" w:hAnsi="Arial"/>
                <w:sz w:val="18"/>
                <w:szCs w:val="18"/>
                <w:color w:val="auto"/>
              </w:rPr>
              <w:t>Paid-in-capital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1,112</w:t>
            </w:r>
          </w:p>
        </w:tc>
        <w:tc>
          <w:tcPr>
            <w:tcW w:w="3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26,345</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26,345</w:t>
            </w:r>
          </w:p>
        </w:tc>
        <w:tc>
          <w:tcPr>
            <w:tcW w:w="0" w:type="dxa"/>
            <w:vAlign w:val="bottom"/>
          </w:tcPr>
          <w:p>
            <w:pPr>
              <w:spacing w:after="0"/>
              <w:rPr>
                <w:sz w:val="1"/>
                <w:szCs w:val="1"/>
                <w:color w:val="auto"/>
              </w:rPr>
            </w:pPr>
          </w:p>
        </w:tc>
      </w:tr>
      <w:tr>
        <w:trPr>
          <w:trHeight w:val="216"/>
        </w:trPr>
        <w:tc>
          <w:tcPr>
            <w:tcW w:w="9420" w:type="dxa"/>
            <w:vAlign w:val="bottom"/>
            <w:gridSpan w:val="3"/>
          </w:tcPr>
          <w:p>
            <w:pPr>
              <w:ind w:left="440"/>
              <w:spacing w:after="0"/>
              <w:rPr>
                <w:sz w:val="20"/>
                <w:szCs w:val="20"/>
                <w:color w:val="auto"/>
              </w:rPr>
            </w:pPr>
            <w:r>
              <w:rPr>
                <w:rFonts w:ascii="Arial" w:cs="Arial" w:eastAsia="Arial" w:hAnsi="Arial"/>
                <w:sz w:val="18"/>
                <w:szCs w:val="18"/>
                <w:color w:val="auto"/>
              </w:rPr>
              <w:t>Less treasury common stock at cost (596,461,198 shares)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(17,385)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16"/>
        </w:trPr>
        <w:tc>
          <w:tcPr>
            <w:tcW w:w="9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11,071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15,278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$4.5 billion of our existing outstanding notes plus net unamortized premium of $85 million, which was assumed with our acquisition of National Semiconductor Corporation, less $378 million representing the current portion of long-term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23"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The following table sets forth our ratios of earnings to fixed charges for each of the periods indicated.</w:t>
      </w:r>
    </w:p>
    <w:p>
      <w:pPr>
        <w:spacing w:after="0" w:line="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w:t>
      </w:r>
    </w:p>
    <w:p>
      <w:pPr>
        <w:ind w:left="8300"/>
        <w:spacing w:after="0" w:line="191" w:lineRule="auto"/>
        <w:tabs>
          <w:tab w:leader="none" w:pos="9460" w:val="left"/>
        </w:tabs>
        <w:rPr>
          <w:sz w:val="20"/>
          <w:szCs w:val="20"/>
          <w:color w:val="auto"/>
        </w:rPr>
      </w:pPr>
      <w:r>
        <w:rPr>
          <w:rFonts w:ascii="Arial" w:cs="Arial" w:eastAsia="Arial" w:hAnsi="Arial"/>
          <w:sz w:val="12"/>
          <w:szCs w:val="12"/>
          <w:b w:val="1"/>
          <w:bCs w:val="1"/>
          <w:color w:val="auto"/>
          <w:vertAlign w:val="superscript"/>
        </w:rPr>
        <w:t>Months</w:t>
      </w:r>
      <w:r>
        <w:rPr>
          <w:sz w:val="20"/>
          <w:szCs w:val="20"/>
          <w:color w:val="auto"/>
        </w:rPr>
        <w:tab/>
      </w:r>
      <w:r>
        <w:rPr>
          <w:rFonts w:ascii="Arial" w:cs="Arial" w:eastAsia="Arial" w:hAnsi="Arial"/>
          <w:sz w:val="8"/>
          <w:szCs w:val="8"/>
          <w:b w:val="1"/>
          <w:bCs w:val="1"/>
          <w:color w:val="auto"/>
        </w:rPr>
        <w:t>Year Ended December 31,</w:t>
      </w:r>
    </w:p>
    <w:p>
      <w:pPr>
        <w:spacing w:after="0" w:line="2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-60325</wp:posOffset>
            </wp:positionV>
            <wp:extent cx="1397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jc w:val="center"/>
        <w:ind w:left="5620"/>
        <w:spacing w:after="0" w:line="221" w:lineRule="auto"/>
        <w:rPr>
          <w:sz w:val="20"/>
          <w:szCs w:val="20"/>
          <w:color w:val="auto"/>
        </w:rPr>
      </w:pPr>
      <w:r>
        <w:rPr>
          <w:rFonts w:ascii="Arial" w:cs="Arial" w:eastAsia="Arial" w:hAnsi="Arial"/>
          <w:sz w:val="14"/>
          <w:szCs w:val="14"/>
          <w:b w:val="1"/>
          <w:bCs w:val="1"/>
          <w:color w:val="auto"/>
        </w:rPr>
        <w:t>March 31,</w:t>
      </w:r>
    </w:p>
    <w:p>
      <w:pPr>
        <w:ind w:left="8380"/>
        <w:spacing w:after="0"/>
        <w:tabs>
          <w:tab w:leader="none" w:pos="9200" w:val="left"/>
          <w:tab w:leader="none" w:pos="10020" w:val="left"/>
          <w:tab w:leader="none" w:pos="109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1"/>
          <w:szCs w:val="11"/>
          <w:b w:val="1"/>
          <w:bCs w:val="1"/>
          <w:color w:val="auto"/>
        </w:rPr>
        <w:t>2009</w:t>
      </w:r>
    </w:p>
    <w:tbl>
      <w:tblPr>
        <w:tblLayout w:type="fixed"/>
        <w:tblInd w:w="0" w:type="dxa"/>
        <w:tblCellMar>
          <w:top w:w="0" w:type="dxa"/>
          <w:left w:w="0" w:type="dxa"/>
          <w:bottom w:w="0" w:type="dxa"/>
          <w:right w:w="0" w:type="dxa"/>
        </w:tblCellMar>
      </w:tblP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304.8×</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As adjusted to give effect to the issuance of the Notes in this offering and the application of the net proceeds from this offering as described in “Use of Proceeds” in this prospectus supplement, and assuming the offering had been completed on December 31, 2011, our ratio of earnings to fixed charges would have</w:t>
      </w:r>
    </w:p>
    <w:p>
      <w:pPr>
        <w:spacing w:after="0"/>
        <w:tabs>
          <w:tab w:leader="none" w:pos="900" w:val="left"/>
        </w:tabs>
        <w:rPr>
          <w:sz w:val="20"/>
          <w:szCs w:val="20"/>
          <w:color w:val="auto"/>
        </w:rPr>
      </w:pPr>
      <w:r>
        <w:rPr>
          <w:rFonts w:ascii="Arial" w:cs="Arial" w:eastAsia="Arial" w:hAnsi="Arial"/>
          <w:sz w:val="18"/>
          <w:szCs w:val="18"/>
          <w:color w:val="auto"/>
        </w:rPr>
        <w:t>been</w:t>
      </w:r>
      <w:r>
        <w:rPr>
          <w:sz w:val="20"/>
          <w:szCs w:val="20"/>
          <w:color w:val="auto"/>
        </w:rPr>
        <w:tab/>
      </w:r>
      <w:r>
        <w:rPr>
          <w:rFonts w:ascii="Arial" w:cs="Arial" w:eastAsia="Arial" w:hAnsi="Arial"/>
          <w:sz w:val="18"/>
          <w:szCs w:val="18"/>
          <w:color w:val="auto"/>
        </w:rPr>
        <w:t>x for the three months ended March 31,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Arial" w:cs="Arial" w:eastAsia="Arial" w:hAnsi="Arial"/>
                <w:sz w:val="18"/>
                <w:szCs w:val="18"/>
                <w:b w:val="1"/>
                <w:bCs w:val="1"/>
                <w:color w:val="auto"/>
              </w:rPr>
              <w:t>General</w:t>
            </w:r>
          </w:p>
        </w:tc>
        <w:tc>
          <w:tcPr>
            <w:tcW w:w="2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7"/>
        </w:trPr>
        <w:tc>
          <w:tcPr>
            <w:tcW w:w="1160" w:type="dxa"/>
            <w:vAlign w:val="bottom"/>
          </w:tcPr>
          <w:p>
            <w:pPr>
              <w:ind w:left="460"/>
              <w:spacing w:after="0"/>
              <w:rPr>
                <w:sz w:val="20"/>
                <w:szCs w:val="20"/>
                <w:color w:val="auto"/>
              </w:rPr>
            </w:pPr>
            <w:r>
              <w:rPr>
                <w:rFonts w:ascii="Arial" w:cs="Arial" w:eastAsia="Arial" w:hAnsi="Arial"/>
                <w:sz w:val="18"/>
                <w:szCs w:val="18"/>
                <w:color w:val="auto"/>
              </w:rPr>
              <w:t>The 20</w:t>
            </w:r>
          </w:p>
        </w:tc>
        <w:tc>
          <w:tcPr>
            <w:tcW w:w="2140" w:type="dxa"/>
            <w:vAlign w:val="bottom"/>
          </w:tcPr>
          <w:p>
            <w:pPr>
              <w:ind w:left="200"/>
              <w:spacing w:after="0"/>
              <w:rPr>
                <w:sz w:val="20"/>
                <w:szCs w:val="20"/>
                <w:color w:val="auto"/>
              </w:rPr>
            </w:pPr>
            <w:r>
              <w:rPr>
                <w:rFonts w:ascii="Arial" w:cs="Arial" w:eastAsia="Arial" w:hAnsi="Arial"/>
                <w:sz w:val="18"/>
                <w:szCs w:val="18"/>
                <w:color w:val="auto"/>
              </w:rPr>
              <w:t>Notes will mature on</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 20</w:t>
            </w:r>
          </w:p>
        </w:tc>
        <w:tc>
          <w:tcPr>
            <w:tcW w:w="1120" w:type="dxa"/>
            <w:vAlign w:val="bottom"/>
          </w:tcPr>
          <w:p>
            <w:pPr>
              <w:ind w:left="180"/>
              <w:spacing w:after="0"/>
              <w:rPr>
                <w:sz w:val="20"/>
                <w:szCs w:val="20"/>
                <w:color w:val="auto"/>
              </w:rPr>
            </w:pPr>
            <w:r>
              <w:rPr>
                <w:rFonts w:ascii="Arial" w:cs="Arial" w:eastAsia="Arial" w:hAnsi="Arial"/>
                <w:sz w:val="18"/>
                <w:szCs w:val="18"/>
                <w:color w:val="auto"/>
              </w:rPr>
              <w:t>and the 20</w:t>
            </w:r>
          </w:p>
        </w:tc>
        <w:tc>
          <w:tcPr>
            <w:tcW w:w="1720" w:type="dxa"/>
            <w:vAlign w:val="bottom"/>
          </w:tcPr>
          <w:p>
            <w:pPr>
              <w:ind w:left="200"/>
              <w:spacing w:after="0"/>
              <w:rPr>
                <w:sz w:val="20"/>
                <w:szCs w:val="20"/>
                <w:color w:val="auto"/>
              </w:rPr>
            </w:pPr>
            <w:r>
              <w:rPr>
                <w:rFonts w:ascii="Arial" w:cs="Arial" w:eastAsia="Arial" w:hAnsi="Arial"/>
                <w:sz w:val="18"/>
                <w:szCs w:val="18"/>
                <w:color w:val="auto"/>
                <w:w w:val="91"/>
              </w:rPr>
              <w:t>Notes will mature on</w:t>
            </w:r>
          </w:p>
        </w:tc>
        <w:tc>
          <w:tcPr>
            <w:tcW w:w="480" w:type="dxa"/>
            <w:vAlign w:val="bottom"/>
          </w:tcPr>
          <w:p>
            <w:pPr>
              <w:spacing w:after="0"/>
              <w:rPr>
                <w:sz w:val="24"/>
                <w:szCs w:val="24"/>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 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w w:val="90"/>
              </w:rPr>
              <w:t>. The Notes will be issued in book-entry</w:t>
            </w:r>
          </w:p>
        </w:tc>
      </w:tr>
      <w:tr>
        <w:trPr>
          <w:trHeight w:val="216"/>
        </w:trPr>
        <w:tc>
          <w:tcPr>
            <w:tcW w:w="8500" w:type="dxa"/>
            <w:vAlign w:val="bottom"/>
            <w:gridSpan w:val="7"/>
          </w:tcPr>
          <w:p>
            <w:pPr>
              <w:spacing w:after="0"/>
              <w:rPr>
                <w:sz w:val="20"/>
                <w:szCs w:val="20"/>
                <w:color w:val="auto"/>
              </w:rPr>
            </w:pPr>
            <w:r>
              <w:rPr>
                <w:rFonts w:ascii="Arial" w:cs="Arial" w:eastAsia="Arial" w:hAnsi="Arial"/>
                <w:sz w:val="18"/>
                <w:szCs w:val="18"/>
                <w:color w:val="auto"/>
                <w:w w:val="90"/>
              </w:rPr>
              <w:t>form only, in denominations of $2,000 and multiples of $1,000 thereafter. Interest on the Notes will accrue from August</w:t>
            </w:r>
          </w:p>
        </w:tc>
        <w:tc>
          <w:tcPr>
            <w:tcW w:w="2880" w:type="dxa"/>
            <w:vAlign w:val="bottom"/>
            <w:gridSpan w:val="2"/>
          </w:tcPr>
          <w:p>
            <w:pPr>
              <w:jc w:val="right"/>
              <w:ind w:right="372"/>
              <w:spacing w:after="0"/>
              <w:rPr>
                <w:sz w:val="20"/>
                <w:szCs w:val="20"/>
                <w:color w:val="auto"/>
              </w:rPr>
            </w:pPr>
            <w:r>
              <w:rPr>
                <w:rFonts w:ascii="Arial" w:cs="Arial" w:eastAsia="Arial" w:hAnsi="Arial"/>
                <w:sz w:val="18"/>
                <w:szCs w:val="18"/>
                <w:color w:val="auto"/>
                <w:w w:val="91"/>
              </w:rPr>
              <w:t>, 2012 at the respective rates per</w:t>
            </w:r>
          </w:p>
        </w:tc>
      </w:tr>
      <w:tr>
        <w:trPr>
          <w:trHeight w:val="216"/>
        </w:trPr>
        <w:tc>
          <w:tcPr>
            <w:tcW w:w="7540" w:type="dxa"/>
            <w:vAlign w:val="bottom"/>
            <w:gridSpan w:val="6"/>
          </w:tcPr>
          <w:p>
            <w:pPr>
              <w:spacing w:after="0"/>
              <w:rPr>
                <w:sz w:val="20"/>
                <w:szCs w:val="20"/>
                <w:color w:val="auto"/>
              </w:rPr>
            </w:pPr>
            <w:r>
              <w:rPr>
                <w:rFonts w:ascii="Arial" w:cs="Arial" w:eastAsia="Arial" w:hAnsi="Arial"/>
                <w:sz w:val="18"/>
                <w:szCs w:val="18"/>
                <w:color w:val="auto"/>
                <w:w w:val="91"/>
              </w:rPr>
              <w:t>annum shown on the cover of this prospectus supplement. The Notes will be payable semi-annually on</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and</w:t>
            </w:r>
          </w:p>
        </w:tc>
        <w:tc>
          <w:tcPr>
            <w:tcW w:w="1800" w:type="dxa"/>
            <w:vAlign w:val="bottom"/>
          </w:tcPr>
          <w:p>
            <w:pPr>
              <w:ind w:left="120"/>
              <w:spacing w:after="0"/>
              <w:rPr>
                <w:sz w:val="20"/>
                <w:szCs w:val="20"/>
                <w:color w:val="auto"/>
              </w:rPr>
            </w:pPr>
            <w:r>
              <w:rPr>
                <w:rFonts w:ascii="Arial" w:cs="Arial" w:eastAsia="Arial" w:hAnsi="Arial"/>
                <w:sz w:val="18"/>
                <w:szCs w:val="18"/>
                <w:color w:val="auto"/>
              </w:rPr>
              <w:t>, commencing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2013 to</w:t>
            </w:r>
          </w:p>
        </w:tc>
      </w:tr>
      <w:tr>
        <w:trPr>
          <w:trHeight w:val="222"/>
        </w:trPr>
        <w:tc>
          <w:tcPr>
            <w:tcW w:w="7060" w:type="dxa"/>
            <w:vAlign w:val="bottom"/>
            <w:gridSpan w:val="5"/>
          </w:tcPr>
          <w:p>
            <w:pPr>
              <w:spacing w:after="0"/>
              <w:rPr>
                <w:sz w:val="20"/>
                <w:szCs w:val="20"/>
                <w:color w:val="auto"/>
              </w:rPr>
            </w:pPr>
            <w:r>
              <w:rPr>
                <w:rFonts w:ascii="Arial" w:cs="Arial" w:eastAsia="Arial" w:hAnsi="Arial"/>
                <w:sz w:val="18"/>
                <w:szCs w:val="18"/>
                <w:color w:val="auto"/>
                <w:w w:val="92"/>
              </w:rPr>
              <w:t>the persons in whose names the Notes are registered at the close of business on the preceding</w:t>
            </w:r>
          </w:p>
        </w:tc>
        <w:tc>
          <w:tcPr>
            <w:tcW w:w="480" w:type="dxa"/>
            <w:vAlign w:val="bottom"/>
          </w:tcPr>
          <w:p>
            <w:pPr>
              <w:ind w:left="60"/>
              <w:spacing w:after="0"/>
              <w:rPr>
                <w:sz w:val="20"/>
                <w:szCs w:val="20"/>
                <w:color w:val="auto"/>
              </w:rPr>
            </w:pPr>
            <w:r>
              <w:rPr>
                <w:rFonts w:ascii="Arial" w:cs="Arial" w:eastAsia="Arial" w:hAnsi="Arial"/>
                <w:sz w:val="18"/>
                <w:szCs w:val="18"/>
                <w:color w:val="auto"/>
              </w:rPr>
              <w:t>or</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w w:val="93"/>
              </w:rPr>
              <w:t>, as the case may be. Interest on the Notes will be</w:t>
            </w:r>
          </w:p>
        </w:tc>
      </w:tr>
    </w:tbl>
    <w:p>
      <w:pPr>
        <w:ind w:right="480"/>
        <w:spacing w:after="0" w:line="261" w:lineRule="auto"/>
        <w:rPr>
          <w:sz w:val="20"/>
          <w:szCs w:val="20"/>
          <w:color w:val="auto"/>
        </w:rPr>
      </w:pPr>
      <w:r>
        <w:rPr>
          <w:rFonts w:ascii="Arial" w:cs="Arial" w:eastAsia="Arial" w:hAnsi="Arial"/>
          <w:sz w:val="18"/>
          <w:szCs w:val="18"/>
          <w:color w:val="auto"/>
        </w:rPr>
        <w:t>paid to but excluding the relevant interest payment date. Interest on the Notes will be calculated on the basis of a 360-day year comprised of twelve 30-day months.</w:t>
      </w:r>
    </w:p>
    <w:p>
      <w:pPr>
        <w:spacing w:after="0" w:line="12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2012, Texas Instruments Incorporated had approximately $5.3 billion of outstanding indebtedness. As of March 31, 2012, we had approximately $8.9 billion of total liabilities on a consolidated basis. Of this amount, subsidiaries of Texas Instruments Incorporated had approximately $3.1 billion of liabilities (including trade payables and excluding intercompany debt) to which the Notes will be effectively subordinated.</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March 31, 2012:</w:t>
      </w:r>
    </w:p>
    <w:p>
      <w:pPr>
        <w:sectPr>
          <w:pgSz w:w="11900" w:h="16838" w:orient="portrait"/>
          <w:cols w:equalWidth="0" w:num="1">
            <w:col w:w="11380"/>
          </w:cols>
          <w:pgMar w:left="240" w:top="459" w:right="279" w:bottom="1440" w:gutter="0" w:footer="0" w:header="0"/>
        </w:sectPr>
      </w:pPr>
    </w:p>
    <w:p>
      <w:pPr>
        <w:spacing w:after="0" w:line="37" w:lineRule="exact"/>
        <w:rPr>
          <w:sz w:val="20"/>
          <w:szCs w:val="20"/>
          <w:color w:val="auto"/>
        </w:rPr>
      </w:pPr>
    </w:p>
    <w:p>
      <w:pPr>
        <w:ind w:left="660" w:hanging="199"/>
        <w:spacing w:after="0" w:line="325" w:lineRule="auto"/>
        <w:tabs>
          <w:tab w:leader="none" w:pos="640" w:val="left"/>
        </w:tabs>
        <w:rPr>
          <w:sz w:val="20"/>
          <w:szCs w:val="20"/>
          <w:color w:val="auto"/>
        </w:rPr>
      </w:pPr>
      <w:r>
        <w:rPr>
          <w:rFonts w:ascii="Arial" w:cs="Arial" w:eastAsia="Arial" w:hAnsi="Arial"/>
          <w:sz w:val="16"/>
          <w:szCs w:val="16"/>
          <w:color w:val="auto"/>
        </w:rPr>
        <w:t>•</w:t>
        <w:tab/>
        <w:t>Texas Instruments Incorporated would have had approximately $ would constitute senior and unsubordinated indebtedness;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billion of total long-term indebtedness (including the Notes), all of which</w:t>
      </w:r>
    </w:p>
    <w:p>
      <w:pPr>
        <w:spacing w:after="0" w:line="315" w:lineRule="exact"/>
        <w:rPr>
          <w:sz w:val="20"/>
          <w:szCs w:val="20"/>
          <w:color w:val="auto"/>
        </w:rPr>
      </w:pPr>
    </w:p>
    <w:p>
      <w:pPr>
        <w:sectPr>
          <w:pgSz w:w="11900" w:h="16838" w:orient="portrait"/>
          <w:cols w:equalWidth="0" w:num="2">
            <w:col w:w="5240" w:space="620"/>
            <w:col w:w="5520"/>
          </w:cols>
          <w:pgMar w:left="240" w:top="459" w:right="279" w:bottom="1440" w:gutter="0" w:footer="0" w:header="0"/>
          <w:type w:val="continuous"/>
        </w:sect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billion of total liabilities on a consolidated basis;</w:t>
      </w:r>
    </w:p>
    <w:p>
      <w:pPr>
        <w:spacing w:after="0" w:line="126" w:lineRule="exact"/>
        <w:rPr>
          <w:sz w:val="20"/>
          <w:szCs w:val="20"/>
          <w:color w:val="auto"/>
        </w:rPr>
      </w:pPr>
    </w:p>
    <w:p>
      <w:pPr>
        <w:sectPr>
          <w:pgSz w:w="11900" w:h="16838" w:orient="portrait"/>
          <w:cols w:equalWidth="0" w:num="2">
            <w:col w:w="3220" w:space="620"/>
            <w:col w:w="7540"/>
          </w:cols>
          <w:pgMar w:left="240" w:top="459" w:right="279" w:bottom="1440" w:gutter="0" w:footer="0" w:header="0"/>
          <w:type w:val="continuous"/>
        </w:sect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26" w:lineRule="exact"/>
        <w:rPr>
          <w:rFonts w:ascii="Arial" w:cs="Arial" w:eastAsia="Arial" w:hAnsi="Arial"/>
          <w:sz w:val="16"/>
          <w:szCs w:val="16"/>
          <w:color w:val="auto"/>
        </w:rPr>
      </w:pPr>
    </w:p>
    <w:p>
      <w:pPr>
        <w:ind w:left="660" w:right="7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$3.1 billion of liabilities (including trade payables but excluding intercompany debt) to which the Notes would have been structurally subordinated.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any series of Notes by issuing additional Notes of such series in the future on the same terms and conditions,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except for any differences in the issue price and interest accrued prior to the issue date of the additional Notes.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Notes will be redeemable, in whole or in part at any time, or from time to time, at Texas Instruments Incorporated’s option, each at a “make-whole premium” redemption price calculated by Texas Instruments Incorporated equal to the greater of:</w:t>
      </w:r>
    </w:p>
    <w:p>
      <w:pPr>
        <w:spacing w:after="0" w:line="37" w:lineRule="exact"/>
        <w:rPr>
          <w:sz w:val="20"/>
          <w:szCs w:val="20"/>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(not including any portion of such payments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of interest accrued as of the date of redemption), discounted to the date of redemption on a semi-annual basis (assuming a 360-day year consisting of</w:t>
      </w:r>
    </w:p>
    <w:p>
      <w:pPr>
        <w:spacing w:after="0" w:line="248"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twelve 30-day months) at the Treasury Rate (as defined below), plus basis points with respect to the 20 Notes and basis points with respect to the 20 Notes.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plus, in each case, accrued interest thereon to the date of redemption. 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“Reference Treasury Dealer” means (i) Citigroup Global Markets Inc., J.P. Morgan Securities LLC, Morgan Stanley &amp; Co. LLC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77" w:lineRule="exact"/>
        <w:rPr>
          <w:sz w:val="20"/>
          <w:szCs w:val="20"/>
          <w:color w:val="auto"/>
        </w:rPr>
      </w:pPr>
    </w:p>
    <w:p>
      <w:pPr>
        <w:ind w:left="660" w:right="240" w:hanging="206"/>
        <w:spacing w:after="0" w:line="347"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26"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26" w:lineRule="exact"/>
        <w:rPr>
          <w:rFonts w:ascii="Arial" w:cs="Arial" w:eastAsia="Arial" w:hAnsi="Arial"/>
          <w:sz w:val="16"/>
          <w:szCs w:val="16"/>
          <w:color w:val="auto"/>
        </w:rPr>
      </w:pPr>
    </w:p>
    <w:p>
      <w:pPr>
        <w:ind w:left="900" w:right="200" w:hanging="217"/>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w:t>
      </w:r>
    </w:p>
    <w:p>
      <w:pPr>
        <w:spacing w:after="0" w:line="103" w:lineRule="exact"/>
        <w:rPr>
          <w:rFonts w:ascii="Arial" w:cs="Arial" w:eastAsia="Arial" w:hAnsi="Arial"/>
          <w:sz w:val="18"/>
          <w:szCs w:val="18"/>
          <w:color w:val="auto"/>
        </w:rPr>
      </w:pPr>
    </w:p>
    <w:p>
      <w:pPr>
        <w:ind w:left="900" w:right="40" w:hanging="217"/>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217"/>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 — Modification and Waiver.”</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2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02"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Clearstream participant to a DTC participant will be received with value on the DTC settlement date, but will be available in the relevant Euroclear or Clearstream cash account only as of the business day following settlement in DTC.</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Texas Instruments Incorporated does not currently have any other relationships with the trustee, but in the future may enter into ordinary banking relationships with affiliates of the trustee.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3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purposes. If, however, the Notes’ principal amount exceeds the issue price by at least a de minimis amount, as 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7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of principal and interest on the Notes to you will not be subject to U.S. federal income or withholding tax, provided that, in the case of interest,</w:t>
      </w:r>
    </w:p>
    <w:p>
      <w:pPr>
        <w:spacing w:after="0" w:line="10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certify on a properly executed IRS Form W-8BEN (or other applicable form), under penalties of perjury, that you are not a United States person or you otherwise satisfy certification requirements applicable to Notes held through certain intermediaries;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you cannot satisfy one of the first three requirements described above and interest on the Notes is not effectively connected with your conduct of a trade or business in the United States as described below, payments of interest on the Notes will be subject to withholding tax at a rate of 30%, subject to an applicable treaty providing otherwise.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taxed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legislation enacted in 2010 and recent administrative guidance, the relevant withholding agent may be required to withhold 30% on payments of interest income (as proposed, beginning in 2014) and the gross proceeds from a disposition of debt obligations (as proposed, beginning in 2015) to (1) a “foreign financial institution” (which is broadly defined for this purpose) unless such foreign financial institution agrees to verify, report and disclose its U.S. account holders and meets certain other specified requirements or (2) a non-financial foreign entity that is the beneficial owner of the payment unless such entity certifies that it does not have any substantial U.S. owners or provides the name, address and taxpayer identification number of each substantial U.S. owner and such entity meets certain other specified requirements. The legislation contains a grandfathering provision that exempts from withholding any payment under, or gross proceeds from a disposition of, an obligation that is outstanding on March 18, 2012, and proposed Treasury Regulations would extend this grandfathering provision to obligations that are outstanding on January 1, 2013. These proposed Treasury Regulations are not effective until finalized, however, and unless and until they are so finalized, taxpayers are not entitled to rely on them. Non-U.S. Holders should consult their tax advisers regarding this legislation and whether it may be relevant to their ownership and disposition of the Notes.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Citigroup Global Markets Inc., J.P. Morgan Securities LLC and Morgan Stanley &amp; Co. LLC are acting as representatives of the underwriters named below. Subject to the terms and conditions stated in the underwriting agreement dated the date of this prospectus supplement, each underwriter named below has</w:t>
      </w:r>
    </w:p>
    <w:p>
      <w:pPr>
        <w:ind w:right="280"/>
        <w:spacing w:after="0" w:line="261" w:lineRule="auto"/>
        <w:rPr>
          <w:sz w:val="20"/>
          <w:szCs w:val="20"/>
          <w:color w:val="auto"/>
        </w:rPr>
      </w:pPr>
      <w:r>
        <w:rPr>
          <w:rFonts w:ascii="Arial" w:cs="Arial" w:eastAsia="Arial" w:hAnsi="Arial"/>
          <w:sz w:val="18"/>
          <w:szCs w:val="18"/>
          <w:color w:val="auto"/>
        </w:rPr>
        <w:t>severally agreed to purchase, and we have agreed to sell to that underwriter, the principal amount of the 20 Notes and 20 Notes set forth opposite the underwriter’s name.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4160" w:type="dxa"/>
            <w:vAlign w:val="bottom"/>
            <w:vMerge w:val="restart"/>
          </w:tcPr>
          <w:p>
            <w:pPr>
              <w:spacing w:after="0"/>
              <w:rPr>
                <w:sz w:val="14"/>
                <w:szCs w:val="14"/>
                <w:color w:val="auto"/>
              </w:rPr>
            </w:pPr>
          </w:p>
        </w:tc>
        <w:tc>
          <w:tcPr>
            <w:tcW w:w="28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 Amount of</w:t>
            </w:r>
          </w:p>
        </w:tc>
        <w:tc>
          <w:tcPr>
            <w:tcW w:w="1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332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w:t>
            </w:r>
          </w:p>
        </w:tc>
        <w:tc>
          <w:tcPr>
            <w:tcW w:w="68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Notes</w:t>
            </w:r>
          </w:p>
        </w:tc>
        <w:tc>
          <w:tcPr>
            <w:tcW w:w="170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w:t>
            </w:r>
          </w:p>
        </w:tc>
        <w:tc>
          <w:tcPr>
            <w:tcW w:w="78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28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28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prices set forth on the cover of this prospectus supplement. Any Notes sold by the underwriters to securities dealers may be sold at a discount from the initial public offering prices not to exceed % per 20 Note and % per 20 Note. Any such securities dealers may resell any Notes purchased from the underwriters to certain other brokers or dealers at a discount from the initial public offering prices not to exceed % per 20 Note and % per 20 Note. If all the Notes are not sold at the initial offering prices, the underwriters may change the offering price and the other selling terms.</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4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46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Incorporated</w:t>
            </w:r>
          </w:p>
        </w:tc>
      </w:tr>
      <w:tr>
        <w:trPr>
          <w:trHeight w:val="210"/>
        </w:trPr>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2"/>
              </w:rPr>
              <w:t>Per 20</w:t>
            </w:r>
          </w:p>
        </w:tc>
        <w:tc>
          <w:tcPr>
            <w:tcW w:w="56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w:t>
            </w:r>
          </w:p>
        </w:tc>
        <w:tc>
          <w:tcPr>
            <w:tcW w:w="45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w w:val="82"/>
              </w:rPr>
              <w:t>Per 20</w:t>
            </w:r>
          </w:p>
        </w:tc>
        <w:tc>
          <w:tcPr>
            <w:tcW w:w="5620" w:type="dxa"/>
            <w:vAlign w:val="bottom"/>
          </w:tcPr>
          <w:p>
            <w:pPr>
              <w:ind w:left="400"/>
              <w:spacing w:after="0"/>
              <w:rPr>
                <w:sz w:val="20"/>
                <w:szCs w:val="20"/>
                <w:color w:val="auto"/>
              </w:rPr>
            </w:pPr>
            <w:r>
              <w:rPr>
                <w:rFonts w:ascii="Arial" w:cs="Arial" w:eastAsia="Arial" w:hAnsi="Arial"/>
                <w:sz w:val="18"/>
                <w:szCs w:val="18"/>
                <w:color w:val="auto"/>
              </w:rPr>
              <w:t>Note</w:t>
            </w:r>
          </w:p>
        </w:tc>
        <w:tc>
          <w:tcPr>
            <w:tcW w:w="5340" w:type="dxa"/>
            <w:vAlign w:val="bottom"/>
            <w:gridSpan w:val="2"/>
          </w:tcPr>
          <w:p>
            <w:pPr>
              <w:jc w:val="center"/>
              <w:ind w:left="4452"/>
              <w:spacing w:after="0"/>
              <w:rPr>
                <w:sz w:val="20"/>
                <w:szCs w:val="20"/>
                <w:color w:val="auto"/>
              </w:rPr>
            </w:pPr>
            <w:r>
              <w:rPr>
                <w:rFonts w:ascii="Arial" w:cs="Arial" w:eastAsia="Arial" w:hAnsi="Arial"/>
                <w:sz w:val="18"/>
                <w:szCs w:val="18"/>
                <w:color w:val="auto"/>
                <w:w w:val="99"/>
              </w:rPr>
              <w:t>%</w:t>
            </w:r>
          </w:p>
        </w:tc>
      </w:tr>
      <w:tr>
        <w:trPr>
          <w:trHeight w:val="356"/>
        </w:trPr>
        <w:tc>
          <w:tcPr>
            <w:tcW w:w="46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3"/>
              </w:rPr>
              <w:t>We estimate that our total expenses for this offering will be approximately $</w:t>
            </w:r>
          </w:p>
        </w:tc>
        <w:tc>
          <w:tcPr>
            <w:tcW w:w="4540" w:type="dxa"/>
            <w:vAlign w:val="bottom"/>
          </w:tcPr>
          <w:p>
            <w:pPr>
              <w:jc w:val="right"/>
              <w:ind w:right="41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r>
    </w:tbl>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supplement, which will be the business day following the date of the pricing of the Notes. Under Rule 15c6-1 of the Exchange Act, trades in the secondary market generally are required to settle in three business days, unless the parties to a trade expressly agree otherwise. Accordingly, purchasers who wish</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 trade Notes on the date of pricing or the next succeeding business day will be required, by virtue of the fact that the Notes initially will settle in T+ , to specify alternative settlement arrangements to prevent a failed settlement.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 In connection with the issuance of the Notes, we may enter into interest rate swap agreements with financial institutions, which may include one or more of the underwriters or their affiliates.</w:t>
      </w:r>
    </w:p>
    <w:p>
      <w:pPr>
        <w:spacing w:after="0" w:line="11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18"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6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360" w:hanging="206"/>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consolidated financial statements, incorporated by reference in our Annual Report (Form 10-K) for the year ended December 31, 2011,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 supplement:</w:t>
      </w:r>
    </w:p>
    <w:p>
      <w:pPr>
        <w:spacing w:after="0" w:line="129" w:lineRule="exact"/>
        <w:rPr>
          <w:sz w:val="20"/>
          <w:szCs w:val="20"/>
          <w:color w:val="auto"/>
        </w:rPr>
      </w:pPr>
    </w:p>
    <w:p>
      <w:pPr>
        <w:ind w:right="20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Reports on Form 8-K filed on January 23, 2012, February 17, 2012, April 23, 2012, and June 5, 2012, excepting any portions of such reports which were furnished but not filed,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2012, filed on May 4, 2012, and</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24, 2012.</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supplement or the accompanying prospectus.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246380</wp:posOffset>
            </wp:positionV>
            <wp:extent cx="2667000" cy="626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2420" w:type="dxa"/>
            <w:vAlign w:val="bottom"/>
          </w:tcPr>
          <w:p>
            <w:pPr>
              <w:ind w:left="22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w w:val="82"/>
              </w:rPr>
              <w:t>Warrants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Preferred stock</w:t>
            </w:r>
          </w:p>
        </w:tc>
        <w:tc>
          <w:tcPr>
            <w:tcW w:w="2420" w:type="dxa"/>
            <w:vAlign w:val="bottom"/>
          </w:tcPr>
          <w:p>
            <w:pPr>
              <w:ind w:left="22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rPr>
              <w:t>Units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Debt securities</w:t>
            </w:r>
          </w:p>
        </w:tc>
        <w:tc>
          <w:tcPr>
            <w:tcW w:w="24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5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Maturity</w:t>
            </w:r>
          </w:p>
        </w:tc>
        <w:tc>
          <w:tcPr>
            <w:tcW w:w="980" w:type="dxa"/>
            <w:vAlign w:val="bottom"/>
          </w:tcPr>
          <w:p>
            <w:pPr>
              <w:ind w:left="840"/>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4120" w:type="dxa"/>
            <w:vAlign w:val="bottom"/>
            <w:gridSpan w:val="2"/>
          </w:tcPr>
          <w:p>
            <w:pPr>
              <w:ind w:left="840"/>
              <w:spacing w:after="0"/>
              <w:rPr>
                <w:sz w:val="20"/>
                <w:szCs w:val="20"/>
                <w:color w:val="auto"/>
              </w:rPr>
            </w:pPr>
            <w:r>
              <w:rPr>
                <w:rFonts w:ascii="Arial" w:cs="Arial" w:eastAsia="Arial" w:hAnsi="Arial"/>
                <w:sz w:val="18"/>
                <w:szCs w:val="18"/>
                <w:color w:val="auto"/>
              </w:rPr>
              <w:t>•  Listing on a security exchange</w:t>
            </w:r>
          </w:p>
        </w:tc>
        <w:tc>
          <w:tcPr>
            <w:tcW w:w="1060" w:type="dxa"/>
            <w:vAlign w:val="bottom"/>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120" w:type="dxa"/>
            <w:vAlign w:val="bottom"/>
            <w:gridSpan w:val="2"/>
          </w:tcPr>
          <w:p>
            <w:pPr>
              <w:ind w:left="840"/>
              <w:spacing w:after="0"/>
              <w:rPr>
                <w:sz w:val="20"/>
                <w:szCs w:val="20"/>
                <w:color w:val="auto"/>
              </w:rPr>
            </w:pPr>
            <w:r>
              <w:rPr>
                <w:rFonts w:ascii="Arial" w:cs="Arial" w:eastAsia="Arial" w:hAnsi="Arial"/>
                <w:sz w:val="18"/>
                <w:szCs w:val="18"/>
                <w:color w:val="auto"/>
              </w:rPr>
              <w:t>•  Amount payable at maturity</w:t>
            </w:r>
          </w:p>
        </w:tc>
        <w:tc>
          <w:tcPr>
            <w:tcW w:w="1060" w:type="dxa"/>
            <w:vAlign w:val="bottom"/>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Sinking fund terms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980" w:type="dxa"/>
            <w:vAlign w:val="bottom"/>
          </w:tcPr>
          <w:p>
            <w:pPr>
              <w:ind w:left="840"/>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Common Stock is quoted on the New York Stock Exchange under the ticker symbol TXN. On February 23, 2010, the reported last sale price on the New York Stock Exchange for our Common Stock was $24.30.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52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2009,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24, 2010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in any supplement hereto or in any related free-writing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5"/>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68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160" w:type="dxa"/>
            <w:vAlign w:val="bottom"/>
            <w:gridSpan w:val="14"/>
            <w:vMerge w:val="continue"/>
          </w:tcPr>
          <w:p>
            <w:pPr>
              <w:spacing w:after="0"/>
              <w:rPr>
                <w:sz w:val="13"/>
                <w:szCs w:val="13"/>
                <w:color w:val="auto"/>
              </w:rPr>
            </w:pPr>
          </w:p>
        </w:tc>
        <w:tc>
          <w:tcPr>
            <w:tcW w:w="688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22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3322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318" w:lineRule="auto"/>
        <w:rPr>
          <w:sz w:val="20"/>
          <w:szCs w:val="20"/>
          <w:color w:val="auto"/>
        </w:rPr>
      </w:pPr>
      <w:r>
        <w:rPr>
          <w:rFonts w:ascii="Arial" w:cs="Arial" w:eastAsia="Arial" w:hAnsi="Arial"/>
          <w:sz w:val="15"/>
          <w:szCs w:val="15"/>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 We were the world’s fourth largest semiconductor company in 2009 as measured by revenue, according to preliminary estimates from an external source. Additionally, we sell calculators and related products.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(972) 995-3773.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Report on Form 8-K filed on February 19, 2010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 filed on February 23, 2010.</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Forward-looking statements describe our business strategy, outlook, objectives, plans, intentions or goals. All such forward-looking statements are subject to certain risks and uncertainties that could cause actual results to differ materially from those in forward-looking statements. Such statements address future events and conditions concerning:</w:t>
      </w:r>
    </w:p>
    <w:p>
      <w:pPr>
        <w:spacing w:after="0" w:line="35"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rates and dividends,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overall economy of our industry segments.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things such as:</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TI and its customers and suppliers to access their bank accounts and lines of credit or otherwise access the capital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lists are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0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2220" w:type="dxa"/>
            <w:vAlign w:val="bottom"/>
            <w:tcBorders>
              <w:top w:val="single" w:sz="8" w:color="auto"/>
              <w:bottom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62"/>
              <w:spacing w:after="0" w:line="156"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82"/>
              <w:spacing w:after="0" w:line="156"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82"/>
              <w:spacing w:after="0" w:line="156"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22"/>
              <w:spacing w:after="0" w:line="156" w:lineRule="exact"/>
              <w:rPr>
                <w:sz w:val="20"/>
                <w:szCs w:val="20"/>
                <w:color w:val="auto"/>
              </w:rPr>
            </w:pPr>
            <w:r>
              <w:rPr>
                <w:rFonts w:ascii="Arial" w:cs="Arial" w:eastAsia="Arial" w:hAnsi="Arial"/>
                <w:sz w:val="14"/>
                <w:szCs w:val="14"/>
                <w:b w:val="1"/>
                <w:bCs w:val="1"/>
                <w:color w:val="auto"/>
              </w:rPr>
              <w:t>2005</w:t>
            </w:r>
          </w:p>
        </w:tc>
      </w:tr>
      <w:tr>
        <w:trPr>
          <w:trHeight w:val="88"/>
        </w:trPr>
        <w:tc>
          <w:tcPr>
            <w:tcW w:w="2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80" w:type="dxa"/>
            <w:vAlign w:val="bottom"/>
          </w:tcPr>
          <w:p>
            <w:pPr>
              <w:spacing w:after="0"/>
              <w:rPr>
                <w:sz w:val="7"/>
                <w:szCs w:val="7"/>
                <w:color w:val="auto"/>
              </w:rPr>
            </w:pPr>
          </w:p>
        </w:tc>
      </w:tr>
      <w:tr>
        <w:trPr>
          <w:trHeight w:val="216"/>
        </w:trPr>
        <w:tc>
          <w:tcPr>
            <w:tcW w:w="25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127.9x</w:t>
            </w:r>
          </w:p>
        </w:tc>
        <w:tc>
          <w:tcPr>
            <w:tcW w:w="21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109.5x</w:t>
            </w:r>
          </w:p>
        </w:tc>
        <w:tc>
          <w:tcPr>
            <w:tcW w:w="21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154.7x</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94.1x</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70.2x</w:t>
            </w: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of January 31, 2010, there were 1,241,888,536 shares of common stock outstanding which were held of record by 24,136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New York Stock Exchange. The transfer agent and registrar for our common stock is Computershare Investor Services, LLC,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2010,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to be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 certificate,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indenture, we will not issue or assume any debt for money borrowed (which, including guarantees of debt for borrowed money, we refer to as “</w:t>
      </w:r>
      <w:r>
        <w:rPr>
          <w:rFonts w:ascii="Arial" w:cs="Arial" w:eastAsia="Arial" w:hAnsi="Arial"/>
          <w:sz w:val="16"/>
          <w:szCs w:val="16"/>
          <w:b w:val="1"/>
          <w:bCs w:val="1"/>
          <w:color w:val="auto"/>
        </w:rPr>
        <w:t>debt</w:t>
      </w:r>
      <w:r>
        <w:rPr>
          <w:rFonts w:ascii="Arial" w:cs="Arial" w:eastAsia="Arial" w:hAnsi="Arial"/>
          <w:sz w:val="16"/>
          <w:szCs w:val="16"/>
          <w:color w:val="auto"/>
        </w:rPr>
        <w:t>”), if the debt is secured by a mortgage, pledge, lien or other encumbrance (which we refer to as a “</w:t>
      </w:r>
      <w:r>
        <w:rPr>
          <w:rFonts w:ascii="Arial" w:cs="Arial" w:eastAsia="Arial" w:hAnsi="Arial"/>
          <w:sz w:val="16"/>
          <w:szCs w:val="16"/>
          <w:b w:val="1"/>
          <w:bCs w:val="1"/>
          <w:color w:val="auto"/>
        </w:rPr>
        <w:t>mortgage</w:t>
      </w:r>
      <w:r>
        <w:rPr>
          <w:rFonts w:ascii="Arial" w:cs="Arial" w:eastAsia="Arial" w:hAnsi="Arial"/>
          <w:sz w:val="16"/>
          <w:szCs w:val="16"/>
          <w:color w:val="auto"/>
        </w:rPr>
        <w:t>”) upon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2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default in the payment of principal or premium on the debt securities of such series when due and payable whether at maturity, upon acceleration, redemption, or otherwise, if that default continues for a period of five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60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either the trustee or the holders of not less than 25% in aggregate principal amount of the debt securities of all series then outstanding under the indenture (treated as one class) may, by written notice to us and to the trustee, if such notice is given by the holders, declare the entire principal amount of, and accrued interest, if any, on each series of debt securities then outstanding to be immediately due and payable.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incorporated by reference in our Annual Report on Form 10-K for the year ended December 31, 2009, and management’s assessment of the effectiveness of our internal control over financial reporting as of December 31, 2009, as set forth in their reports, which are incorporated by reference in this prospectus and elsewhere in the registration statement. Our financial statements and management’s assessment are incorporated by reference in reliance on Ernst &amp; Young LLP’s reports, given 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4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178435</wp:posOffset>
            </wp:positionV>
            <wp:extent cx="2667000" cy="626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40"/>
        <w:spacing w:after="0"/>
        <w:tabs>
          <w:tab w:leader="none" w:pos="4860" w:val="left"/>
        </w:tabs>
        <w:rPr>
          <w:sz w:val="20"/>
          <w:szCs w:val="20"/>
          <w:color w:val="auto"/>
        </w:rPr>
      </w:pPr>
      <w:r>
        <w:rPr>
          <w:rFonts w:ascii="Arial" w:cs="Arial" w:eastAsia="Arial" w:hAnsi="Arial"/>
          <w:sz w:val="32"/>
          <w:szCs w:val="32"/>
          <w:b w:val="1"/>
          <w:bCs w:val="1"/>
          <w:color w:val="auto"/>
        </w:rPr>
        <w:t>$</w:t>
      </w:r>
      <w:r>
        <w:rPr>
          <w:sz w:val="20"/>
          <w:szCs w:val="20"/>
          <w:color w:val="auto"/>
        </w:rPr>
        <w:tab/>
      </w:r>
      <w:r>
        <w:rPr>
          <w:rFonts w:ascii="Arial" w:cs="Arial" w:eastAsia="Arial" w:hAnsi="Arial"/>
          <w:sz w:val="32"/>
          <w:szCs w:val="32"/>
          <w:b w:val="1"/>
          <w:bCs w:val="1"/>
          <w:color w:val="auto"/>
        </w:rPr>
        <w:t>% Notes due 20</w:t>
      </w:r>
    </w:p>
    <w:p>
      <w:pPr>
        <w:spacing w:after="0" w:line="33" w:lineRule="exact"/>
        <w:rPr>
          <w:sz w:val="20"/>
          <w:szCs w:val="20"/>
          <w:color w:val="auto"/>
        </w:rPr>
      </w:pPr>
    </w:p>
    <w:p>
      <w:pPr>
        <w:ind w:left="3740"/>
        <w:spacing w:after="0"/>
        <w:tabs>
          <w:tab w:leader="none" w:pos="4860" w:val="left"/>
        </w:tabs>
        <w:rPr>
          <w:sz w:val="20"/>
          <w:szCs w:val="20"/>
          <w:color w:val="auto"/>
        </w:rPr>
      </w:pPr>
      <w:r>
        <w:rPr>
          <w:rFonts w:ascii="Arial" w:cs="Arial" w:eastAsia="Arial" w:hAnsi="Arial"/>
          <w:sz w:val="32"/>
          <w:szCs w:val="32"/>
          <w:b w:val="1"/>
          <w:bCs w:val="1"/>
          <w:color w:val="auto"/>
        </w:rPr>
        <w:t>$</w:t>
      </w:r>
      <w:r>
        <w:rPr>
          <w:sz w:val="20"/>
          <w:szCs w:val="20"/>
          <w:color w:val="auto"/>
        </w:rPr>
        <w:tab/>
      </w:r>
      <w:r>
        <w:rPr>
          <w:rFonts w:ascii="Arial" w:cs="Arial" w:eastAsia="Arial" w:hAnsi="Arial"/>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138430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PRELIMINARY PROSPECTUS SUPPLEMENT</w:t>
      </w:r>
    </w:p>
    <w:p>
      <w:pPr>
        <w:spacing w:after="0" w:line="181" w:lineRule="exact"/>
        <w:rPr>
          <w:sz w:val="20"/>
          <w:szCs w:val="20"/>
          <w:color w:val="auto"/>
        </w:rPr>
      </w:pPr>
    </w:p>
    <w:p>
      <w:pPr>
        <w:ind w:left="5140"/>
        <w:spacing w:after="0"/>
        <w:tabs>
          <w:tab w:leader="none" w:pos="5840" w:val="left"/>
        </w:tabs>
        <w:rPr>
          <w:sz w:val="20"/>
          <w:szCs w:val="20"/>
          <w:color w:val="auto"/>
        </w:rPr>
      </w:pPr>
      <w:r>
        <w:rPr>
          <w:rFonts w:ascii="Arial" w:cs="Arial" w:eastAsia="Arial" w:hAnsi="Arial"/>
          <w:sz w:val="18"/>
          <w:szCs w:val="18"/>
          <w:b w:val="1"/>
          <w:bCs w:val="1"/>
          <w:color w:val="auto"/>
        </w:rPr>
        <w:t>July</w:t>
      </w:r>
      <w:r>
        <w:rPr>
          <w:sz w:val="20"/>
          <w:szCs w:val="20"/>
          <w:color w:val="auto"/>
        </w:rPr>
        <w:tab/>
      </w: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23"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Citigroup</w:t>
      </w:r>
    </w:p>
    <w:p>
      <w:pPr>
        <w:spacing w:after="0" w:line="5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J.P. Morgan</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Morgan Stanley</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lowerRoman"/>
      <w:start w:val="1"/>
    </w:lvl>
  </w:abstractNum>
  <w:abstractNum w:abstractNumId="10">
    <w:nsid w:val="836C40E"/>
    <w:multiLevelType w:val="hybridMultilevel"/>
    <w:lvl w:ilvl="0">
      <w:lvlJc w:val="left"/>
      <w:lvlText w:val="•"/>
      <w:numFmt w:val="bullet"/>
      <w:start w:val="1"/>
    </w:lvl>
    <w:lvl w:ilvl="1">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Roman"/>
      <w:start w:val="3"/>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lvl w:ilvl="1">
      <w:lvlJc w:val="left"/>
      <w:lvlText w:val="•"/>
      <w:numFmt w:val="bullet"/>
      <w:start w:val="1"/>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2019-12-09T07:45:55Z</dcterms:created>
  <dcterms:modified xsi:type="dcterms:W3CDTF">2019-12-09T07:45:55Z</dcterms:modified>
</cp:coreProperties>
</file>