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53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537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CRUTCHER BRIAN 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11/04/2010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00"/>
              <w:spacing w:after="0"/>
              <w:rPr>
                <w:sz w:val="20"/>
                <w:szCs w:val="20"/>
                <w:color w:val="auto"/>
              </w:rPr>
            </w:pPr>
            <w:r>
              <w:rPr>
                <w:rFonts w:ascii="Arial" w:cs="Arial" w:eastAsia="Arial" w:hAnsi="Arial"/>
                <w:sz w:val="18"/>
                <w:szCs w:val="18"/>
                <w:color w:val="0000FF"/>
                <w:w w:val="99"/>
              </w:rPr>
              <w:t>11/04/2010</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2,842</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30.5807</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210,721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12,057</w:t>
            </w:r>
            <w:r>
              <w:rPr>
                <w:rFonts w:ascii="Arial" w:cs="Arial" w:eastAsia="Arial" w:hAnsi="Arial"/>
                <w:sz w:val="22"/>
                <w:szCs w:val="22"/>
                <w:color w:val="008000"/>
                <w:w w:val="84"/>
                <w:vertAlign w:val="superscript"/>
              </w:rPr>
              <w:t>(2)</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I</w:t>
            </w: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By Trust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1,729.59</w:t>
            </w:r>
            <w:r>
              <w:rPr>
                <w:rFonts w:ascii="Arial" w:cs="Arial" w:eastAsia="Arial" w:hAnsi="Arial"/>
                <w:sz w:val="22"/>
                <w:szCs w:val="22"/>
                <w:color w:val="008000"/>
                <w:w w:val="84"/>
                <w:vertAlign w:val="superscript"/>
              </w:rPr>
              <w:t>(3)</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vMerge w:val="restart"/>
          </w:tcPr>
          <w:p>
            <w:pPr>
              <w:jc w:val="center"/>
              <w:ind w:right="317"/>
              <w:spacing w:after="0"/>
              <w:rPr>
                <w:sz w:val="20"/>
                <w:szCs w:val="20"/>
                <w:color w:val="auto"/>
              </w:rPr>
            </w:pPr>
            <w:r>
              <w:rPr>
                <w:rFonts w:ascii="Arial" w:cs="Arial" w:eastAsia="Arial" w:hAnsi="Arial"/>
                <w:sz w:val="18"/>
                <w:szCs w:val="18"/>
                <w:color w:val="0000FF"/>
                <w:w w:val="82"/>
              </w:rPr>
              <w:t>97.27</w:t>
            </w:r>
            <w:r>
              <w:rPr>
                <w:rFonts w:ascii="Arial" w:cs="Arial" w:eastAsia="Arial" w:hAnsi="Arial"/>
                <w:sz w:val="22"/>
                <w:szCs w:val="22"/>
                <w:color w:val="008000"/>
                <w:w w:val="82"/>
                <w:vertAlign w:val="superscript"/>
              </w:rPr>
              <w:t>(4)</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120" w:type="dxa"/>
            <w:vAlign w:val="bottom"/>
            <w:tcBorders>
              <w:bottom w:val="single" w:sz="8" w:color="2C2C2C"/>
            </w:tcBorders>
            <w:gridSpan w:val="1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in Table 1 is a weighted average sale price. The sales were at prices ranging from $30.5800 to $30.5824. The Issuer undertakes to provide upon request a detailed breakout of the sale prices and the number of shares sold at each price.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trust for the benefit of family members of which reporting person is a trustee.</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9-30-2010. (Interests in this account are denominated in units. Consequently, share amount shown is an estimate.) This statement does not include changes in beneficial ownership of shares held in this account occurring after 9-30-2010 that are eligible for deferred reporting on Form 5.</w:t>
      </w:r>
    </w:p>
    <w:p>
      <w:pPr>
        <w:spacing w:after="0" w:line="30" w:lineRule="exact"/>
        <w:rPr>
          <w:rFonts w:ascii="Arial" w:cs="Arial" w:eastAsia="Arial" w:hAnsi="Arial"/>
          <w:sz w:val="14"/>
          <w:szCs w:val="14"/>
          <w:color w:val="008000"/>
        </w:rPr>
      </w:pPr>
    </w:p>
    <w:p>
      <w:pPr>
        <w:ind w:left="40" w:right="24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9-30-2010. (Interests in this account are denominated in units. Consequently, share amount shown is an estimate.) This statement does not include changes in beneficial ownership of shares held in such account occurring after 9-30-2010 that are eligible for deferred reporting on Form 5.</w:t>
      </w:r>
    </w:p>
    <w:tbl>
      <w:tblPr>
        <w:tblLayout w:type="fixed"/>
        <w:tblInd w:w="6860" w:type="dxa"/>
        <w:tblCellMar>
          <w:top w:w="0" w:type="dxa"/>
          <w:left w:w="0" w:type="dxa"/>
          <w:bottom w:w="0" w:type="dxa"/>
          <w:right w:w="0" w:type="dxa"/>
        </w:tblCellMar>
      </w:tblPr>
      <w:tr>
        <w:trPr>
          <w:trHeight w:val="199"/>
        </w:trPr>
        <w:tc>
          <w:tcPr>
            <w:tcW w:w="210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1"/>
              </w:rPr>
              <w:t>/s/ Daniel M. Drory, Attorney</w:t>
            </w:r>
          </w:p>
        </w:tc>
        <w:tc>
          <w:tcPr>
            <w:tcW w:w="100" w:type="dxa"/>
            <w:vAlign w:val="bottom"/>
          </w:tcPr>
          <w:p>
            <w:pPr>
              <w:spacing w:after="0"/>
              <w:rPr>
                <w:sz w:val="17"/>
                <w:szCs w:val="17"/>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11/05/2010</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 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099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2019-12-17T00:51:27Z</dcterms:created>
  <dcterms:modified xsi:type="dcterms:W3CDTF">2019-12-17T00:51:27Z</dcterms:modified>
</cp:coreProperties>
</file>