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320"/>
        <w:spacing w:after="0" w:line="255" w:lineRule="auto"/>
        <w:rPr>
          <w:sz w:val="20"/>
          <w:szCs w:val="20"/>
          <w:color w:val="auto"/>
        </w:rPr>
      </w:pPr>
      <w:r>
        <w:rPr>
          <w:rFonts w:ascii="Times New Roman" w:cs="Times New Roman" w:eastAsia="Times New Roman" w:hAnsi="Times New Roman"/>
          <w:sz w:val="18"/>
          <w:szCs w:val="18"/>
          <w:color w:val="auto"/>
        </w:rPr>
        <w:t>FILED BY TEXAS INSTRUMENTS INCORPORATED PURSUANT TO RULE 425 UNDER THE SECURITIES ACT OF 1933 AND DEEMED FILED PURSUANT TO RULE 14a-12 AND RULE 14d-2(b) UNDER THE SECURITIES EXCHANGE ACT OF 1934</w:t>
      </w:r>
    </w:p>
    <w:p>
      <w:pPr>
        <w:spacing w:after="0" w:line="3"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7"/>
          <w:szCs w:val="17"/>
          <w:color w:val="auto"/>
        </w:rPr>
        <w:t>SUBJECT COMPANY: SILICON LABORATORIES INC.</w:t>
      </w:r>
    </w:p>
    <w:p>
      <w:pPr>
        <w:spacing w:after="0" w:line="21"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COMMISSION FILE NO. 000-29823</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February 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Mohammad Yunus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Texas Instruments suppliers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Texas Instruments to acquire Silicon Labs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Name],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 am pleased to share that TI has signed a definitive </w:t>
      </w:r>
      <w:r>
        <w:rPr>
          <w:rFonts w:ascii="Times New Roman" w:cs="Times New Roman" w:eastAsia="Times New Roman" w:hAnsi="Times New Roman"/>
          <w:sz w:val="18"/>
          <w:szCs w:val="18"/>
          <w:u w:val="single" w:color="auto"/>
          <w:color w:val="auto"/>
        </w:rPr>
        <w:t>agreement to acquire Silicon Labs</w:t>
      </w:r>
      <w:r>
        <w:rPr>
          <w:rFonts w:ascii="Times New Roman" w:cs="Times New Roman" w:eastAsia="Times New Roman" w:hAnsi="Times New Roman"/>
          <w:sz w:val="18"/>
          <w:szCs w:val="18"/>
          <w:color w:val="auto"/>
        </w:rPr>
        <w:t>. As a valued business partner, I wanted to share this news with you personally.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Together, TI and Silicon Labs will create a global leader in embedded wireless connectivity. We are excited about what this means for us and our customers, and trust that we can rely on your continued support to get TI’s products into the hands of customers around the world. Our long-standing relationship has been a key part of our shared success, and we look forward to continuing to work with you.</w:t>
      </w:r>
    </w:p>
    <w:p>
      <w:pPr>
        <w:spacing w:after="0" w:line="17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expect this transaction to close in the first half of 2027, subject to required regulatory approvals and other customary closing conditions. In the meantime, there is no change to our operations or how you work with TI. Both companies will operate independently until the transaction is complete, and you should continue to work with your exisiting contacts at TI and Silicon Labs.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Mohammad Yunus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Technology and Manufacturing Group, Texas Instruments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Cotter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Procurement, Texas Instruments</w:t>
      </w:r>
    </w:p>
    <w:p>
      <w:pPr>
        <w:sectPr>
          <w:pgSz w:w="11900" w:h="16838" w:orient="portrait"/>
          <w:cols w:equalWidth="0" w:num="1">
            <w:col w:w="10760"/>
          </w:cols>
          <w:pgMar w:left="440" w:top="270"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filed with the SEC by Texas Instruments will be available free of charge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Texas Instruments’ website 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w:t>
      </w:r>
    </w:p>
    <w:p>
      <w:pPr>
        <w:sectPr>
          <w:pgSz w:w="11900" w:h="16838" w:orient="portrait"/>
          <w:cols w:equalWidth="0" w:num="1">
            <w:col w:w="11000"/>
          </w:cols>
          <w:pgMar w:left="440" w:top="266" w:right="459" w:bottom="1440" w:gutter="0" w:footer="0" w:header="0"/>
        </w:sectPr>
      </w:pPr>
    </w:p>
    <w:bookmarkStart w:id="3" w:name="page4"/>
    <w:bookmarkEnd w:id="3"/>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Director Independence,” which was filed with the SEC on February 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244" w:hanging="244"/>
        <w:spacing w:after="0"/>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filed Current Reports on Form 8-K and Quarterly Reports on Form 10-Q. To the extent holdings of Silicon Labs’ securities by its</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w:t>
      </w:r>
    </w:p>
    <w:p>
      <w:pPr>
        <w:sectPr>
          <w:pgSz w:w="11900" w:h="16838" w:orient="portrait"/>
          <w:cols w:equalWidth="0" w:num="1">
            <w:col w:w="11004"/>
          </w:cols>
          <w:pgMar w:left="436" w:top="270"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10-K for its fiscal year ended December 28, 2024, which was filed with the SEC on February 4, 2025, and Silicon Labs’ Quarterly Reports on Form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2026-02-04T16:04:13Z</dcterms:created>
  <dcterms:modified xsi:type="dcterms:W3CDTF">2026-02-04T16:04:13Z</dcterms:modified>
</cp:coreProperties>
</file>