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PECIALIZED</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ISCLOSURE</w:t>
      </w:r>
      <w:r>
        <w:rPr>
          <w:rFonts w:ascii="Arial" w:cs="Arial" w:eastAsia="Arial" w:hAnsi="Arial"/>
          <w:sz w:val="22"/>
          <w:szCs w:val="22"/>
          <w:b w:val="1"/>
          <w:bCs w:val="1"/>
          <w:color w:val="auto"/>
        </w:rPr>
        <w:t xml:space="preserve"> R</w:t>
      </w:r>
      <w:r>
        <w:rPr>
          <w:rFonts w:ascii="Arial" w:cs="Arial" w:eastAsia="Arial" w:hAnsi="Arial"/>
          <w:sz w:val="18"/>
          <w:szCs w:val="18"/>
          <w:b w:val="1"/>
          <w:bCs w:val="1"/>
          <w:color w:val="auto"/>
        </w:rPr>
        <w:t>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4000" w:type="dxa"/>
            <w:vAlign w:val="bottom"/>
          </w:tcPr>
          <w:p>
            <w:pPr>
              <w:jc w:val="center"/>
              <w:ind w:right="24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001-03761</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4000" w:type="dxa"/>
            <w:vAlign w:val="bottom"/>
          </w:tcPr>
          <w:p>
            <w:pPr>
              <w:jc w:val="center"/>
              <w:ind w:right="2479"/>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spacing w:after="0"/>
              <w:rPr>
                <w:sz w:val="16"/>
                <w:szCs w:val="16"/>
                <w:color w:val="auto"/>
              </w:rPr>
            </w:pP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6420" w:type="dxa"/>
            <w:vAlign w:val="bottom"/>
            <w:gridSpan w:val="2"/>
          </w:tcPr>
          <w:p>
            <w:pPr>
              <w:jc w:val="center"/>
              <w:ind w:right="1102"/>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75266-0199</w:t>
            </w:r>
          </w:p>
        </w:tc>
      </w:tr>
      <w:tr>
        <w:trPr>
          <w:trHeight w:val="186"/>
        </w:trPr>
        <w:tc>
          <w:tcPr>
            <w:tcW w:w="4000" w:type="dxa"/>
            <w:vAlign w:val="bottom"/>
          </w:tcPr>
          <w:p>
            <w:pPr>
              <w:jc w:val="center"/>
              <w:ind w:left="11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Beverly Clemmons, 972-995-3773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5"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Form SD should be read in conjunction with the definitions contained in the Securities and Exchange Commission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2013 (collectively, “CMs”), we exercised due diligence concerning the source and chain of custody of the CMs. For a description of our due diligence (which included a reasonable country of origin inquiry), please see our Conflict Minerals Report (Exhibit 1.02).</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2013 is attached hereto as Exhibit 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1.02 – Conflict Minerals Report as required by Items 1.01 and 1.02 of this Form.</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May 30, 2014</w:t>
      </w:r>
      <w:r>
        <w:rPr>
          <w:sz w:val="20"/>
          <w:szCs w:val="20"/>
          <w:color w:val="auto"/>
        </w:rPr>
        <w:tab/>
      </w:r>
      <w:r>
        <w:rPr>
          <w:rFonts w:ascii="Arial" w:cs="Arial" w:eastAsia="Arial" w:hAnsi="Arial"/>
          <w:sz w:val="17"/>
          <w:szCs w:val="17"/>
          <w:color w:val="auto"/>
        </w:rPr>
        <w:t>TEXAS INSTRUMENTS INCORPORATED</w:t>
      </w:r>
    </w:p>
    <w:p>
      <w:pPr>
        <w:spacing w:after="0" w:line="225"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and Chief Financial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80"/>
          </w:cols>
          <w:pgMar w:left="240" w:top="270"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Ending December 31, 2013</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Conflict Minerals Report should be read in conjunction with the definitions contained in the Securities and Exchange Commission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2011-2013, we established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2013 (collectively, “CMs”). We designed the CM Process with the intent to conform in all material respects with the OECD Due Diligence Guidance for Responsible Supply Chains of Minerals from Conflict-Affected and High-Risk Areas (Second Edition). The design of the CM Process included the following:</w:t>
      </w:r>
    </w:p>
    <w:p>
      <w:pPr>
        <w:spacing w:after="0" w:line="9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organizational structure and processes intended to ensure that our direct suppliers of CMs and each third-party manufacturer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86"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process, which uses a reporting tool and data gathered by an electronics industry initiative (described below), to achieve control and transparency over our CM supply chain and identify the risk that our products may contain CMs financing or benefiting armed groups in the Democratic Republic of the Congo or any adjoining country (each a “Covered Country”);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the electronics industry initiative described below to validate supply chain due diligence;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ability to determine the origin and chain of custody of CMs, and whether they directly or indirectly finance or benefit armed groups in any Covered Country (the “Conflict Status”), is limited. Our supply chain for CMs is complex. In many cases, we are four or more steps removed from the smelter or the mine and we depend on information from Suppliers that themselves have incomplete information about the origin of the CMs they supply to us.</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To gain insight into the country of origin, chain of custody and Conflict Status of our CMs, we relied primarily on the findings of the Conflict-Free Smelter Program (“CFSP”). Established by members of the Electronic Industry Citizenship Coalition (“EICC”) and the Global e-Sustainability Initiative (“GeSI”), CFSP is a voluntary program in which an independent third party evaluates smelters’ and refiners’ procurement and inventory practices and determines whether the smelter or refiner (“Smelter”) has demonstrated that all the materials it processed originated from conflict free 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took to exercise due diligence on the source and chain of custody of our CMs were as follows:</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members of the EICC and GeSI that provides a common means for suppliers to provide their customers with information on the source of conflict minerals);</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get more information;</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CFSP concerning the country of origin and Conflict Status of CMs processed or refined by Smelters; and</w:t>
      </w:r>
    </w:p>
    <w:p>
      <w:pPr>
        <w:spacing w:after="0" w:line="75"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other source materials, such as publications of the United Nations, if we were unable to determine, on the basis of the information provided by Suppliers and CFSP data, (i) the facility and country of origin of the CMs supplied to us, (ii) the Conflict Status of the CMs and (iii) whether the CMs were from recycled or scrap sources.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responding to our data requests, many Suppliers named all the Smelters they had found in their supply chains, without specifying which Smelters were relevant to CMs actually supplied to TI. Accordingly, we refer below to Smelters as being “potentially” in our supply chain. Moreover, industry efforts to collect and verify origin information were continuing in 2013 and even now are incomplete, particularly for CMs other than tantalum. The results of our due diligence, which are summarized below, reflect these limitations.</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460" w:type="dxa"/>
        <w:tblCellMar>
          <w:top w:w="0" w:type="dxa"/>
          <w:left w:w="0" w:type="dxa"/>
          <w:bottom w:w="0" w:type="dxa"/>
          <w:right w:w="0" w:type="dxa"/>
        </w:tblCellMar>
      </w:tblPr>
      <w:tr>
        <w:trPr>
          <w:trHeight w:val="17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Conflict Mineral</w:t>
            </w:r>
          </w:p>
        </w:tc>
        <w:tc>
          <w:tcPr>
            <w:tcW w:w="9200" w:type="dxa"/>
            <w:vAlign w:val="bottom"/>
            <w:gridSpan w:val="3"/>
          </w:tcPr>
          <w:p>
            <w:pPr>
              <w:ind w:left="4280"/>
              <w:spacing w:after="0"/>
              <w:rPr>
                <w:sz w:val="20"/>
                <w:szCs w:val="20"/>
                <w:color w:val="auto"/>
              </w:rPr>
            </w:pPr>
            <w:r>
              <w:rPr>
                <w:rFonts w:ascii="Arial" w:cs="Arial" w:eastAsia="Arial" w:hAnsi="Arial"/>
                <w:sz w:val="14"/>
                <w:szCs w:val="14"/>
                <w:b w:val="1"/>
                <w:bCs w:val="1"/>
                <w:color w:val="auto"/>
              </w:rPr>
              <w:t>Determination</w:t>
            </w:r>
          </w:p>
        </w:tc>
      </w:tr>
      <w:tr>
        <w:trPr>
          <w:trHeight w:val="224"/>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Tantalum</w:t>
            </w:r>
          </w:p>
        </w:tc>
        <w:tc>
          <w:tcPr>
            <w:tcW w:w="22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1"/>
              </w:rPr>
              <w:t>We identified 20 tantalum Smelters as potentially in our</w:t>
            </w: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supply chain.</w:t>
            </w:r>
          </w:p>
        </w:tc>
        <w:tc>
          <w:tcPr>
            <w:tcW w:w="4020" w:type="dxa"/>
            <w:vAlign w:val="bottom"/>
          </w:tcPr>
          <w:p>
            <w:pPr>
              <w:spacing w:after="0"/>
              <w:rPr>
                <w:sz w:val="19"/>
                <w:szCs w:val="19"/>
                <w:color w:val="auto"/>
              </w:rPr>
            </w:pPr>
          </w:p>
        </w:tc>
      </w:tr>
      <w:tr>
        <w:trPr>
          <w:trHeight w:val="309"/>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0"/>
              </w:rPr>
              <w:t>For 18 of the 20 Smelters, we determined that the tantalum was conflict free based on an independent third-party audit of the</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Smelters.</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5"/>
              </w:rPr>
              <w:t>The origin of the materials processed by the other two Smelters was undeterminable, reflecting the limited information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available.</w:t>
            </w: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Tin</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We identified 46 tin Smelters as potentially in our supply chain.</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3"/>
              </w:rPr>
              <w:t>For nine of the 46 Smelters, we determined that the tin was conflict free based on an independent third-party audit of the</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Smelters.</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6"/>
              </w:rPr>
              <w:t>The origin of the materials processed by the other 37 Smelters was undeterminable, reflecting the limited information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available.</w:t>
            </w: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We identified 19 tungsten Smelters as potentially in our supply chain.</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2"/>
              </w:rPr>
              <w:t>For one of the 19 Smelters, we determined that the tungsten was conflict free based on an independent third-party audit of</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the Smelters.</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6"/>
              </w:rPr>
              <w:t>The origin of the materials processed by the other 18 Smelters was undeterminable, reflecting the limited information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available.</w:t>
            </w: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Gold</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We identified 89 gold Smelters as potentially in our supply chain.</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3"/>
              </w:rPr>
              <w:t>For 35 of the 89 Smelters, we determined that the gold was conflict free based on an independent third-party audit of the</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Smelters.</w:t>
            </w:r>
          </w:p>
        </w:tc>
      </w:tr>
      <w:tr>
        <w:trPr>
          <w:trHeight w:val="323"/>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6"/>
              </w:rPr>
              <w:t>The origin of the materials processed by the other 54 Smelters was undeterminable, reflecting the limited information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available.</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potential Smelters that processed materials of undeterminable origin are identified in the Appendix hereto.</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the basis of our due diligence, we found with respect to each of our products that (1) the information we had gathered had failed to clarify the country of origin and Conflict Status of at least one of the CMs contained in the product and (2) no CMs were from a source that, to our knowledge, was directly or indirectly financing or benefiting armed conflict in a Covered Country.</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products are in the following categories as described in our annual report on Form 10-K for the year ending December 31, 2013: Analog products (including High Volume Analog &amp; Logic, Power Management, High Performance Analog and Silicon Valley Analog products); Embedded Processing products (including Processors, Microcontrollers and Connectivity products); and Other products (including DLP</w:t>
      </w:r>
      <w:r>
        <w:rPr>
          <w:rFonts w:ascii="Arial" w:cs="Arial" w:eastAsia="Arial" w:hAnsi="Arial"/>
          <w:sz w:val="15"/>
          <w:szCs w:val="15"/>
          <w:color w:val="auto"/>
        </w:rPr>
        <w:t>®</w:t>
      </w:r>
      <w:r>
        <w:rPr>
          <w:rFonts w:ascii="Arial" w:cs="Arial" w:eastAsia="Arial" w:hAnsi="Arial"/>
          <w:sz w:val="18"/>
          <w:szCs w:val="18"/>
          <w:color w:val="auto"/>
        </w:rPr>
        <w:t xml:space="preserve"> products, custom semiconductors known as application-specific integrated circuits and calculators). For further information about our products, please see the description of our products in Item 1 of the Form 10-K, which description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efforts to determine the mine or location of origin of the CMs consisted of the due diligence measures described above.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period covered by this Report, we have taken, or will take, the following steps to mitigate the risk that our CMs benefit armed groups in the Covered Countries, including to improve our due diligence:</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ectPr>
          <w:pgSz w:w="11900" w:h="16838" w:orient="portrait"/>
          <w:cols w:equalWidth="0" w:num="1">
            <w:col w:w="11420"/>
          </w:cols>
          <w:pgMar w:left="240" w:top="265" w:right="239" w:bottom="1440" w:gutter="0" w:footer="0" w:header="0"/>
        </w:sectPr>
      </w:pPr>
    </w:p>
    <w:bookmarkStart w:id="4" w:name="page5"/>
    <w:bookmarkEnd w:id="4"/>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emphasize to them our expectation that they respond fully and promptly to our information requests;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instruct them to advise us if they determine that any person or entity in their supply chain is directly or indirectly financing or benefiting armed groups in the Covered Countries;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encourage them to direct all Smelters in their supply chains to participate in the CFSP or a similar third-party audit program.</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Conflict Minerals Report and our conflict minerals policy are available on our web site at www.ti.com/conflictminerals. We are not incorporating by reference the contents of our web site into this Conflict Minerals Report.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[Intentionally blank]</w:t>
      </w:r>
    </w:p>
    <w:p>
      <w:pPr>
        <w:sectPr>
          <w:pgSz w:w="11900" w:h="16838" w:orient="portrait"/>
          <w:cols w:equalWidth="0" w:num="1">
            <w:col w:w="11200"/>
          </w:cols>
          <w:pgMar w:left="240" w:top="274" w:right="459" w:bottom="1440" w:gutter="0" w:footer="0" w:header="0"/>
        </w:sectPr>
      </w:pPr>
    </w:p>
    <w:bookmarkStart w:id="5" w:name="page6"/>
    <w:bookmarkEnd w:id="5"/>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Listed below are the smelters and refiners we have determined to be potentially in our supply chain for 2013 that have processed CMs of undeterminable origin. As explained above, the presence of a smelter or refiner on the list does not indicate that TI products necessarily contained CMs processed by that smelter or refiner. The location information is as reported by the CFSP as of April 15, 2014.</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Smelter or Refiner</w:t>
            </w: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Conflict</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191"/>
        </w:trPr>
        <w:tc>
          <w:tcPr>
            <w:tcW w:w="5400" w:type="dxa"/>
            <w:vAlign w:val="bottom"/>
            <w:gridSpan w:val="2"/>
            <w:vMerge w:val="continue"/>
          </w:tcPr>
          <w:p>
            <w:pPr>
              <w:spacing w:after="0"/>
              <w:rPr>
                <w:sz w:val="16"/>
                <w:szCs w:val="16"/>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Mineral</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Aida Chemical</w:t>
            </w:r>
          </w:p>
        </w:tc>
        <w:tc>
          <w:tcPr>
            <w:tcW w:w="4240" w:type="dxa"/>
            <w:vAlign w:val="bottom"/>
          </w:tcPr>
          <w:p>
            <w:pPr>
              <w:spacing w:after="0" w:line="190" w:lineRule="exact"/>
              <w:rPr>
                <w:sz w:val="20"/>
                <w:szCs w:val="20"/>
                <w:color w:val="auto"/>
              </w:rPr>
            </w:pPr>
            <w:r>
              <w:rPr>
                <w:rFonts w:ascii="Arial" w:cs="Arial" w:eastAsia="Arial" w:hAnsi="Arial"/>
                <w:sz w:val="18"/>
                <w:szCs w:val="18"/>
                <w:color w:val="auto"/>
              </w:rPr>
              <w:t>Industries Co. Ltd.</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52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0" w:type="dxa"/>
            <w:vAlign w:val="bottom"/>
          </w:tcPr>
          <w:p>
            <w:pPr>
              <w:spacing w:after="0"/>
              <w:rPr>
                <w:sz w:val="1"/>
                <w:szCs w:val="1"/>
                <w:color w:val="auto"/>
              </w:rPr>
            </w:pP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Almalyk Mining and Metallurgical Complex (AMMC)</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UZBEKISTAN</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JAPAN</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Atasay Kuyumculuk Sanayi Ve Ticaret A.S.</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8"/>
              </w:rPr>
              <w:t>TURKEY</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Aurubis AG</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PHILIPPINES</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SWEDEN</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Caridad</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Cendres &amp; Métaux SA</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SWITZERLAND</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Chimet SpA</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ITALY</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Chugai Mining</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JAPAN</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Daejin Indus Co. Ltd.</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REPUBLIC OF KOREA</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DaeryongENC</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REPUBLIC OF KOREA</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Do Sung Corporation</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REPUBLIC OF KOREA</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FSE Novosibirsk Refinery</w:t>
            </w: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Gold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c>
          <w:tcPr>
            <w:tcW w:w="0" w:type="dxa"/>
            <w:vAlign w:val="bottom"/>
          </w:tcPr>
          <w:p>
            <w:pPr>
              <w:spacing w:after="0"/>
              <w:rPr>
                <w:sz w:val="1"/>
                <w:szCs w:val="1"/>
                <w:color w:val="auto"/>
              </w:rPr>
            </w:pPr>
          </w:p>
        </w:tc>
      </w:tr>
    </w:tbl>
    <w:p>
      <w:pPr>
        <w:sectPr>
          <w:pgSz w:w="11900" w:h="16838" w:orient="portrait"/>
          <w:cols w:equalWidth="0" w:num="1">
            <w:col w:w="11020"/>
          </w:cols>
          <w:pgMar w:left="240" w:top="274" w:right="6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Guangdong Jinding Gold Limited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9"/>
              </w:rPr>
              <w:t>CHINA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Heimerle + Meule GmbH</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rPr>
              <w:t>GERMANY</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Heraeus Precious Metals GmbH &amp; Co. KG</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rPr>
              <w:t>GERMANY</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Heraeus Ltd. Hong Kong</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6"/>
              </w:rPr>
              <w:t>HONG KONG</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Hwasung CJ Co. Ltd.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5"/>
              </w:rPr>
              <w:t>REPUBLIC OF KOREA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Japan Mint</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w w:val="92"/>
              </w:rPr>
              <w:t>JAPAN</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Jiangxi Copper Company Limited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9"/>
              </w:rPr>
              <w:t>CHINA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JSC Ekaterinburg Non-Ferrous Metal Processing Plant</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5"/>
              </w:rPr>
              <w:t>RUSSIAN FEDERATION</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JSC Uralectromed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5"/>
              </w:rPr>
              <w:t>RUSSIAN FEDERATION</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Kazzinc Ltd.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rPr>
              <w:t>KAZAKHSTAN</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Korea Metal Co. Ltd.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5"/>
              </w:rPr>
              <w:t>REPUBLIC OF KOREA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Kyrgyzaltyn JSC</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w w:val="99"/>
              </w:rPr>
              <w:t>KYRGYSTAN</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L’azurde Company For Jewelry</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rPr>
              <w:t>SAUDI ARABIA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Lingbao Jinyuan Tonghui Refinery Co. Ltd.</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9"/>
              </w:rPr>
              <w:t>CHINA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LS-Nikko Copper Inc.</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5"/>
              </w:rPr>
              <w:t>REPUBLIC OF KOREA</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Met-Mex Peñoles, S.A.</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rPr>
              <w:t>MEXICO</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Moscow Special Alloys Processing Plant</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5"/>
              </w:rPr>
              <w:t>RUSSIAN FEDERATION</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Nadir Metal Rafineri San. Ve Tic. A.Ş.</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8"/>
              </w:rPr>
              <w:t>TURKEY</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Navoi Mining and Metallurgical Combinat</w:t>
            </w:r>
          </w:p>
        </w:tc>
        <w:tc>
          <w:tcPr>
            <w:tcW w:w="1540" w:type="dxa"/>
            <w:vAlign w:val="bottom"/>
          </w:tcPr>
          <w:p>
            <w:pPr>
              <w:ind w:left="980"/>
              <w:spacing w:after="0"/>
              <w:rPr>
                <w:sz w:val="20"/>
                <w:szCs w:val="20"/>
                <w:color w:val="auto"/>
              </w:rPr>
            </w:pPr>
            <w:r>
              <w:rPr>
                <w:rFonts w:ascii="Arial" w:cs="Arial" w:eastAsia="Arial" w:hAnsi="Arial"/>
                <w:sz w:val="18"/>
                <w:szCs w:val="18"/>
                <w:color w:val="auto"/>
              </w:rPr>
              <w:t>Gold</w:t>
            </w:r>
          </w:p>
        </w:tc>
        <w:tc>
          <w:tcPr>
            <w:tcW w:w="2100" w:type="dxa"/>
            <w:vAlign w:val="bottom"/>
          </w:tcPr>
          <w:p>
            <w:pPr>
              <w:jc w:val="center"/>
              <w:ind w:left="90"/>
              <w:spacing w:after="0"/>
              <w:rPr>
                <w:sz w:val="20"/>
                <w:szCs w:val="20"/>
                <w:color w:val="auto"/>
              </w:rPr>
            </w:pPr>
            <w:r>
              <w:rPr>
                <w:rFonts w:ascii="Arial" w:cs="Arial" w:eastAsia="Arial" w:hAnsi="Arial"/>
                <w:sz w:val="18"/>
                <w:szCs w:val="18"/>
                <w:color w:val="auto"/>
                <w:w w:val="99"/>
              </w:rPr>
              <w:t>UZBEKISTAN</w:t>
            </w:r>
          </w:p>
        </w:tc>
      </w:tr>
    </w:tbl>
    <w:p>
      <w:pPr>
        <w:sectPr>
          <w:pgSz w:w="11900" w:h="16838" w:orient="portrait"/>
          <w:cols w:equalWidth="0" w:num="1">
            <w:col w:w="9019"/>
          </w:cols>
          <w:pgMar w:left="1440" w:top="382" w:right="144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9"/>
              </w:rPr>
              <w:t>OJSC “The Gulidov Krasnoyarsk Non-Ferrous Metals Plant” (OJSC</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5"/>
              </w:rPr>
              <w:t>RUSSIAN FEDERATION</w:t>
            </w: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Krastvetmet)</w:t>
            </w:r>
          </w:p>
        </w:tc>
        <w:tc>
          <w:tcPr>
            <w:tcW w:w="10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OJSC Kolyma Refinery</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5"/>
              </w:rPr>
              <w:t>RUSSIAN FEDERATION</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Prioksky Plant of Non-Ferrous Metals</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5"/>
              </w:rPr>
              <w:t>RUSSIAN FEDERATION</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PT Aneka Tambang (Persero) Tbk</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8"/>
              </w:rPr>
              <w:t>INDONESIA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PX Précinox SA</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9"/>
              </w:rPr>
              <w:t>SWITZERLAND</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Rand Refinery (Pty) Ltd.</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6"/>
              </w:rPr>
              <w:t>SOUTH AFRICA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Sabin Metal Corp.</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4"/>
              </w:rPr>
              <w:t>UNITED STATES</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Samwon Metals Corp.</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5"/>
              </w:rPr>
              <w:t>REPUBLIC OF KOREA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Schone Edelmetaal</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8"/>
              </w:rPr>
              <w:t>NETHERLANDS</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Shandong Zhaojin Gold &amp; Silver Refinery Co. Ltd.</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9"/>
              </w:rPr>
              <w:t>CHINA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So Accurate Group, Inc.</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4"/>
              </w:rPr>
              <w:t>UNITED STATES</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The Great Wall Gold and Silver Refinery of China</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9"/>
              </w:rPr>
              <w:t>CHINA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The Refinery of Shandong Gold Mining Co. Ltd.</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9"/>
              </w:rPr>
              <w:t>CHINA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Tongling Nonferrous Metals Group Co., Ltd.</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9"/>
              </w:rPr>
              <w:t>CHINA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Torecom</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5"/>
              </w:rPr>
              <w:t>REPUBLIC OF KOREA</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Umicore Brasil Ltda.</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rPr>
              <w:t>BRAZIL</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Yamamoto Precious Metal Co., Ltd.</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2"/>
              </w:rPr>
              <w:t>JAPAN</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Yokohama Metal Co. Ltd.</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2"/>
              </w:rPr>
              <w:t>JAPAN</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Zhongyuan Gold Smelter of Zhongjin Gold Corporation</w:t>
            </w:r>
          </w:p>
        </w:tc>
        <w:tc>
          <w:tcPr>
            <w:tcW w:w="1020" w:type="dxa"/>
            <w:vAlign w:val="bottom"/>
          </w:tcPr>
          <w:p>
            <w:pPr>
              <w:ind w:left="420"/>
              <w:spacing w:after="0"/>
              <w:rPr>
                <w:sz w:val="20"/>
                <w:szCs w:val="20"/>
                <w:color w:val="auto"/>
              </w:rPr>
            </w:pPr>
            <w:r>
              <w:rPr>
                <w:rFonts w:ascii="Arial" w:cs="Arial" w:eastAsia="Arial" w:hAnsi="Arial"/>
                <w:sz w:val="18"/>
                <w:szCs w:val="18"/>
                <w:color w:val="auto"/>
              </w:rPr>
              <w:t>Gold</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9"/>
              </w:rPr>
              <w:t>CHINA</w:t>
            </w:r>
          </w:p>
        </w:tc>
      </w:tr>
    </w:tbl>
    <w:p>
      <w:pPr>
        <w:sectPr>
          <w:pgSz w:w="11900" w:h="16838" w:orient="portrait"/>
          <w:cols w:equalWidth="0" w:num="1">
            <w:col w:w="9019"/>
          </w:cols>
          <w:pgMar w:left="1440" w:top="382"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Zijin Mining Group Co. Ltd.</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4"/>
              </w:rPr>
              <w:t>Gold</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Changsha South Tantalum Niobium Co. Ltd.</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0"/>
              </w:rPr>
              <w:t>Tantalum</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JiuJiang JinXin Nonferrous Metals Co. Ltd.</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0"/>
              </w:rPr>
              <w:t>Tantalum</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CNMC (Guangxi) PGMA Co. Ltd.</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Cooper Santa</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BRAZIL</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PT Prima Timah Utama</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w w:val="98"/>
              </w:rPr>
              <w:t>INDONESIA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CV Serumpun Sebalai</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w w:val="98"/>
              </w:rPr>
              <w:t>INDONESIA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CV United Smelting</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w w:val="98"/>
              </w:rPr>
              <w:t>INDONESIA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EM Vinto</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BOLIVIA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Fenix Metals</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w w:val="99"/>
              </w:rPr>
              <w:t>POLAND</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Gejiu Zi-Li</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Huichang Jinshunda Tin Co. Ltd.</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Jiangxi Nanshan</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Kai Unita Trade Limited Liability Company</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Linwu Xianggui Smelter Co.</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Metallo Chimique</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BELGIUM</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Minmetals Ganzhou Tin Co. Ltd.</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rPr>
              <w:t>CHINA</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Mitsubishi Materials Corporation</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w w:val="92"/>
              </w:rPr>
              <w:t>JAPAN</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Novosibirsk Integrated Tin Works</w:t>
            </w:r>
          </w:p>
        </w:tc>
        <w:tc>
          <w:tcPr>
            <w:tcW w:w="2040" w:type="dxa"/>
            <w:vAlign w:val="bottom"/>
          </w:tcPr>
          <w:p>
            <w:pPr>
              <w:jc w:val="center"/>
              <w:ind w:left="830"/>
              <w:spacing w:after="0"/>
              <w:rPr>
                <w:sz w:val="20"/>
                <w:szCs w:val="20"/>
                <w:color w:val="auto"/>
              </w:rPr>
            </w:pPr>
            <w:r>
              <w:rPr>
                <w:rFonts w:ascii="Arial" w:cs="Arial" w:eastAsia="Arial" w:hAnsi="Arial"/>
                <w:sz w:val="18"/>
                <w:szCs w:val="18"/>
                <w:color w:val="auto"/>
                <w:w w:val="95"/>
              </w:rPr>
              <w:t>Tin</w:t>
            </w:r>
          </w:p>
        </w:tc>
        <w:tc>
          <w:tcPr>
            <w:tcW w:w="2140" w:type="dxa"/>
            <w:vAlign w:val="bottom"/>
          </w:tcPr>
          <w:p>
            <w:pPr>
              <w:jc w:val="center"/>
              <w:ind w:left="110"/>
              <w:spacing w:after="0"/>
              <w:rPr>
                <w:sz w:val="20"/>
                <w:szCs w:val="20"/>
                <w:color w:val="auto"/>
              </w:rPr>
            </w:pPr>
            <w:r>
              <w:rPr>
                <w:rFonts w:ascii="Arial" w:cs="Arial" w:eastAsia="Arial" w:hAnsi="Arial"/>
                <w:sz w:val="18"/>
                <w:szCs w:val="18"/>
                <w:color w:val="auto"/>
                <w:w w:val="96"/>
              </w:rPr>
              <w:t>RUSSIAN FEDERATION</w:t>
            </w:r>
          </w:p>
        </w:tc>
      </w:tr>
    </w:tbl>
    <w:p>
      <w:pPr>
        <w:sectPr>
          <w:pgSz w:w="11900" w:h="16838" w:orient="portrait"/>
          <w:cols w:equalWidth="0" w:num="1">
            <w:col w:w="9019"/>
          </w:cols>
          <w:pgMar w:left="1440" w:top="382"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O.M. Manufacturing (Thailand) Co., Ltd.</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rPr>
              <w:t>THAILAND</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Artha Cipta Langgeng</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Babel Inti Perkasa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Bangka Putra Karya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Bangka Tin Industry</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Belitung Industri Sejahtera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DS Jaya Abadi</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Eunindo Usaha Mandiri</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Mitra Stania Prima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Sariwiguna Binasentosa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Stanindo Inti Perkasa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Tambang Timah</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Tinindo Inter Nusa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Refined Bangka Tin</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Rui Da Hung</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9"/>
              </w:rPr>
              <w:t>TAIWAN</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Soft Metais Ltda.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rPr>
              <w:t>BRAZIL</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PT Timah</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8"/>
              </w:rPr>
              <w:t>INDONESIA</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White Solder Metalurgia</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rPr>
              <w:t>BRAZIL</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Liuzhou China Tin</w:t>
            </w:r>
          </w:p>
        </w:tc>
        <w:tc>
          <w:tcPr>
            <w:tcW w:w="2460" w:type="dxa"/>
            <w:vAlign w:val="bottom"/>
          </w:tcPr>
          <w:p>
            <w:pPr>
              <w:ind w:left="2080"/>
              <w:spacing w:after="0"/>
              <w:rPr>
                <w:sz w:val="20"/>
                <w:szCs w:val="20"/>
                <w:color w:val="auto"/>
              </w:rPr>
            </w:pPr>
            <w:r>
              <w:rPr>
                <w:rFonts w:ascii="Arial" w:cs="Arial" w:eastAsia="Arial" w:hAnsi="Arial"/>
                <w:sz w:val="18"/>
                <w:szCs w:val="18"/>
                <w:color w:val="auto"/>
              </w:rPr>
              <w:t>Tin</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9019"/>
          </w:cols>
          <w:pgMar w:left="1440" w:top="382"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Yunnan Chengfeng</w:t>
            </w: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5"/>
              </w:rPr>
              <w:t>Tin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China Rare Metal Materials Company</w:t>
            </w: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5"/>
              </w:rPr>
              <w:t>Tin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A.L.M.T. Corp.</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2"/>
              </w:rPr>
              <w:t>JAPAN</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Kennametal Huntsville</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4"/>
              </w:rPr>
              <w:t>UNITED STATES</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Guangdong Xianglu Tungsten Industry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Chongyi Zhangyuan Tungsten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Dayu Weiliang Tungsten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Fujian Jinxin Tungsten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HC Starck GmbH</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rPr>
              <w:t>GERMANY</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Hunan Chenzhou Mining Group Co.</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w w:val="97"/>
              </w:rPr>
              <w:t>Hunan Chun-Chang Nonferrous Smelting &amp; Concentrating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Japan New Metals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2"/>
              </w:rPr>
              <w:t>JAPAN</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Ganzhou Non-ferrous Metals Smelting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Ganzhou Huaxing Tungsten Products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Kennametal Fallon</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4"/>
              </w:rPr>
              <w:t>UNITED STATES</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Tejing (Vietnam) Tungsten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rPr>
              <w:t>VIETNAM</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Wolfram Bergbau und Hütten AG</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9"/>
              </w:rPr>
              <w:t>AUSTRIA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Wolfram Company CJSC</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5"/>
              </w:rPr>
              <w:t>RUSSIAN FEDERATION</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Xiamen Tungsten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Zhuzhou Cemented Carbide Group Co. Ltd.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Tungsten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9"/>
              </w:rPr>
              <w:t>CHINA</w:t>
            </w:r>
          </w:p>
        </w:tc>
      </w:tr>
    </w:tbl>
    <w:p>
      <w:pPr>
        <w:spacing w:after="0" w:line="1" w:lineRule="exact"/>
        <w:rPr>
          <w:sz w:val="20"/>
          <w:szCs w:val="20"/>
          <w:color w:val="auto"/>
        </w:rPr>
      </w:pPr>
    </w:p>
    <w:sectPr>
      <w:pgSz w:w="11900" w:h="16838" w:orient="portrait"/>
      <w:cols w:equalWidth="0" w:num="1">
        <w:col w:w="9019"/>
      </w:cols>
      <w:pgMar w:left="1440" w:top="3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2019-12-05T15:05:58Z</dcterms:created>
  <dcterms:modified xsi:type="dcterms:W3CDTF">2019-12-05T15:05:58Z</dcterms:modified>
</cp:coreProperties>
</file>