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ind w:left="3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36830</wp:posOffset>
            </wp:positionH>
            <wp:positionV relativeFrom="paragraph">
              <wp:posOffset>-238125</wp:posOffset>
            </wp:positionV>
            <wp:extent cx="133985" cy="13398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985" cy="133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9"/>
        </w:trPr>
        <w:tc>
          <w:tcPr>
            <w:tcW w:w="650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1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14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5459095</wp:posOffset>
            </wp:positionH>
            <wp:positionV relativeFrom="paragraph">
              <wp:posOffset>-640080</wp:posOffset>
            </wp:positionV>
            <wp:extent cx="59055" cy="6534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34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4119880</wp:posOffset>
            </wp:positionH>
            <wp:positionV relativeFrom="paragraph">
              <wp:posOffset>-640080</wp:posOffset>
            </wp:positionV>
            <wp:extent cx="59055" cy="6534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34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-1723390</wp:posOffset>
            </wp:positionH>
            <wp:positionV relativeFrom="paragraph">
              <wp:posOffset>18415</wp:posOffset>
            </wp:positionV>
            <wp:extent cx="7324725" cy="66725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725" cy="66725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8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TROCHU CYNTHIA HOFF</w:t>
        </w:r>
      </w:hyperlink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6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TXN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2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01/26/2017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8" w:right="700" w:firstLine="8"/>
        <w:spacing w:after="0" w:line="245" w:lineRule="auto"/>
        <w:tabs>
          <w:tab w:leader="none" w:pos="13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4" w:lineRule="exact"/>
        <w:rPr>
          <w:sz w:val="24"/>
          <w:szCs w:val="24"/>
          <w:color w:val="auto"/>
        </w:rPr>
      </w:pPr>
    </w:p>
    <w:tbl>
      <w:tblPr>
        <w:tblLayout w:type="fixed"/>
        <w:tblInd w:w="192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7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572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SVP, Secretary &amp; Gen Counsel</w:t>
      </w:r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80" w:space="708"/>
            <w:col w:w="3472"/>
          </w:cols>
          <w:pgMar w:left="240" w:top="224" w:right="139" w:bottom="8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7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75243</w:t>
            </w:r>
          </w:p>
        </w:tc>
      </w:tr>
      <w:tr>
        <w:trPr>
          <w:trHeight w:val="15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00"/>
        <w:spacing w:after="0" w:line="226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4" w:right="139" w:bottom="8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7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60" w:type="dxa"/>
            <w:vAlign w:val="bottom"/>
            <w:gridSpan w:val="4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jc w:val="center"/>
              <w:ind w:left="549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restart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jc w:val="center"/>
              <w:ind w:left="5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01/26/2017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jc w:val="center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11,250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32.8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69,448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jc w:val="center"/>
              <w:ind w:left="5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01/26/2017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jc w:val="center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12,223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ind w:left="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44.09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81,671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01/26/2017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23,473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78.72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6"/>
                <w:vertAlign w:val="superscript"/>
              </w:rPr>
              <w:t>(1)</w:t>
            </w: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58,198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01/26/2017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10,725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6"/>
                <w:vertAlign w:val="superscript"/>
              </w:rPr>
              <w:t>(2)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0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68,923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2,665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74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1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780" w:type="dxa"/>
            <w:vAlign w:val="bottom"/>
            <w:gridSpan w:val="9"/>
          </w:tcPr>
          <w:p>
            <w:pPr>
              <w:jc w:val="center"/>
              <w:ind w:left="4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right="4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ind w:right="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1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ind w:right="41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jc w:val="center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1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right="458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1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Acquired 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1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or Indirect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1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jc w:val="center"/>
              <w:ind w:right="2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NQ 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32.8</w:t>
            </w:r>
          </w:p>
        </w:tc>
        <w:tc>
          <w:tcPr>
            <w:tcW w:w="11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01/26/2017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11,250</w:t>
            </w:r>
          </w:p>
        </w:tc>
        <w:tc>
          <w:tcPr>
            <w:tcW w:w="8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01/25/2023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Common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6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11,250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ind w:left="2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center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NQ 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44.09</w:t>
            </w:r>
          </w:p>
        </w:tc>
        <w:tc>
          <w:tcPr>
            <w:tcW w:w="11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01/26/2017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12,223</w:t>
            </w:r>
          </w:p>
        </w:tc>
        <w:tc>
          <w:tcPr>
            <w:tcW w:w="8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01/23/2024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Common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6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12,223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ind w:left="1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4,075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center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NQ 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79.26</w:t>
            </w:r>
          </w:p>
        </w:tc>
        <w:tc>
          <w:tcPr>
            <w:tcW w:w="11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01/26/2017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51,559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01/26/2027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Common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6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51,559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51,559</w:t>
            </w: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0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center"/>
              <w:spacing w:after="0" w:line="10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9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ind w:left="40" w:right="160" w:firstLine="5"/>
        <w:spacing w:after="0" w:line="258" w:lineRule="auto"/>
        <w:tabs>
          <w:tab w:leader="none" w:pos="17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price in Table 1 is a weighted average sale price. The sales were at prices ranging from $78.711 to $78.791. The Issuer undertakes to provide upon request a detailed breakout of the sale prices and the number of shares sold at each price.</w:t>
      </w:r>
    </w:p>
    <w:p>
      <w:pPr>
        <w:spacing w:after="0" w:line="2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5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Award of restricted stock units pursuant to 2009 Long-Term Incentive Plan.</w:t>
      </w:r>
    </w:p>
    <w:p>
      <w:pPr>
        <w:spacing w:after="0" w:line="48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5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option becomes exercisable in four equal annual installments beginning on January 25, 2014.</w:t>
      </w:r>
    </w:p>
    <w:p>
      <w:pPr>
        <w:spacing w:after="0" w:line="48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5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option becomes exercisable in four equal annual installments beginning on January 23, 2015.</w:t>
      </w:r>
    </w:p>
    <w:p>
      <w:pPr>
        <w:spacing w:after="0" w:line="48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5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option becomes exercisable in four equal annual installments beginning on January 26, 2018.</w:t>
      </w:r>
    </w:p>
    <w:p>
      <w:pPr>
        <w:spacing w:after="0" w:line="59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Muriel C. McFarling,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01/30/2017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168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restart"/>
          </w:tcPr>
          <w:p>
            <w:pPr>
              <w:spacing w:after="0" w:line="19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Attorney in Fact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1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1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jc w:val="both"/>
        <w:ind w:left="40" w:right="3860" w:firstLine="5"/>
        <w:spacing w:after="0" w:line="315" w:lineRule="auto"/>
        <w:tabs>
          <w:tab w:leader="none" w:pos="179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8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649112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2019-12-23T20:58:15Z</dcterms:created>
  <dcterms:modified xsi:type="dcterms:W3CDTF">2019-12-23T20:58:15Z</dcterms:modified>
</cp:coreProperties>
</file>