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14D-1</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AMATI COMMUNICATIONS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DSL ACQUISITION CORPORATION</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(Bidders)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COMMON STOCK, PAR VALUE $.20 PER SHARE</w:t>
      </w:r>
    </w:p>
    <w:p>
      <w:pPr>
        <w:jc w:val="center"/>
        <w:ind w:right="20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023115 10 8</w:t>
      </w:r>
    </w:p>
    <w:p>
      <w:pPr>
        <w:jc w:val="center"/>
        <w:ind w:right="21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CHARLES D. TOBIN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2099"/>
        <w:spacing w:after="0"/>
        <w:rPr>
          <w:sz w:val="20"/>
          <w:szCs w:val="20"/>
          <w:color w:val="auto"/>
        </w:rPr>
      </w:pPr>
      <w:r>
        <w:rPr>
          <w:rFonts w:ascii="Courier New" w:cs="Courier New" w:eastAsia="Courier New" w:hAnsi="Courier New"/>
          <w:sz w:val="18"/>
          <w:szCs w:val="18"/>
          <w:color w:val="auto"/>
        </w:rPr>
        <w:t>7839 CHURCHILL WAY</w:t>
      </w:r>
    </w:p>
    <w:p>
      <w:pPr>
        <w:jc w:val="center"/>
        <w:ind w:right="2099"/>
        <w:spacing w:after="0" w:line="237" w:lineRule="auto"/>
        <w:tabs>
          <w:tab w:leader="none" w:pos="180" w:val="left"/>
        </w:tabs>
        <w:rPr>
          <w:sz w:val="20"/>
          <w:szCs w:val="20"/>
          <w:color w:val="auto"/>
        </w:rPr>
      </w:pPr>
      <w:r>
        <w:rPr>
          <w:rFonts w:ascii="Courier New" w:cs="Courier New" w:eastAsia="Courier New" w:hAnsi="Courier New"/>
          <w:sz w:val="18"/>
          <w:szCs w:val="18"/>
          <w:color w:val="auto"/>
        </w:rPr>
        <w:t>DALLAS, TEXAS</w:t>
        <w:tab/>
        <w:t>75265</w:t>
      </w:r>
    </w:p>
    <w:p>
      <w:pPr>
        <w:spacing w:after="0" w:line="207" w:lineRule="exact"/>
        <w:rPr>
          <w:sz w:val="24"/>
          <w:szCs w:val="24"/>
          <w:color w:val="auto"/>
        </w:rPr>
      </w:pPr>
    </w:p>
    <w:p>
      <w:pPr>
        <w:ind w:left="740" w:right="2839"/>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the Bidders)</w:t>
      </w:r>
    </w:p>
    <w:p>
      <w:pPr>
        <w:spacing w:after="0" w:line="16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 SCOTT COHEN, ESQ.</w:t>
      </w:r>
    </w:p>
    <w:p>
      <w:pPr>
        <w:jc w:val="center"/>
        <w:ind w:right="2099"/>
        <w:spacing w:after="0" w:line="238" w:lineRule="auto"/>
        <w:rPr>
          <w:sz w:val="20"/>
          <w:szCs w:val="20"/>
          <w:color w:val="auto"/>
        </w:rPr>
      </w:pPr>
      <w:r>
        <w:rPr>
          <w:rFonts w:ascii="Courier New" w:cs="Courier New" w:eastAsia="Courier New" w:hAnsi="Courier New"/>
          <w:sz w:val="18"/>
          <w:szCs w:val="18"/>
          <w:color w:val="auto"/>
        </w:rPr>
        <w:t>WEIL, GOTSHAL &amp; MANGES LLP</w:t>
      </w:r>
    </w:p>
    <w:p>
      <w:pPr>
        <w:ind w:left="2320"/>
        <w:spacing w:after="0"/>
        <w:rPr>
          <w:sz w:val="20"/>
          <w:szCs w:val="20"/>
          <w:color w:val="auto"/>
        </w:rPr>
      </w:pPr>
      <w:r>
        <w:rPr>
          <w:rFonts w:ascii="Courier New" w:cs="Courier New" w:eastAsia="Courier New" w:hAnsi="Courier New"/>
          <w:sz w:val="18"/>
          <w:szCs w:val="18"/>
          <w:color w:val="auto"/>
        </w:rPr>
        <w:t>100 CRESCENT COURT, SUITE 1300</w:t>
      </w:r>
    </w:p>
    <w:p>
      <w:pPr>
        <w:ind w:left="2540"/>
        <w:spacing w:after="0"/>
        <w:tabs>
          <w:tab w:leader="none" w:pos="410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75201-6950</w:t>
      </w:r>
    </w:p>
    <w:p>
      <w:pPr>
        <w:ind w:left="3800" w:hanging="636"/>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746-7738</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4 Pages</w:t>
      </w:r>
    </w:p>
    <w:p>
      <w:pPr>
        <w:ind w:left="2120"/>
        <w:spacing w:after="0" w:line="238" w:lineRule="auto"/>
        <w:rPr>
          <w:sz w:val="20"/>
          <w:szCs w:val="20"/>
          <w:color w:val="auto"/>
        </w:rPr>
      </w:pPr>
      <w:r>
        <w:rPr>
          <w:rFonts w:ascii="Courier New" w:cs="Courier New" w:eastAsia="Courier New" w:hAnsi="Courier New"/>
          <w:sz w:val="18"/>
          <w:szCs w:val="18"/>
          <w:color w:val="auto"/>
        </w:rPr>
        <w:t>Exhibit Index is Located on Page 4</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firstLine="737"/>
        <w:spacing w:after="0" w:line="271" w:lineRule="auto"/>
        <w:rPr>
          <w:sz w:val="20"/>
          <w:szCs w:val="20"/>
          <w:color w:val="auto"/>
        </w:rPr>
      </w:pPr>
      <w:r>
        <w:rPr>
          <w:rFonts w:ascii="Courier New" w:cs="Courier New" w:eastAsia="Courier New" w:hAnsi="Courier New"/>
          <w:sz w:val="16"/>
          <w:szCs w:val="16"/>
          <w:color w:val="auto"/>
        </w:rPr>
        <w:t>This Amendment No. 1 supplements and amends the Tender Offer Statement on Schedule 14D-1 (the "Schedule 14D-1") relating to the tender offer by DSL Acquisition Corporation, a Delaware corporation ("Purchaser") and a wholly owned subsidiary of Texas Instruments Incorporated, a Delaware corporation ("Parent"), to purchase all outstanding shares of Common Stock, par value $.20 per share (the "Shares"), of Amati Communications Corporation, a Delaware corporation, at $20.00 per share net to the Seller in cash, without interest.</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Clause (iii) of the first paragraph of Section 14 of the Offer to Purchase, "Conditions to the Offer," which Section 14 is incorporated by reference in Item 10 of the Schedule 14D-1, is hereby deleted, and the following is inserted in lieu thereof:</w:t>
      </w:r>
    </w:p>
    <w:p>
      <w:pPr>
        <w:spacing w:after="0" w:line="207" w:lineRule="exact"/>
        <w:rPr>
          <w:sz w:val="20"/>
          <w:szCs w:val="20"/>
          <w:color w:val="auto"/>
        </w:rPr>
      </w:pPr>
    </w:p>
    <w:p>
      <w:pPr>
        <w:ind w:left="1480" w:right="2419"/>
        <w:spacing w:after="0" w:line="236" w:lineRule="auto"/>
        <w:rPr>
          <w:sz w:val="20"/>
          <w:szCs w:val="20"/>
          <w:color w:val="auto"/>
        </w:rPr>
      </w:pPr>
      <w:r>
        <w:rPr>
          <w:rFonts w:ascii="Courier New" w:cs="Courier New" w:eastAsia="Courier New" w:hAnsi="Courier New"/>
          <w:sz w:val="18"/>
          <w:szCs w:val="18"/>
          <w:color w:val="auto"/>
        </w:rPr>
        <w:t>"at any time on or after November 19, 1997, and prior to the expiration of the Offer, any of the following events shall occur:"</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199" w:firstLine="737"/>
        <w:spacing w:after="0" w:line="235" w:lineRule="auto"/>
        <w:rPr>
          <w:sz w:val="20"/>
          <w:szCs w:val="20"/>
          <w:color w:val="auto"/>
        </w:rPr>
      </w:pPr>
      <w:r>
        <w:rPr>
          <w:rFonts w:ascii="Courier New" w:cs="Courier New" w:eastAsia="Courier New" w:hAnsi="Courier New"/>
          <w:sz w:val="18"/>
          <w:szCs w:val="18"/>
          <w:color w:val="auto"/>
        </w:rPr>
        <w:t>The reference to Exhibit 99(c)(6) is deleted in its entirety, and the following is inserted in lieu thereof:</w:t>
      </w:r>
    </w:p>
    <w:p>
      <w:pPr>
        <w:spacing w:after="0" w:line="208" w:lineRule="exact"/>
        <w:rPr>
          <w:sz w:val="20"/>
          <w:szCs w:val="20"/>
          <w:color w:val="auto"/>
        </w:rPr>
      </w:pPr>
    </w:p>
    <w:p>
      <w:pPr>
        <w:ind w:left="2960" w:right="1879" w:hanging="1479"/>
        <w:spacing w:after="0" w:line="235" w:lineRule="auto"/>
        <w:tabs>
          <w:tab w:leader="none" w:pos="2940" w:val="left"/>
        </w:tabs>
        <w:rPr>
          <w:sz w:val="20"/>
          <w:szCs w:val="20"/>
          <w:color w:val="auto"/>
        </w:rPr>
      </w:pPr>
      <w:r>
        <w:rPr>
          <w:rFonts w:ascii="Courier New" w:cs="Courier New" w:eastAsia="Courier New" w:hAnsi="Courier New"/>
          <w:sz w:val="18"/>
          <w:szCs w:val="18"/>
          <w:color w:val="auto"/>
        </w:rPr>
        <w:t>"99(c)(6)</w:t>
      </w:r>
      <w:r>
        <w:rPr>
          <w:sz w:val="20"/>
          <w:szCs w:val="20"/>
          <w:color w:val="auto"/>
        </w:rPr>
        <w:tab/>
      </w:r>
      <w:r>
        <w:rPr>
          <w:rFonts w:ascii="Courier New" w:cs="Courier New" w:eastAsia="Courier New" w:hAnsi="Courier New"/>
          <w:sz w:val="18"/>
          <w:szCs w:val="18"/>
          <w:color w:val="auto"/>
        </w:rPr>
        <w:t>Retention Agreement, dated as of November 19, 1997, by and between Parent and James D. 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737"/>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17, 1997</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DSL ACQUISITION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/s/ MARVIN S. SELF</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Marvin S. Self</w:t>
      </w:r>
    </w:p>
    <w:p>
      <w:pPr>
        <w:ind w:left="5160"/>
        <w:spacing w:after="0"/>
        <w:tabs>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/s/ RICHARD K. TEMPLETON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Richard K. Templeton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690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EXHIBIT INDEX</w:t>
            </w:r>
          </w:p>
        </w:tc>
      </w:tr>
      <w:tr>
        <w:trPr>
          <w:trHeight w:val="1013"/>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9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99(a)(1)</w:t>
            </w:r>
          </w:p>
        </w:tc>
        <w:tc>
          <w:tcPr>
            <w:tcW w:w="6900" w:type="dxa"/>
            <w:vAlign w:val="bottom"/>
          </w:tcPr>
          <w:p>
            <w:pPr>
              <w:ind w:left="40"/>
              <w:spacing w:after="0"/>
              <w:rPr>
                <w:sz w:val="20"/>
                <w:szCs w:val="20"/>
                <w:color w:val="auto"/>
              </w:rPr>
            </w:pPr>
            <w:r>
              <w:rPr>
                <w:rFonts w:ascii="Courier New" w:cs="Courier New" w:eastAsia="Courier New" w:hAnsi="Courier New"/>
                <w:sz w:val="18"/>
                <w:szCs w:val="18"/>
                <w:color w:val="auto"/>
              </w:rPr>
              <w:t>Offer to Purchase, dated November 25, 1997.*</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99(a)(2)</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Letter of Transmittal.*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99(a)(3)</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Notice of Guaranteed Delivery.*</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99(a)(4)</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Letter to Brokers, Dealers, Commercial Banks, Trust Companies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Nominees.*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99(a)(5)</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Letter to Clients for use by Brokers, Dealers, Commercial Banks,</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 Companies and Other Nominees.*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99(a)(6)</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Guidelines for Certification of Taxpayer Identification Number on</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Substitute Form W-9.*</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99(a)(7)</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of Summary Advertisement, dated November 25, 1997.*</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99(a)(8)</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Text of Press Release, dated November 19, 1997.*</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99(c)(1)</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Agreement and Plan of Merger, dated as of November 19, 1997, by</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among the Company, Parent and the Purchaser.*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99(c)(2)</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Loan and Security Agreement, dated November 19, 1997, by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Parent and the Company.*</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99(c)(3)</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Confidentiality Agreement, dated as of July 22, 1997, by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Parent and the Company.*</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99(c)(4)</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Retention Agreement, dated as of November 19, 1997, by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Parent and James E. Steenbergen.*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99(c)(5)</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Retention Agreement, dated as of November 19, 1997, by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Parent and Ronald Carlini.*</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99(c)(6)</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Retention Agreement, dated as of November 19, 1997, by and</w:t>
            </w:r>
          </w:p>
        </w:tc>
      </w:tr>
      <w:tr>
        <w:trPr>
          <w:trHeight w:val="203"/>
        </w:trPr>
        <w:tc>
          <w:tcPr>
            <w:tcW w:w="14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Parent and James D. Hood.*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99(d)</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99(e)</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99(f)</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810"/>
        </w:trPr>
        <w:tc>
          <w:tcPr>
            <w:tcW w:w="1440" w:type="dxa"/>
            <w:vAlign w:val="bottom"/>
          </w:tcPr>
          <w:p>
            <w:pPr>
              <w:spacing w:after="0"/>
              <w:rPr>
                <w:sz w:val="20"/>
                <w:szCs w:val="20"/>
                <w:color w:val="auto"/>
              </w:rPr>
            </w:pPr>
            <w:r>
              <w:rPr>
                <w:rFonts w:ascii="Courier New" w:cs="Courier New" w:eastAsia="Courier New" w:hAnsi="Courier New"/>
                <w:sz w:val="18"/>
                <w:szCs w:val="18"/>
                <w:color w:val="auto"/>
              </w:rPr>
              <w:t>*  Previously</w:t>
            </w:r>
          </w:p>
        </w:tc>
        <w:tc>
          <w:tcPr>
            <w:tcW w:w="6900" w:type="dxa"/>
            <w:vAlign w:val="bottom"/>
          </w:tcPr>
          <w:p>
            <w:pPr>
              <w:ind w:left="40"/>
              <w:spacing w:after="0"/>
              <w:rPr>
                <w:sz w:val="20"/>
                <w:szCs w:val="20"/>
                <w:color w:val="auto"/>
              </w:rPr>
            </w:pPr>
            <w:r>
              <w:rPr>
                <w:rFonts w:ascii="Courier New" w:cs="Courier New" w:eastAsia="Courier New" w:hAnsi="Courier New"/>
                <w:sz w:val="18"/>
                <w:szCs w:val="18"/>
                <w:color w:val="auto"/>
              </w:rPr>
              <w:t>Filed.</w:t>
            </w:r>
          </w:p>
        </w:tc>
      </w:tr>
      <w:tr>
        <w:trPr>
          <w:trHeight w:val="1215"/>
        </w:trPr>
        <w:tc>
          <w:tcPr>
            <w:tcW w:w="1440" w:type="dxa"/>
            <w:vAlign w:val="bottom"/>
          </w:tcPr>
          <w:p>
            <w:pPr>
              <w:spacing w:after="0"/>
              <w:rPr>
                <w:sz w:val="24"/>
                <w:szCs w:val="24"/>
                <w:color w:val="auto"/>
              </w:rPr>
            </w:pPr>
          </w:p>
        </w:tc>
        <w:tc>
          <w:tcPr>
            <w:tcW w:w="6900" w:type="dxa"/>
            <w:vAlign w:val="bottom"/>
          </w:tcPr>
          <w:p>
            <w:pPr>
              <w:ind w:left="2680"/>
              <w:spacing w:after="0"/>
              <w:rPr>
                <w:sz w:val="20"/>
                <w:szCs w:val="20"/>
                <w:color w:val="auto"/>
              </w:rPr>
            </w:pPr>
            <w:r>
              <w:rPr>
                <w:rFonts w:ascii="Courier New" w:cs="Courier New" w:eastAsia="Courier New" w:hAnsi="Courier New"/>
                <w:sz w:val="18"/>
                <w:szCs w:val="18"/>
                <w:color w:val="auto"/>
              </w:rPr>
              <w:t>4</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2019-12-16T14:46:31Z</dcterms:created>
  <dcterms:modified xsi:type="dcterms:W3CDTF">2019-12-16T14:46:31Z</dcterms:modified>
</cp:coreProperties>
</file>