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719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195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8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01/28/2010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89"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8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01/28/2010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31,668</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jc w:val="center"/>
              <w:ind w:right="2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117,400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01/29/2010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8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15,000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22.6988</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102,400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 Self</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(3)</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Children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4" w:lineRule="exact"/>
              <w:rPr>
                <w:sz w:val="20"/>
                <w:szCs w:val="20"/>
                <w:color w:val="auto"/>
              </w:rPr>
            </w:pPr>
            <w:r>
              <w:rPr>
                <w:rFonts w:ascii="Arial" w:cs="Arial" w:eastAsia="Arial" w:hAnsi="Arial"/>
                <w:sz w:val="17"/>
                <w:szCs w:val="17"/>
                <w:color w:val="0000FF"/>
                <w:w w:val="85"/>
              </w:rPr>
              <w:t>221.75</w:t>
            </w:r>
            <w:r>
              <w:rPr>
                <w:rFonts w:ascii="Arial" w:cs="Arial" w:eastAsia="Arial" w:hAnsi="Arial"/>
                <w:sz w:val="22"/>
                <w:szCs w:val="22"/>
                <w:color w:val="008000"/>
                <w:w w:val="85"/>
                <w:vertAlign w:val="superscript"/>
              </w:rPr>
              <w:t>(4)</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4" w:lineRule="exact"/>
              <w:rPr>
                <w:sz w:val="20"/>
                <w:szCs w:val="20"/>
                <w:color w:val="auto"/>
              </w:rPr>
            </w:pPr>
            <w:r>
              <w:rPr>
                <w:rFonts w:ascii="Arial" w:cs="Arial" w:eastAsia="Arial" w:hAnsi="Arial"/>
                <w:sz w:val="17"/>
                <w:szCs w:val="17"/>
                <w:color w:val="0000FF"/>
                <w:w w:val="87"/>
              </w:rPr>
              <w:t>5,990.98</w:t>
            </w:r>
            <w:r>
              <w:rPr>
                <w:rFonts w:ascii="Arial" w:cs="Arial" w:eastAsia="Arial" w:hAnsi="Arial"/>
                <w:sz w:val="22"/>
                <w:szCs w:val="22"/>
                <w:color w:val="008000"/>
                <w:w w:val="87"/>
                <w:vertAlign w:val="superscript"/>
              </w:rPr>
              <w:t>(5)</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23.05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01/28/2010</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95,000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(6)</w:t>
            </w:r>
          </w:p>
        </w:tc>
        <w:tc>
          <w:tcPr>
            <w:tcW w:w="760" w:type="dxa"/>
            <w:vAlign w:val="bottom"/>
          </w:tcPr>
          <w:p>
            <w:pPr>
              <w:ind w:left="80"/>
              <w:spacing w:after="0"/>
              <w:rPr>
                <w:sz w:val="20"/>
                <w:szCs w:val="20"/>
                <w:color w:val="auto"/>
              </w:rPr>
            </w:pPr>
            <w:r>
              <w:rPr>
                <w:rFonts w:ascii="Arial" w:cs="Arial" w:eastAsia="Arial" w:hAnsi="Arial"/>
                <w:sz w:val="13"/>
                <w:szCs w:val="13"/>
                <w:color w:val="0000FF"/>
              </w:rPr>
              <w:t>01/28/2020</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95,000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95,000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51" w:lineRule="exact"/>
        <w:rPr>
          <w:rFonts w:ascii="Arial" w:cs="Arial" w:eastAsia="Arial" w:hAnsi="Arial"/>
          <w:sz w:val="13"/>
          <w:szCs w:val="13"/>
          <w:color w:val="008000"/>
        </w:rPr>
      </w:pPr>
    </w:p>
    <w:p>
      <w:pPr>
        <w:ind w:left="40" w:right="5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5-5-2009. The sales were at prices ranging from $22.3301 to $23.1715. The price in Table 1 is the weighted average sale price.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12-31-09. (Interests in this account are denominated in units. Consequently, share amount shown is an estimate.) This statement does not include changes in beneficial ownership of shares held in this account occurring after 12-31-09 that are eligible for deferred reporting on Form 5.</w:t>
      </w:r>
    </w:p>
    <w:p>
      <w:pPr>
        <w:spacing w:after="0" w:line="9"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12-31-09. (Interests in this account are denominated in units. Consequently, share amount shown is an estimate.) This statement does not include changes in beneficial ownership of shares held in such account occurring after 12-31-09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28, 2011.</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02/01/2010</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8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2019-12-16T23:05:50Z</dcterms:created>
  <dcterms:modified xsi:type="dcterms:W3CDTF">2019-12-16T23:05:50Z</dcterms:modified>
</cp:coreProperties>
</file>