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January 4, 2001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Pursuant to Rule 424(b)(4)</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Registration No. 333-44572-01</w:t>
      </w: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333-44572</w:t>
      </w:r>
    </w:p>
    <w:p>
      <w:pPr>
        <w:spacing w:after="0" w:line="200" w:lineRule="exact"/>
        <w:rPr>
          <w:sz w:val="24"/>
          <w:szCs w:val="24"/>
          <w:color w:val="auto"/>
        </w:rPr>
      </w:pPr>
    </w:p>
    <w:p>
      <w:pPr>
        <w:sectPr>
          <w:pgSz w:w="11900" w:h="16853" w:orient="portrait"/>
          <w:cols w:equalWidth="0" w:num="2">
            <w:col w:w="4340" w:space="720"/>
            <w:col w:w="5159"/>
          </w:cols>
          <w:pgMar w:left="240" w:top="649" w:right="1440" w:bottom="0" w:gutter="0" w:footer="0" w:header="0"/>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2,257,113 SHARES OF COMMON STOCK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ISSUABLE UPON CONVERSION OF TEXAS INSTRUMENTS TUCSON CORPORATION'S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4 1/4% CONVERTIBLE SUBORDINATED NOTES DUE 2007</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1896"/>
        <w:spacing w:after="0" w:line="272" w:lineRule="auto"/>
        <w:rPr>
          <w:sz w:val="20"/>
          <w:szCs w:val="20"/>
          <w:color w:val="auto"/>
        </w:rPr>
      </w:pPr>
      <w:r>
        <w:rPr>
          <w:rFonts w:ascii="Courier New" w:cs="Courier New" w:eastAsia="Courier New" w:hAnsi="Courier New"/>
          <w:sz w:val="16"/>
          <w:szCs w:val="16"/>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 1/4% Convertible Subordinated Notes due 2007.</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CHANGE IN SELLING SECURITYHOLDER INFORMATION</w:t>
      </w:r>
    </w:p>
    <w:p>
      <w:pPr>
        <w:spacing w:after="0" w:line="207" w:lineRule="exact"/>
        <w:rPr>
          <w:sz w:val="24"/>
          <w:szCs w:val="24"/>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pacing w:after="0" w:line="202"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AMOUNT AT</w:t>
      </w:r>
    </w:p>
    <w:p>
      <w:pPr>
        <w:jc w:val="center"/>
        <w:ind w:right="8739"/>
        <w:spacing w:after="0"/>
        <w:rPr>
          <w:sz w:val="20"/>
          <w:szCs w:val="20"/>
          <w:color w:val="auto"/>
        </w:rPr>
      </w:pPr>
      <w:r>
        <w:rPr>
          <w:rFonts w:ascii="Courier New" w:cs="Courier New" w:eastAsia="Courier New" w:hAnsi="Courier New"/>
          <w:sz w:val="18"/>
          <w:szCs w:val="18"/>
          <w:color w:val="auto"/>
        </w:rPr>
        <w:t>MATURITY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NOTES SHARES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PERCENTAGE</w:t>
      </w:r>
    </w:p>
    <w:p>
      <w:pPr>
        <w:jc w:val="center"/>
        <w:ind w:right="8739"/>
        <w:spacing w:after="0"/>
        <w:rPr>
          <w:sz w:val="20"/>
          <w:szCs w:val="20"/>
          <w:color w:val="auto"/>
        </w:rPr>
      </w:pPr>
      <w:r>
        <w:rPr>
          <w:rFonts w:ascii="Courier New" w:cs="Courier New" w:eastAsia="Courier New" w:hAnsi="Courier New"/>
          <w:sz w:val="18"/>
          <w:szCs w:val="18"/>
          <w:color w:val="auto"/>
        </w:rPr>
        <w:t>COMMON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PERCENTAGE OF</w:t>
      </w:r>
    </w:p>
    <w:p>
      <w:pPr>
        <w:jc w:val="center"/>
        <w:ind w:right="8739"/>
        <w:spacing w:after="0"/>
        <w:rPr>
          <w:sz w:val="20"/>
          <w:szCs w:val="20"/>
          <w:color w:val="auto"/>
        </w:rPr>
      </w:pPr>
      <w:r>
        <w:rPr>
          <w:rFonts w:ascii="Courier New" w:cs="Courier New" w:eastAsia="Courier New" w:hAnsi="Courier New"/>
          <w:sz w:val="18"/>
          <w:szCs w:val="18"/>
          <w:color w:val="auto"/>
        </w:rPr>
        <w:t>OWNED THAT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NOTES THAT</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MAY COMMON</w:t>
      </w:r>
    </w:p>
    <w:p>
      <w:pPr>
        <w:jc w:val="center"/>
        <w:ind w:right="8739"/>
        <w:spacing w:after="0"/>
        <w:rPr>
          <w:sz w:val="20"/>
          <w:szCs w:val="20"/>
          <w:color w:val="auto"/>
        </w:rPr>
      </w:pPr>
      <w:r>
        <w:rPr>
          <w:rFonts w:ascii="Courier New" w:cs="Courier New" w:eastAsia="Courier New" w:hAnsi="Courier New"/>
          <w:sz w:val="18"/>
          <w:szCs w:val="18"/>
          <w:color w:val="auto"/>
        </w:rPr>
        <w:t>STOCK NAME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SELLING</w:t>
      </w:r>
    </w:p>
    <w:p>
      <w:pPr>
        <w:spacing w:after="0" w:line="5"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6"/>
          <w:szCs w:val="16"/>
          <w:color w:val="auto"/>
        </w:rPr>
        <w:t>SECURITYHOLDER</w:t>
      </w:r>
    </w:p>
    <w:p>
      <w:pPr>
        <w:spacing w:after="0" w:line="16"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8"/>
          <w:szCs w:val="18"/>
          <w:color w:val="auto"/>
        </w:rPr>
        <w:t>MAY BE SOLD</w:t>
      </w:r>
    </w:p>
    <w:p>
      <w:pPr>
        <w:jc w:val="center"/>
        <w:ind w:right="873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739"/>
        <w:spacing w:after="0"/>
        <w:rPr>
          <w:sz w:val="20"/>
          <w:szCs w:val="20"/>
          <w:color w:val="auto"/>
        </w:rPr>
      </w:pPr>
      <w:r>
        <w:rPr>
          <w:rFonts w:ascii="Courier New" w:cs="Courier New" w:eastAsia="Courier New" w:hAnsi="Courier New"/>
          <w:sz w:val="18"/>
          <w:szCs w:val="18"/>
          <w:color w:val="auto"/>
        </w:rPr>
        <w:t>BE SOLD(1)</w:t>
      </w:r>
    </w:p>
    <w:p>
      <w:pPr>
        <w:spacing w:after="0" w:line="3" w:lineRule="exact"/>
        <w:rPr>
          <w:sz w:val="24"/>
          <w:szCs w:val="24"/>
          <w:color w:val="auto"/>
        </w:rPr>
      </w:pPr>
    </w:p>
    <w:p>
      <w:pPr>
        <w:jc w:val="center"/>
        <w:ind w:right="8739"/>
        <w:spacing w:after="0"/>
        <w:rPr>
          <w:sz w:val="20"/>
          <w:szCs w:val="20"/>
          <w:color w:val="auto"/>
        </w:rPr>
      </w:pPr>
      <w:r>
        <w:rPr>
          <w:rFonts w:ascii="Courier New" w:cs="Courier New" w:eastAsia="Courier New" w:hAnsi="Courier New"/>
          <w:sz w:val="16"/>
          <w:szCs w:val="16"/>
          <w:color w:val="auto"/>
        </w:rPr>
        <w:t>OUTSTANDING(2)</w:t>
      </w:r>
    </w:p>
    <w:p>
      <w:pPr>
        <w:spacing w:after="0" w:line="16" w:lineRule="exact"/>
        <w:rPr>
          <w:sz w:val="24"/>
          <w:szCs w:val="24"/>
          <w:color w:val="auto"/>
        </w:rPr>
      </w:pPr>
    </w:p>
    <w:p>
      <w:pPr>
        <w:ind w:left="280" w:hanging="221"/>
        <w:spacing w:after="0"/>
        <w:tabs>
          <w:tab w:leader="none" w:pos="2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120" w:right="883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Pell Rudman Trust Co. $150,000 * 3,375 *</w:t>
      </w:r>
    </w:p>
    <w:p>
      <w:pPr>
        <w:spacing w:after="0" w:line="37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7" w:lineRule="exact"/>
        <w:rPr>
          <w:sz w:val="24"/>
          <w:szCs w:val="24"/>
          <w:color w:val="auto"/>
        </w:rPr>
      </w:pPr>
    </w:p>
    <w:p>
      <w:pPr>
        <w:ind w:left="960" w:right="1999" w:hanging="952"/>
        <w:spacing w:after="0" w:line="272"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85" w:lineRule="exact"/>
        <w:rPr>
          <w:rFonts w:ascii="Courier New" w:cs="Courier New" w:eastAsia="Courier New" w:hAnsi="Courier New"/>
          <w:sz w:val="16"/>
          <w:szCs w:val="16"/>
          <w:color w:val="auto"/>
        </w:rPr>
      </w:pPr>
    </w:p>
    <w:p>
      <w:pPr>
        <w:ind w:left="960" w:right="1779" w:hanging="952"/>
        <w:spacing w:after="0" w:line="237"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Rule 13d-3(d)(i) of the Securities and Exchange Act using 1,733,216,856 shares of Texas Instruments common stock issued and outstanding as of October 21, 2002. Assumes the number of shares of Texas Instruments common stock issuable upon conversion of all of that particular holder's notes are outstanding. However, this does not include the conversion of any other holder's notes.</w:t>
      </w:r>
    </w:p>
    <w:p>
      <w:pPr>
        <w:spacing w:after="0" w:line="210" w:lineRule="exact"/>
        <w:rPr>
          <w:sz w:val="24"/>
          <w:szCs w:val="24"/>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THE SECURITIES OFFERED HEREBY INVOLVE A HIGH DEGREE OF RISK. SEE "RISK FACTORS" BEGINNING ON PAGE 3 OF THE PROSPECTUS.</w:t>
      </w:r>
    </w:p>
    <w:p>
      <w:pPr>
        <w:sectPr>
          <w:pgSz w:w="11900" w:h="16853" w:orient="portrait"/>
          <w:cols w:equalWidth="0" w:num="1">
            <w:col w:w="10219"/>
          </w:cols>
          <w:pgMar w:left="240" w:top="649" w:right="1440" w:bottom="0" w:gutter="0" w:footer="0" w:header="0"/>
          <w:type w:val="continuous"/>
        </w:sectPr>
      </w:pPr>
    </w:p>
    <w:bookmarkStart w:id="1" w:name="page2"/>
    <w:bookmarkEnd w:id="1"/>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date of this Prospectus Supplement is October 22, 2002.</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2019-12-12T10:38:55Z</dcterms:created>
  <dcterms:modified xsi:type="dcterms:W3CDTF">2019-12-12T10:38:55Z</dcterms:modified>
</cp:coreProperties>
</file>