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1500"/>
          </w:cols>
          <w:pgMar w:left="240" w:top="250" w:right="159" w:bottom="144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January 4, 2001</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424(b)(4)</w:t>
      </w:r>
    </w:p>
    <w:p>
      <w:pPr>
        <w:spacing w:after="0" w:line="2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Registration No. 333-44572-01</w:t>
      </w:r>
    </w:p>
    <w:p>
      <w:pPr>
        <w:spacing w:after="0" w:line="16"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333-44572</w:t>
      </w:r>
    </w:p>
    <w:p>
      <w:pPr>
        <w:spacing w:after="0" w:line="200" w:lineRule="exact"/>
        <w:rPr>
          <w:sz w:val="24"/>
          <w:szCs w:val="24"/>
          <w:color w:val="auto"/>
        </w:rPr>
      </w:pPr>
    </w:p>
    <w:p>
      <w:pPr>
        <w:sectPr>
          <w:pgSz w:w="11900" w:h="16838" w:orient="portrait"/>
          <w:cols w:equalWidth="0" w:num="2">
            <w:col w:w="4140" w:space="720"/>
            <w:col w:w="6640"/>
          </w:cols>
          <w:pgMar w:left="240" w:top="250" w:right="15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2,257,113 SHARES OF COMMON STOCK</w:t>
      </w:r>
    </w:p>
    <w:p>
      <w:pPr>
        <w:spacing w:after="0" w:line="201"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ISSUABLE UPON CONVERSION OF TEXAS INSTRUMENTS TUCSON CORPORATION'S</w:t>
      </w:r>
    </w:p>
    <w:p>
      <w:pPr>
        <w:jc w:val="center"/>
        <w:ind w:right="3060"/>
        <w:spacing w:after="0" w:line="238" w:lineRule="auto"/>
        <w:rPr>
          <w:sz w:val="20"/>
          <w:szCs w:val="20"/>
          <w:color w:val="auto"/>
        </w:rPr>
      </w:pPr>
      <w:r>
        <w:rPr>
          <w:rFonts w:ascii="Courier New" w:cs="Courier New" w:eastAsia="Courier New" w:hAnsi="Courier New"/>
          <w:sz w:val="18"/>
          <w:szCs w:val="18"/>
          <w:color w:val="auto"/>
        </w:rPr>
        <w:t>4 1/4% CONVERTIBLE SUBORDINATED NOTES DUE 2007</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160" w:firstLine="1580"/>
        <w:spacing w:after="0" w:line="272" w:lineRule="auto"/>
        <w:rPr>
          <w:sz w:val="20"/>
          <w:szCs w:val="20"/>
          <w:color w:val="auto"/>
        </w:rPr>
      </w:pPr>
      <w:r>
        <w:rPr>
          <w:rFonts w:ascii="Courier New" w:cs="Courier New" w:eastAsia="Courier New" w:hAnsi="Courier New"/>
          <w:sz w:val="16"/>
          <w:szCs w:val="16"/>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CHANGE IN SELLING SECURITYHOLDER INFORMATION</w:t>
      </w:r>
    </w:p>
    <w:p>
      <w:pPr>
        <w:spacing w:after="0" w:line="207" w:lineRule="exact"/>
        <w:rPr>
          <w:sz w:val="24"/>
          <w:szCs w:val="24"/>
          <w:color w:val="auto"/>
        </w:rPr>
      </w:pPr>
    </w:p>
    <w:p>
      <w:pPr>
        <w:ind w:right="3160" w:firstLine="1580"/>
        <w:spacing w:after="0" w:line="237" w:lineRule="auto"/>
        <w:rPr>
          <w:sz w:val="20"/>
          <w:szCs w:val="20"/>
          <w:color w:val="auto"/>
        </w:rPr>
      </w:pPr>
      <w:r>
        <w:rPr>
          <w:rFonts w:ascii="Courier New" w:cs="Courier New" w:eastAsia="Courier New" w:hAnsi="Courier New"/>
          <w:sz w:val="18"/>
          <w:szCs w:val="18"/>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PRINCIPAL</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AMOUNT AT</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MATURITY OF</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NOTES</w:t>
            </w:r>
          </w:p>
        </w:tc>
        <w:tc>
          <w:tcPr>
            <w:tcW w:w="1640" w:type="dxa"/>
            <w:vAlign w:val="bottom"/>
          </w:tcPr>
          <w:p>
            <w:pPr>
              <w:spacing w:after="0"/>
              <w:rPr>
                <w:sz w:val="17"/>
                <w:szCs w:val="17"/>
                <w:color w:val="auto"/>
              </w:rPr>
            </w:pP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SHARES OF</w:t>
            </w:r>
          </w:p>
        </w:tc>
        <w:tc>
          <w:tcPr>
            <w:tcW w:w="19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PERCENTAGE</w:t>
            </w:r>
          </w:p>
        </w:tc>
        <w:tc>
          <w:tcPr>
            <w:tcW w:w="17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COMMON STOCK</w:t>
            </w: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PERCENTAGE OF</w:t>
            </w:r>
          </w:p>
        </w:tc>
      </w:tr>
      <w:tr>
        <w:trPr>
          <w:trHeight w:val="203"/>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OWNED THAT</w:t>
            </w:r>
          </w:p>
        </w:tc>
        <w:tc>
          <w:tcPr>
            <w:tcW w:w="1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NOTES</w:t>
            </w:r>
          </w:p>
        </w:tc>
        <w:tc>
          <w:tcPr>
            <w:tcW w:w="17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THAT MAY</w:t>
            </w:r>
          </w:p>
        </w:tc>
        <w:tc>
          <w:tcPr>
            <w:tcW w:w="1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OF SELLING SECURITYHOLDER</w:t>
            </w:r>
          </w:p>
        </w:tc>
        <w:tc>
          <w:tcPr>
            <w:tcW w:w="21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MAY BE SOLD</w:t>
            </w: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OUTSTANDING</w:t>
            </w:r>
          </w:p>
        </w:tc>
        <w:tc>
          <w:tcPr>
            <w:tcW w:w="17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BE SOLD(1)</w:t>
            </w: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OUTSTANDING (2)</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Goldman Sachs and Company</w:t>
            </w: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$30,000</w:t>
            </w:r>
          </w:p>
        </w:tc>
        <w:tc>
          <w:tcPr>
            <w:tcW w:w="164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675</w:t>
            </w:r>
          </w:p>
        </w:tc>
        <w:tc>
          <w:tcPr>
            <w:tcW w:w="1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420" w:type="dxa"/>
            <w:vAlign w:val="bottom"/>
          </w:tcPr>
          <w:p>
            <w:pPr>
              <w:ind w:left="420"/>
              <w:spacing w:after="0"/>
              <w:rPr>
                <w:sz w:val="20"/>
                <w:szCs w:val="20"/>
                <w:color w:val="auto"/>
              </w:rPr>
            </w:pPr>
            <w:r>
              <w:rPr>
                <w:rFonts w:ascii="Courier New" w:cs="Courier New" w:eastAsia="Courier New" w:hAnsi="Courier New"/>
                <w:sz w:val="18"/>
                <w:szCs w:val="18"/>
                <w:color w:val="auto"/>
              </w:rPr>
              <w:t>Less than 1%</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7" w:lineRule="exact"/>
        <w:rPr>
          <w:sz w:val="24"/>
          <w:szCs w:val="24"/>
          <w:color w:val="auto"/>
        </w:rPr>
      </w:pPr>
    </w:p>
    <w:p>
      <w:pPr>
        <w:ind w:left="960" w:right="3280" w:hanging="952"/>
        <w:spacing w:after="0" w:line="272"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5" w:lineRule="exact"/>
        <w:rPr>
          <w:rFonts w:ascii="Courier New" w:cs="Courier New" w:eastAsia="Courier New" w:hAnsi="Courier New"/>
          <w:sz w:val="16"/>
          <w:szCs w:val="16"/>
          <w:color w:val="auto"/>
        </w:rPr>
      </w:pPr>
    </w:p>
    <w:p>
      <w:pPr>
        <w:ind w:left="960" w:right="3060"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Securities and Exchange Act using 1,737,307,448 shares of Texas Instruments common stock issued and outstanding as of April 27, 2001. Assumes the number of shares of Texas Instruments common stock issuable upon conversion of all of that particular holder's notes are outstanding. However, this does not include the conversion of any other holder's notes.</w:t>
      </w:r>
    </w:p>
    <w:p>
      <w:pPr>
        <w:spacing w:after="0" w:line="210" w:lineRule="exact"/>
        <w:rPr>
          <w:sz w:val="24"/>
          <w:szCs w:val="24"/>
          <w:color w:val="auto"/>
        </w:rPr>
      </w:pPr>
    </w:p>
    <w:p>
      <w:pPr>
        <w:ind w:right="3160" w:firstLine="948"/>
        <w:spacing w:after="0" w:line="235" w:lineRule="auto"/>
        <w:rPr>
          <w:sz w:val="20"/>
          <w:szCs w:val="20"/>
          <w:color w:val="auto"/>
        </w:rPr>
      </w:pPr>
      <w:r>
        <w:rPr>
          <w:rFonts w:ascii="Courier New" w:cs="Courier New" w:eastAsia="Courier New" w:hAnsi="Courier New"/>
          <w:sz w:val="18"/>
          <w:szCs w:val="18"/>
          <w:color w:val="auto"/>
        </w:rPr>
        <w:t>THE SECURITIES OFFERED HEREBY INVOLVE A HIGH DEGREE OF RISK. SEE "RISK FACTORS" BEGINNING ON PAGE 3 OF THE PROSPECTUS.</w:t>
      </w:r>
    </w:p>
    <w:p>
      <w:pPr>
        <w:spacing w:after="0" w:line="203" w:lineRule="exact"/>
        <w:rPr>
          <w:sz w:val="24"/>
          <w:szCs w:val="24"/>
          <w:color w:val="auto"/>
        </w:rPr>
      </w:pPr>
    </w:p>
    <w:p>
      <w:pPr>
        <w:jc w:val="right"/>
        <w:ind w:right="3060"/>
        <w:spacing w:after="0"/>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238" w:lineRule="auto"/>
        <w:rPr>
          <w:sz w:val="20"/>
          <w:szCs w:val="20"/>
          <w:color w:val="auto"/>
        </w:rPr>
      </w:pPr>
      <w:r>
        <w:rPr>
          <w:rFonts w:ascii="Courier New" w:cs="Courier New" w:eastAsia="Courier New" w:hAnsi="Courier New"/>
          <w:sz w:val="18"/>
          <w:szCs w:val="18"/>
          <w:color w:val="auto"/>
        </w:rPr>
        <w:t>COMMISSION HAS APPROVED OR DISAPPROVED OF THESE SECURITIES OR DETERMINED IF THIS</w:t>
      </w: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7" w:lineRule="auto"/>
        <w:rPr>
          <w:sz w:val="20"/>
          <w:szCs w:val="20"/>
          <w:color w:val="auto"/>
        </w:rPr>
      </w:pPr>
      <w:r>
        <w:rPr>
          <w:rFonts w:ascii="Courier New" w:cs="Courier New" w:eastAsia="Courier New" w:hAnsi="Courier New"/>
          <w:sz w:val="18"/>
          <w:szCs w:val="18"/>
          <w:color w:val="auto"/>
        </w:rPr>
        <w:t>CRIMINAL OFFENSE.</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Supplement is May 2, 2001.</w:t>
      </w:r>
    </w:p>
    <w:sectPr>
      <w:pgSz w:w="11900" w:h="16838" w:orient="portrait"/>
      <w:cols w:equalWidth="0" w:num="1">
        <w:col w:w="11500"/>
      </w:cols>
      <w:pgMar w:left="240" w:top="25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2019-12-13T07:49:52Z</dcterms:created>
  <dcterms:modified xsi:type="dcterms:W3CDTF">2019-12-13T07:49:52Z</dcterms:modified>
</cp:coreProperties>
</file>