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01/31/2007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6,081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30.84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140,291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02/01/2007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9"/>
              <w:spacing w:after="0"/>
              <w:rPr>
                <w:sz w:val="20"/>
                <w:szCs w:val="20"/>
                <w:color w:val="auto"/>
              </w:rPr>
            </w:pPr>
            <w:r>
              <w:rPr>
                <w:rFonts w:ascii="Arial" w:cs="Arial" w:eastAsia="Arial" w:hAnsi="Arial"/>
                <w:sz w:val="14"/>
                <w:szCs w:val="14"/>
                <w:color w:val="0000FF"/>
                <w:w w:val="85"/>
              </w:rPr>
              <w:t>S</w:t>
            </w:r>
          </w:p>
        </w:tc>
        <w:tc>
          <w:tcPr>
            <w:tcW w:w="740" w:type="dxa"/>
            <w:vAlign w:val="bottom"/>
          </w:tcPr>
          <w:p>
            <w:pPr>
              <w:jc w:val="right"/>
              <w:ind w:right="12"/>
              <w:spacing w:after="0"/>
              <w:rPr>
                <w:sz w:val="20"/>
                <w:szCs w:val="20"/>
                <w:color w:val="auto"/>
              </w:rPr>
            </w:pPr>
            <w:r>
              <w:rPr>
                <w:rFonts w:ascii="Arial" w:cs="Arial" w:eastAsia="Arial" w:hAnsi="Arial"/>
                <w:sz w:val="18"/>
                <w:szCs w:val="18"/>
                <w:color w:val="0000FF"/>
              </w:rPr>
              <w:t>16,419</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31.3584</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123,872</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20"/>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3,686.17</w:t>
            </w:r>
            <w:r>
              <w:rPr>
                <w:rFonts w:ascii="Arial" w:cs="Arial" w:eastAsia="Arial" w:hAnsi="Arial"/>
                <w:sz w:val="22"/>
                <w:szCs w:val="22"/>
                <w:color w:val="008000"/>
                <w:w w:val="84"/>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6,676.94</w:t>
            </w:r>
            <w:r>
              <w:rPr>
                <w:rFonts w:ascii="Arial" w:cs="Arial" w:eastAsia="Arial" w:hAnsi="Arial"/>
                <w:sz w:val="22"/>
                <w:szCs w:val="22"/>
                <w:color w:val="008000"/>
                <w:w w:val="84"/>
                <w:vertAlign w:val="superscript"/>
              </w:rPr>
              <w:t>(4)</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Trust--TI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4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1-18-07. (Interests in this account are denominated in units. Consequently, share amount shown is an estimate.) This statement does not include changes in beneficial ownership of shares held in such account occurring after 1-18-07 that are eligible for deferred reporting on Form 5.</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1-18-07. (Interests in this account are denominated in units. Consequently, share amount shown is an estimate.) This statement does not include changes in beneficial ownership of shares held in this account occurring after 1-18-07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2019-12-16T02:42:13Z</dcterms:created>
  <dcterms:modified xsi:type="dcterms:W3CDTF">2019-12-16T02:42:13Z</dcterms:modified>
</cp:coreProperties>
</file>