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77"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06/20/2008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877"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877"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315,411</w:t>
            </w:r>
          </w:p>
        </w:tc>
        <w:tc>
          <w:tcPr>
            <w:tcW w:w="36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5"/>
              </w:rPr>
              <w:t>1,450</w:t>
            </w:r>
            <w:r>
              <w:rPr>
                <w:rFonts w:ascii="Arial" w:cs="Arial" w:eastAsia="Arial" w:hAnsi="Arial"/>
                <w:sz w:val="22"/>
                <w:szCs w:val="22"/>
                <w:color w:val="008000"/>
                <w:w w:val="85"/>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00" w:type="dxa"/>
            <w:vAlign w:val="bottom"/>
          </w:tcPr>
          <w:p>
            <w:pPr>
              <w:ind w:left="60"/>
              <w:spacing w:after="0"/>
              <w:rPr>
                <w:sz w:val="20"/>
                <w:szCs w:val="20"/>
                <w:color w:val="auto"/>
              </w:rPr>
            </w:pPr>
            <w:r>
              <w:rPr>
                <w:rFonts w:ascii="Arial" w:cs="Arial" w:eastAsia="Arial" w:hAnsi="Arial"/>
                <w:sz w:val="18"/>
                <w:szCs w:val="18"/>
                <w:color w:val="0000FF"/>
              </w:rPr>
              <w:t>By</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271,550</w:t>
            </w:r>
            <w:r>
              <w:rPr>
                <w:rFonts w:ascii="Arial" w:cs="Arial" w:eastAsia="Arial" w:hAnsi="Arial"/>
                <w:sz w:val="22"/>
                <w:szCs w:val="22"/>
                <w:color w:val="008000"/>
                <w:w w:val="84"/>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3,033.16</w:t>
            </w:r>
            <w:r>
              <w:rPr>
                <w:rFonts w:ascii="Arial" w:cs="Arial" w:eastAsia="Arial" w:hAnsi="Arial"/>
                <w:sz w:val="22"/>
                <w:szCs w:val="22"/>
                <w:color w:val="008000"/>
                <w:w w:val="84"/>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79"/>
              </w:rPr>
              <w:t>466</w:t>
            </w:r>
            <w:r>
              <w:rPr>
                <w:rFonts w:ascii="Arial" w:cs="Arial" w:eastAsia="Arial" w:hAnsi="Arial"/>
                <w:sz w:val="22"/>
                <w:szCs w:val="22"/>
                <w:color w:val="008000"/>
                <w:w w:val="79"/>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8"/>
                <w:szCs w:val="18"/>
                <w:color w:val="0000FF"/>
                <w:w w:val="91"/>
              </w:rPr>
              <w:t>PS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1</w:t>
            </w:r>
            <w:r>
              <w:rPr>
                <w:rFonts w:ascii="Arial" w:cs="Arial" w:eastAsia="Arial" w:hAnsi="Arial"/>
                <w:sz w:val="11"/>
                <w:szCs w:val="11"/>
                <w:color w:val="008000"/>
              </w:rPr>
              <w:t>(5)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06/20/2008</w:t>
            </w:r>
          </w:p>
        </w:tc>
        <w:tc>
          <w:tcPr>
            <w:tcW w:w="114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6"/>
                <w:szCs w:val="16"/>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222.3</w:t>
            </w: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222.3</w:t>
            </w:r>
          </w:p>
        </w:tc>
        <w:tc>
          <w:tcPr>
            <w:tcW w:w="60" w:type="dxa"/>
            <w:vAlign w:val="bottom"/>
          </w:tcPr>
          <w:p>
            <w:pPr>
              <w:spacing w:after="0"/>
              <w:rPr>
                <w:sz w:val="16"/>
                <w:szCs w:val="16"/>
                <w:color w:val="auto"/>
              </w:rPr>
            </w:pPr>
          </w:p>
        </w:tc>
        <w:tc>
          <w:tcPr>
            <w:tcW w:w="74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29.99</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color w:val="0000FF"/>
                <w:w w:val="92"/>
              </w:rPr>
              <w:t>25,731.31</w:t>
            </w:r>
            <w:r>
              <w:rPr>
                <w:rFonts w:ascii="Arial" w:cs="Arial" w:eastAsia="Arial" w:hAnsi="Arial"/>
                <w:sz w:val="22"/>
                <w:szCs w:val="22"/>
                <w:color w:val="008000"/>
                <w:w w:val="92"/>
                <w:vertAlign w:val="superscript"/>
              </w:rPr>
              <w:t>(6)</w:t>
            </w:r>
          </w:p>
        </w:tc>
        <w:tc>
          <w:tcPr>
            <w:tcW w:w="560" w:type="dxa"/>
            <w:vAlign w:val="bottom"/>
            <w:vMerge w:val="restart"/>
          </w:tcPr>
          <w:p>
            <w:pPr>
              <w:ind w:left="400"/>
              <w:spacing w:after="0"/>
              <w:rPr>
                <w:sz w:val="20"/>
                <w:szCs w:val="20"/>
                <w:color w:val="auto"/>
              </w:rPr>
            </w:pPr>
            <w:r>
              <w:rPr>
                <w:rFonts w:ascii="Arial" w:cs="Arial" w:eastAsia="Arial" w:hAnsi="Arial"/>
                <w:sz w:val="14"/>
                <w:szCs w:val="14"/>
                <w:color w:val="0000FF"/>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3-31-08. (Interests in this account are denominated in units. Consequently, share amount shown is an estimate.) This statement does not include changes in beneficial ownership of shares held in this account occurring after 3-31-08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3-31-08. (Interests in this account are denominated in units. Consequently, share amount shown is an estimate.) This statement does not include changes in beneficial ownership of shares held in such account occurring after 3-31-08 that are eligible for deferred reporting on Form 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Security converts to common stock on a one-for-one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06/23/2008</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2019-12-16T02:29:13Z</dcterms:created>
  <dcterms:modified xsi:type="dcterms:W3CDTF">2019-12-16T02:29:13Z</dcterms:modified>
</cp:coreProperties>
</file>