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424(b)(2)</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333-284977</w:t>
      </w:r>
    </w:p>
    <w:p>
      <w:pPr>
        <w:spacing w:after="0" w:line="13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Prospectus Dated February 14, 2025)</w:t>
      </w:r>
    </w:p>
    <w:p>
      <w:pPr>
        <w:spacing w:after="0" w:line="7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$1,200,000,000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781050</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104140</wp:posOffset>
            </wp:positionV>
            <wp:extent cx="2263140" cy="531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63140"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$550,000,000 4.500% Notes due 2030</w:t>
      </w:r>
    </w:p>
    <w:p>
      <w:pPr>
        <w:spacing w:after="0" w:line="31"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$650,000,000 5.100% Notes due 2035</w:t>
      </w:r>
    </w:p>
    <w:p>
      <w:pPr>
        <w:spacing w:after="0" w:line="103" w:lineRule="exact"/>
        <w:rPr>
          <w:sz w:val="24"/>
          <w:szCs w:val="24"/>
          <w:color w:val="auto"/>
        </w:rPr>
      </w:pPr>
    </w:p>
    <w:p>
      <w:pPr>
        <w:ind w:left="120" w:right="40"/>
        <w:spacing w:after="0" w:line="275" w:lineRule="auto"/>
        <w:rPr>
          <w:sz w:val="20"/>
          <w:szCs w:val="20"/>
          <w:color w:val="auto"/>
        </w:rPr>
      </w:pPr>
      <w:r>
        <w:rPr>
          <w:rFonts w:ascii="Times New Roman" w:cs="Times New Roman" w:eastAsia="Times New Roman" w:hAnsi="Times New Roman"/>
          <w:sz w:val="16"/>
          <w:szCs w:val="16"/>
          <w:color w:val="auto"/>
        </w:rPr>
        <w:t>Texas Instruments Incorporated is offering $550,000,000 aggregate principal amount of its 4.500% Notes due 2030 (the “2030 Notes”) and $650,000,000 aggregate principal amount of its 5.100% Notes due 2035 (the “2035 Notes,” and together with the 2030 Notes, the “Notes”), which will bear interest at the applicable rate per year for each series as set forth above. Interest on the Notes will be payable semi-annually in arrears on May 23 and November 23 of each year, beginning on November 23, 2025.</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auto"/>
        </w:rPr>
        <w:t>The 2030 Notes will mature on May 23, 2030 and the 2035 Notes will mature on May 23, 2035.</w:t>
      </w:r>
    </w:p>
    <w:p>
      <w:pPr>
        <w:spacing w:after="0" w:line="127" w:lineRule="exact"/>
        <w:rPr>
          <w:sz w:val="24"/>
          <w:szCs w:val="24"/>
          <w:color w:val="auto"/>
        </w:rPr>
      </w:pPr>
    </w:p>
    <w:p>
      <w:pPr>
        <w:ind w:left="120" w:right="200"/>
        <w:spacing w:after="0" w:line="298" w:lineRule="auto"/>
        <w:rPr>
          <w:sz w:val="20"/>
          <w:szCs w:val="20"/>
          <w:color w:val="auto"/>
        </w:rPr>
      </w:pPr>
      <w:r>
        <w:rPr>
          <w:rFonts w:ascii="Times New Roman" w:cs="Times New Roman" w:eastAsia="Times New Roman" w:hAnsi="Times New Roman"/>
          <w:sz w:val="16"/>
          <w:szCs w:val="16"/>
          <w:color w:val="auto"/>
        </w:rPr>
        <w:t>We may redeem some or all of the Notes at any time and from time to time at the applicable redemption prices indicated under the caption “Description of the Notes— Optional Redemption.”</w:t>
      </w:r>
    </w:p>
    <w:p>
      <w:pPr>
        <w:spacing w:after="0" w:line="56" w:lineRule="exact"/>
        <w:rPr>
          <w:sz w:val="24"/>
          <w:szCs w:val="24"/>
          <w:color w:val="auto"/>
        </w:rPr>
      </w:pPr>
    </w:p>
    <w:p>
      <w:pPr>
        <w:ind w:left="120" w:right="140"/>
        <w:spacing w:after="0" w:line="298" w:lineRule="auto"/>
        <w:rPr>
          <w:sz w:val="20"/>
          <w:szCs w:val="20"/>
          <w:color w:val="auto"/>
        </w:rPr>
      </w:pPr>
      <w:r>
        <w:rPr>
          <w:rFonts w:ascii="Times New Roman" w:cs="Times New Roman" w:eastAsia="Times New Roman" w:hAnsi="Times New Roman"/>
          <w:sz w:val="16"/>
          <w:szCs w:val="16"/>
          <w:color w:val="auto"/>
        </w:rPr>
        <w:t>The Notes will be our unsecured senior obligations and will rank equally with all of our other existing and future unsecured and unsubordinated indebtedness from time to time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130175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Investing in the Notes involves risks. See “</w:t>
      </w:r>
      <w:r>
        <w:rPr>
          <w:rFonts w:ascii="Times New Roman" w:cs="Times New Roman" w:eastAsia="Times New Roman" w:hAnsi="Times New Roman"/>
          <w:sz w:val="16"/>
          <w:szCs w:val="16"/>
          <w:b w:val="1"/>
          <w:bCs w:val="1"/>
          <w:u w:val="single" w:color="auto"/>
          <w:color w:val="0000EE"/>
        </w:rPr>
        <w:t>Risk Factors</w:t>
      </w:r>
      <w:r>
        <w:rPr>
          <w:rFonts w:ascii="Times New Roman" w:cs="Times New Roman" w:eastAsia="Times New Roman" w:hAnsi="Times New Roman"/>
          <w:sz w:val="16"/>
          <w:szCs w:val="16"/>
          <w:b w:val="1"/>
          <w:bCs w:val="1"/>
          <w:color w:val="auto"/>
        </w:rPr>
        <w:t>” beginning on page S-7.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167640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50" w:lineRule="exact"/>
        <w:rPr>
          <w:sz w:val="24"/>
          <w:szCs w:val="24"/>
          <w:color w:val="auto"/>
        </w:rPr>
      </w:pPr>
    </w:p>
    <w:p>
      <w:pPr>
        <w:ind w:left="120" w:right="480"/>
        <w:spacing w:after="0" w:line="301"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44"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Per 2030</w:t>
            </w:r>
          </w:p>
        </w:tc>
        <w:tc>
          <w:tcPr>
            <w:tcW w:w="10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2030 Notes</w:t>
            </w: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 2035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2035 Notes</w:t>
            </w:r>
          </w:p>
        </w:tc>
        <w:tc>
          <w:tcPr>
            <w:tcW w:w="140" w:type="dxa"/>
            <w:vAlign w:val="bottom"/>
          </w:tcPr>
          <w:p>
            <w:pPr>
              <w:spacing w:after="0"/>
              <w:rPr>
                <w:sz w:val="13"/>
                <w:szCs w:val="13"/>
                <w:color w:val="auto"/>
              </w:rPr>
            </w:pPr>
          </w:p>
        </w:tc>
        <w:tc>
          <w:tcPr>
            <w:tcW w:w="106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Notes Total</w:t>
            </w:r>
          </w:p>
        </w:tc>
        <w:tc>
          <w:tcPr>
            <w:tcW w:w="8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16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Note</w:t>
            </w:r>
          </w:p>
        </w:tc>
        <w:tc>
          <w:tcPr>
            <w:tcW w:w="4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Note</w:t>
            </w:r>
          </w:p>
        </w:tc>
        <w:tc>
          <w:tcPr>
            <w:tcW w:w="2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99.942%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549,681,000</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99.961%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649,746,500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1,199,427,500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0.300%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1,650,000</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0.350%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2,275,000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3,925,000</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99.642%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548,031,000</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99.611%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647,471,500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1,195,502,500</w:t>
            </w: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Interest on the Notes offered hereby will accrue from May 23, 2025 to the date of delivery.</w:t>
      </w:r>
    </w:p>
    <w:p>
      <w:pPr>
        <w:spacing w:after="0" w:line="122" w:lineRule="exact"/>
        <w:rPr>
          <w:sz w:val="24"/>
          <w:szCs w:val="24"/>
          <w:color w:val="auto"/>
        </w:rPr>
      </w:pPr>
    </w:p>
    <w:p>
      <w:pPr>
        <w:ind w:left="120" w:right="20"/>
        <w:spacing w:after="0" w:line="272" w:lineRule="auto"/>
        <w:rPr>
          <w:sz w:val="20"/>
          <w:szCs w:val="20"/>
          <w:color w:val="auto"/>
        </w:rPr>
      </w:pPr>
      <w:r>
        <w:rPr>
          <w:rFonts w:ascii="Times New Roman" w:cs="Times New Roman" w:eastAsia="Times New Roman" w:hAnsi="Times New Roman"/>
          <w:sz w:val="16"/>
          <w:szCs w:val="16"/>
          <w:color w:val="auto"/>
        </w:rPr>
        <w:t>The underwriters expect to deliver the Notes to purchasers only in book-entry form through the facilities of The Depository Trust Company and its participants, including Euroclear Bank S.A./N.V. and Clearstream Banking, S.A., on or about May 23, 2025, which is the third business day following the date of this prospectus supplement. Under Rule 15c6-1 of the Securities Exchange Act of 1934, trades in the secondary market generally are required to settle in one business day, unless the parties to a trade expressly agree otherwise. Accordingly, purchasers who wish to trade Notes prior to the business day before the delivery of the Notes hereunder will be required, by virtue of the fact that the Notes initially will settle in T+3, to specify alternative settlement arrangements to prevent a failed settlement. See “Underwriting.”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135255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Joint Book-Running Managers</w:t>
      </w:r>
    </w:p>
    <w:p>
      <w:pPr>
        <w:sectPr>
          <w:pgSz w:w="11900" w:h="16838" w:orient="portrait"/>
          <w:cols w:equalWidth="0" w:num="1">
            <w:col w:w="11140"/>
          </w:cols>
          <w:pgMar w:left="320" w:top="225" w:right="439" w:bottom="1440" w:gutter="0" w:footer="0" w:header="0"/>
        </w:sectPr>
      </w:pPr>
    </w:p>
    <w:p>
      <w:pPr>
        <w:spacing w:after="0" w:line="11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28"/>
          <w:szCs w:val="28"/>
          <w:b w:val="1"/>
          <w:bCs w:val="1"/>
          <w:color w:val="auto"/>
        </w:rPr>
        <w:t>Barclays</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jc w:val="center"/>
        <w:ind w:right="2700"/>
        <w:spacing w:after="0"/>
        <w:rPr>
          <w:sz w:val="20"/>
          <w:szCs w:val="20"/>
          <w:color w:val="auto"/>
        </w:rPr>
      </w:pPr>
      <w:r>
        <w:rPr>
          <w:rFonts w:ascii="Times New Roman" w:cs="Times New Roman" w:eastAsia="Times New Roman" w:hAnsi="Times New Roman"/>
          <w:sz w:val="28"/>
          <w:szCs w:val="28"/>
          <w:b w:val="1"/>
          <w:bCs w:val="1"/>
          <w:color w:val="auto"/>
        </w:rPr>
        <w:t>Morgan Stanley</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MUFG</w:t>
      </w:r>
    </w:p>
    <w:p>
      <w:pPr>
        <w:spacing w:after="0" w:line="139" w:lineRule="exact"/>
        <w:rPr>
          <w:sz w:val="24"/>
          <w:szCs w:val="24"/>
          <w:color w:val="auto"/>
        </w:rPr>
      </w:pPr>
    </w:p>
    <w:p>
      <w:pPr>
        <w:sectPr>
          <w:pgSz w:w="11900" w:h="16838" w:orient="portrait"/>
          <w:cols w:equalWidth="0" w:num="3">
            <w:col w:w="4140" w:space="720"/>
            <w:col w:w="4680" w:space="720"/>
            <w:col w:w="880"/>
          </w:cols>
          <w:pgMar w:left="320" w:top="225" w:right="43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May 20, 2025</w:t>
      </w:r>
    </w:p>
    <w:p>
      <w:pPr>
        <w:sectPr>
          <w:pgSz w:w="11900" w:h="16838" w:orient="portrait"/>
          <w:cols w:equalWidth="0" w:num="1">
            <w:col w:w="11140"/>
          </w:cols>
          <w:pgMar w:left="320" w:top="225"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b w:val="1"/>
          <w:bCs w:val="1"/>
          <w:color w:val="auto"/>
        </w:rPr>
        <w:t>We are responsible for the information contained in or incorporated by reference into this prospectus supplement and the accompanying prospectus and any free-writing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supplement or the accompanying prospectus is accurate as of any date other than its date.</w:t>
      </w:r>
    </w:p>
    <w:p>
      <w:pPr>
        <w:spacing w:after="0" w:line="398"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60" w:type="dxa"/>
            <w:vAlign w:val="bottom"/>
            <w:gridSpan w:val="3"/>
          </w:tcPr>
          <w:p>
            <w:pPr>
              <w:jc w:val="center"/>
              <w:ind w:right="35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0" w:type="dxa"/>
            <w:vAlign w:val="bottom"/>
          </w:tcPr>
          <w:p>
            <w:pPr>
              <w:spacing w:after="0"/>
              <w:rPr>
                <w:sz w:val="1"/>
                <w:szCs w:val="1"/>
                <w:color w:val="auto"/>
              </w:rPr>
            </w:pPr>
          </w:p>
        </w:tc>
      </w:tr>
      <w:tr>
        <w:trPr>
          <w:trHeight w:val="432"/>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60" w:type="dxa"/>
            <w:vAlign w:val="bottom"/>
            <w:gridSpan w:val="3"/>
          </w:tcPr>
          <w:p>
            <w:pPr>
              <w:jc w:val="center"/>
              <w:ind w:right="350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0" w:type="dxa"/>
            <w:vAlign w:val="bottom"/>
          </w:tcPr>
          <w:p>
            <w:pPr>
              <w:spacing w:after="0"/>
              <w:rPr>
                <w:sz w:val="1"/>
                <w:szCs w:val="1"/>
                <w:color w:val="auto"/>
              </w:rPr>
            </w:pPr>
          </w:p>
        </w:tc>
      </w:tr>
      <w:tr>
        <w:trPr>
          <w:trHeight w:val="392"/>
        </w:trPr>
        <w:tc>
          <w:tcPr>
            <w:tcW w:w="352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0000EE"/>
              </w:rPr>
              <w:t>Notice Regarding Forward-Looking Statements</w:t>
            </w:r>
          </w:p>
        </w:tc>
        <w:tc>
          <w:tcPr>
            <w:tcW w:w="7040" w:type="dxa"/>
            <w:vAlign w:val="bottom"/>
          </w:tcPr>
          <w:p>
            <w:pPr>
              <w:spacing w:after="0"/>
              <w:rPr>
                <w:sz w:val="24"/>
                <w:szCs w:val="24"/>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3520" w:type="dxa"/>
            <w:vAlign w:val="bottom"/>
            <w:gridSpan w:val="11"/>
            <w:vMerge w:val="continue"/>
          </w:tcPr>
          <w:p>
            <w:pPr>
              <w:spacing w:after="0"/>
              <w:rPr>
                <w:sz w:val="14"/>
                <w:szCs w:val="14"/>
                <w:color w:val="auto"/>
              </w:rPr>
            </w:pPr>
          </w:p>
        </w:tc>
        <w:tc>
          <w:tcPr>
            <w:tcW w:w="7040" w:type="dxa"/>
            <w:vAlign w:val="bottom"/>
          </w:tcPr>
          <w:p>
            <w:pPr>
              <w:spacing w:after="0"/>
              <w:rPr>
                <w:sz w:val="14"/>
                <w:szCs w:val="14"/>
                <w:color w:val="auto"/>
              </w:rPr>
            </w:pPr>
          </w:p>
        </w:tc>
        <w:tc>
          <w:tcPr>
            <w:tcW w:w="4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S-1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54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This Prospectus Supplement</w:t>
            </w:r>
          </w:p>
        </w:tc>
        <w:tc>
          <w:tcPr>
            <w:tcW w:w="880" w:type="dxa"/>
            <w:vAlign w:val="bottom"/>
            <w:tcBorders>
              <w:top w:val="single" w:sz="8" w:color="0000EE"/>
            </w:tcBorders>
            <w:gridSpan w:val="2"/>
          </w:tcPr>
          <w:p>
            <w:pPr>
              <w:spacing w:after="0"/>
              <w:rPr>
                <w:sz w:val="17"/>
                <w:szCs w:val="17"/>
                <w:color w:val="auto"/>
              </w:rPr>
            </w:pPr>
          </w:p>
        </w:tc>
        <w:tc>
          <w:tcPr>
            <w:tcW w:w="100" w:type="dxa"/>
            <w:vAlign w:val="bottom"/>
          </w:tcPr>
          <w:p>
            <w:pPr>
              <w:spacing w:after="0"/>
              <w:rPr>
                <w:sz w:val="17"/>
                <w:szCs w:val="17"/>
                <w:color w:val="auto"/>
              </w:rPr>
            </w:pPr>
          </w:p>
        </w:tc>
        <w:tc>
          <w:tcPr>
            <w:tcW w:w="70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Summary</w:t>
            </w:r>
          </w:p>
        </w:tc>
        <w:tc>
          <w:tcPr>
            <w:tcW w:w="2820" w:type="dxa"/>
            <w:vAlign w:val="bottom"/>
            <w:gridSpan w:val="9"/>
          </w:tcPr>
          <w:p>
            <w:pPr>
              <w:spacing w:after="0"/>
              <w:rPr>
                <w:sz w:val="17"/>
                <w:szCs w:val="17"/>
                <w:color w:val="auto"/>
              </w:rPr>
            </w:pPr>
          </w:p>
        </w:tc>
        <w:tc>
          <w:tcPr>
            <w:tcW w:w="70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S-4</w:t>
            </w:r>
          </w:p>
        </w:tc>
        <w:tc>
          <w:tcPr>
            <w:tcW w:w="0" w:type="dxa"/>
            <w:vAlign w:val="bottom"/>
          </w:tcPr>
          <w:p>
            <w:pPr>
              <w:spacing w:after="0"/>
              <w:rPr>
                <w:sz w:val="1"/>
                <w:szCs w:val="1"/>
                <w:color w:val="auto"/>
              </w:rPr>
            </w:pPr>
          </w:p>
        </w:tc>
      </w:tr>
      <w:tr>
        <w:trPr>
          <w:trHeight w:val="196"/>
        </w:trPr>
        <w:tc>
          <w:tcPr>
            <w:tcW w:w="35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0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70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Capitalization</w:t>
            </w:r>
          </w:p>
        </w:tc>
        <w:tc>
          <w:tcPr>
            <w:tcW w:w="2360" w:type="dxa"/>
            <w:vAlign w:val="bottom"/>
            <w:gridSpan w:val="6"/>
          </w:tcPr>
          <w:p>
            <w:pPr>
              <w:spacing w:after="0"/>
              <w:rPr>
                <w:sz w:val="17"/>
                <w:szCs w:val="17"/>
                <w:color w:val="auto"/>
              </w:rPr>
            </w:pPr>
          </w:p>
        </w:tc>
        <w:tc>
          <w:tcPr>
            <w:tcW w:w="70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60" w:type="dxa"/>
            <w:vAlign w:val="bottom"/>
            <w:tcBorders>
              <w:left w:val="single" w:sz="8" w:color="0000EE"/>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the Notes</w:t>
            </w:r>
          </w:p>
        </w:tc>
        <w:tc>
          <w:tcPr>
            <w:tcW w:w="1760" w:type="dxa"/>
            <w:vAlign w:val="bottom"/>
            <w:gridSpan w:val="4"/>
          </w:tcPr>
          <w:p>
            <w:pPr>
              <w:spacing w:after="0"/>
              <w:rPr>
                <w:sz w:val="17"/>
                <w:szCs w:val="17"/>
                <w:color w:val="auto"/>
              </w:rPr>
            </w:pPr>
          </w:p>
        </w:tc>
        <w:tc>
          <w:tcPr>
            <w:tcW w:w="70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S-12</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Material U.S. Federal Income Tax Consequences</w:t>
            </w:r>
          </w:p>
        </w:tc>
        <w:tc>
          <w:tcPr>
            <w:tcW w:w="70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S-20</w:t>
            </w:r>
          </w:p>
        </w:tc>
        <w:tc>
          <w:tcPr>
            <w:tcW w:w="0" w:type="dxa"/>
            <w:vAlign w:val="bottom"/>
          </w:tcPr>
          <w:p>
            <w:pPr>
              <w:spacing w:after="0"/>
              <w:rPr>
                <w:sz w:val="1"/>
                <w:szCs w:val="1"/>
                <w:color w:val="auto"/>
              </w:rPr>
            </w:pPr>
          </w:p>
        </w:tc>
      </w:tr>
      <w:tr>
        <w:trPr>
          <w:trHeight w:val="196"/>
        </w:trPr>
        <w:tc>
          <w:tcPr>
            <w:tcW w:w="35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70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Validity of Securities</w:t>
            </w:r>
          </w:p>
        </w:tc>
        <w:tc>
          <w:tcPr>
            <w:tcW w:w="2000" w:type="dxa"/>
            <w:vAlign w:val="bottom"/>
            <w:gridSpan w:val="5"/>
          </w:tcPr>
          <w:p>
            <w:pPr>
              <w:spacing w:after="0"/>
              <w:rPr>
                <w:sz w:val="17"/>
                <w:szCs w:val="17"/>
                <w:color w:val="auto"/>
              </w:rPr>
            </w:pPr>
          </w:p>
        </w:tc>
        <w:tc>
          <w:tcPr>
            <w:tcW w:w="70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S-29</w:t>
            </w:r>
          </w:p>
        </w:tc>
        <w:tc>
          <w:tcPr>
            <w:tcW w:w="0" w:type="dxa"/>
            <w:vAlign w:val="bottom"/>
          </w:tcPr>
          <w:p>
            <w:pPr>
              <w:spacing w:after="0"/>
              <w:rPr>
                <w:sz w:val="1"/>
                <w:szCs w:val="1"/>
                <w:color w:val="auto"/>
              </w:rPr>
            </w:pPr>
          </w:p>
        </w:tc>
      </w:tr>
      <w:tr>
        <w:trPr>
          <w:trHeight w:val="196"/>
        </w:trPr>
        <w:tc>
          <w:tcPr>
            <w:tcW w:w="35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70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320" w:type="dxa"/>
            <w:vAlign w:val="bottom"/>
            <w:gridSpan w:val="8"/>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70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700" w:type="dxa"/>
            <w:vAlign w:val="bottom"/>
          </w:tcPr>
          <w:p>
            <w:pPr>
              <w:jc w:val="right"/>
              <w:ind w:right="4950"/>
              <w:spacing w:after="0"/>
              <w:rPr>
                <w:sz w:val="20"/>
                <w:szCs w:val="20"/>
                <w:color w:val="auto"/>
              </w:rPr>
            </w:pPr>
            <w:r>
              <w:rPr>
                <w:rFonts w:ascii="Times New Roman" w:cs="Times New Roman" w:eastAsia="Times New Roman" w:hAnsi="Times New Roman"/>
                <w:sz w:val="18"/>
                <w:szCs w:val="18"/>
                <w:b w:val="1"/>
                <w:bCs w:val="1"/>
                <w:color w:val="auto"/>
              </w:rPr>
              <w:t>Prospectus</w:t>
            </w:r>
          </w:p>
        </w:tc>
      </w:tr>
      <w:tr>
        <w:trPr>
          <w:trHeight w:val="418"/>
        </w:trPr>
        <w:tc>
          <w:tcPr>
            <w:tcW w:w="426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The Company</w:t>
            </w:r>
          </w:p>
        </w:tc>
        <w:tc>
          <w:tcPr>
            <w:tcW w:w="6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r>
        <w:trPr>
          <w:trHeight w:val="196"/>
        </w:trPr>
        <w:tc>
          <w:tcPr>
            <w:tcW w:w="16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This Prospectus</w:t>
            </w:r>
          </w:p>
        </w:tc>
        <w:tc>
          <w:tcPr>
            <w:tcW w:w="2620" w:type="dxa"/>
            <w:vAlign w:val="bottom"/>
            <w:gridSpan w:val="6"/>
          </w:tcPr>
          <w:p>
            <w:pPr>
              <w:spacing w:after="0"/>
              <w:rPr>
                <w:sz w:val="17"/>
                <w:szCs w:val="17"/>
                <w:color w:val="auto"/>
              </w:rPr>
            </w:pPr>
          </w:p>
        </w:tc>
        <w:tc>
          <w:tcPr>
            <w:tcW w:w="6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42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r>
        <w:trPr>
          <w:trHeight w:val="196"/>
        </w:trPr>
        <w:tc>
          <w:tcPr>
            <w:tcW w:w="42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Notice Regarding Forward-Looking Statements</w:t>
            </w:r>
          </w:p>
        </w:tc>
        <w:tc>
          <w:tcPr>
            <w:tcW w:w="6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342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840" w:type="dxa"/>
            <w:vAlign w:val="bottom"/>
          </w:tcPr>
          <w:p>
            <w:pPr>
              <w:spacing w:after="0"/>
              <w:rPr>
                <w:sz w:val="17"/>
                <w:szCs w:val="17"/>
                <w:color w:val="auto"/>
              </w:rPr>
            </w:pPr>
          </w:p>
        </w:tc>
        <w:tc>
          <w:tcPr>
            <w:tcW w:w="6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r>
        <w:trPr>
          <w:trHeight w:val="196"/>
        </w:trPr>
        <w:tc>
          <w:tcPr>
            <w:tcW w:w="42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2080" w:type="dxa"/>
            <w:vAlign w:val="bottom"/>
            <w:gridSpan w:val="3"/>
          </w:tcPr>
          <w:p>
            <w:pPr>
              <w:spacing w:after="0"/>
              <w:rPr>
                <w:sz w:val="17"/>
                <w:szCs w:val="17"/>
                <w:color w:val="auto"/>
              </w:rPr>
            </w:pPr>
          </w:p>
        </w:tc>
        <w:tc>
          <w:tcPr>
            <w:tcW w:w="6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42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Warrants</w:t>
            </w:r>
          </w:p>
        </w:tc>
        <w:tc>
          <w:tcPr>
            <w:tcW w:w="6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72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Units</w:t>
            </w:r>
          </w:p>
        </w:tc>
        <w:tc>
          <w:tcPr>
            <w:tcW w:w="2540" w:type="dxa"/>
            <w:vAlign w:val="bottom"/>
            <w:gridSpan w:val="5"/>
          </w:tcPr>
          <w:p>
            <w:pPr>
              <w:spacing w:after="0"/>
              <w:rPr>
                <w:sz w:val="17"/>
                <w:szCs w:val="17"/>
                <w:color w:val="auto"/>
              </w:rPr>
            </w:pPr>
          </w:p>
        </w:tc>
        <w:tc>
          <w:tcPr>
            <w:tcW w:w="6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4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Forms of Securities</w:t>
            </w:r>
          </w:p>
        </w:tc>
        <w:tc>
          <w:tcPr>
            <w:tcW w:w="2800" w:type="dxa"/>
            <w:vAlign w:val="bottom"/>
            <w:gridSpan w:val="8"/>
          </w:tcPr>
          <w:p>
            <w:pPr>
              <w:spacing w:after="0"/>
              <w:rPr>
                <w:sz w:val="17"/>
                <w:szCs w:val="17"/>
                <w:color w:val="auto"/>
              </w:rPr>
            </w:pPr>
          </w:p>
        </w:tc>
        <w:tc>
          <w:tcPr>
            <w:tcW w:w="6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740" w:type="dxa"/>
            <w:vAlign w:val="bottom"/>
            <w:gridSpan w:val="7"/>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r>
        <w:trPr>
          <w:trHeight w:val="196"/>
        </w:trPr>
        <w:tc>
          <w:tcPr>
            <w:tcW w:w="42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6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20"/>
        </w:trPr>
        <w:tc>
          <w:tcPr>
            <w:tcW w:w="54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740" w:type="dxa"/>
            <w:vAlign w:val="bottom"/>
            <w:gridSpan w:val="7"/>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Validity of Securities</w:t>
            </w:r>
          </w:p>
        </w:tc>
        <w:tc>
          <w:tcPr>
            <w:tcW w:w="2740" w:type="dxa"/>
            <w:vAlign w:val="bottom"/>
            <w:gridSpan w:val="7"/>
          </w:tcPr>
          <w:p>
            <w:pPr>
              <w:spacing w:after="0"/>
              <w:rPr>
                <w:sz w:val="17"/>
                <w:szCs w:val="17"/>
                <w:color w:val="auto"/>
              </w:rPr>
            </w:pPr>
          </w:p>
        </w:tc>
        <w:tc>
          <w:tcPr>
            <w:tcW w:w="6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42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6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REGARDING FORWARD-LOOKING STATEMENTS</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documents that are incorporated by reference into this prospectus supplement include forward-looking statements intended to qualify for the safe harbor from liability established by the Private Securities Litigation Reform Act of 1995. These forward-looking statements generally can be identified by phrases such as we or our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8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urge you to carefully consider the following important factors that could cause actual results to differ materially from the expectations of our company or our management:</w:t>
      </w:r>
    </w:p>
    <w:p>
      <w:pPr>
        <w:spacing w:after="0" w:line="67" w:lineRule="exact"/>
        <w:rPr>
          <w:sz w:val="20"/>
          <w:szCs w:val="20"/>
          <w:color w:val="auto"/>
        </w:rPr>
      </w:pPr>
    </w:p>
    <w:p>
      <w:pPr>
        <w:ind w:left="1080" w:right="6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social and political conditions, and natural events in the countries in which we, our customers or our suppliers operate, including global trade policies;</w:t>
      </w:r>
    </w:p>
    <w:p>
      <w:pPr>
        <w:spacing w:after="0" w:line="67"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for semiconductors, particularly in the industrial and automotive markets, and customer demand that differs from forecasts;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products and prices in an intensely competitive industry;</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cybersecurity and other threats relating to our information technology systems or those of our customers, suppliers and other third parties;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81"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key materials, utilities, manufacturing equipment, third-party manufacturing services and manufacturing technology;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skilled personnel, and effectively manage key employee succession;</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warranty or other claims relating to our products, software, manufacturing, delivery, services, design or communications, or recalls by our customers for a product containing one of our parts;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difficulties of our distributors or semiconductor distributors’ promotion of competing product lines to our detriment; or disputes with current or former distributors;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or curtailments of purchases from key customers or the timing and amount of customer inventory adjustments;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global credit and financial markets;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of our non-financial assets.</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For a more detailed discussion of these factors, see our periodic filings with the Securities and Exchange Commission (the “SEC”). The forward-looking statements contained in this prospectus supplement are made as of the date hereof, and we undertake no obligation to update the forward-looking statements to reflect subsequent events or circumstances.</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040"/>
          </w:cols>
          <w:pgMar w:left="320" w:top="455" w:right="5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This document is in two parts. The first is this prospectus supplement, which describes the specific terms of this offering. This prospectus supplement also incorporates by reference the information described under “Where You Can Find More Information.” The second part is the accompanying prospectus dated February 14, 2025. The accompanying prospectus contains a description of our debt securities and gives more general information, some of which may not apply to this offering.</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the description of this offering varies between this prospectus supplement and the accompanying prospectus, you should rely on the information in this prospectus supplement.</w:t>
      </w:r>
    </w:p>
    <w:p>
      <w:pPr>
        <w:spacing w:after="0" w:line="158"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Unless we have indicated otherwise, references in this prospectus supplement to “TI,” “we,” “us” and “our” or similar terms are to Texas Instruments Incorporated and its consolidated subsidiaries; references in this prospectus supplement to “Texas Instruments Incorporated” excludes its consolidated subsidiaries.</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1159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31159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right="24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highlights information contained in or incorporated by reference into this prospectus supplement and the accompanying prospectus. It may not contain all of the information that you should consider before investing in the Notes. You should carefully read this entire prospectus supplement, as well as the accompanying prospectus and the documents incorporated by reference herein that are described under “Where You Can Find More Information.”</w:t>
      </w:r>
    </w:p>
    <w:p>
      <w:pPr>
        <w:spacing w:after="0" w:line="39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Texas Instruments Incorporated</w:t>
      </w:r>
    </w:p>
    <w:p>
      <w:pPr>
        <w:spacing w:after="0" w:line="229" w:lineRule="exact"/>
        <w:rPr>
          <w:sz w:val="20"/>
          <w:szCs w:val="20"/>
          <w:color w:val="auto"/>
        </w:rPr>
      </w:pPr>
    </w:p>
    <w:p>
      <w:pPr>
        <w:jc w:val="both"/>
        <w:ind w:left="300" w:firstLine="426"/>
        <w:spacing w:after="0" w:line="266" w:lineRule="auto"/>
        <w:rPr>
          <w:sz w:val="20"/>
          <w:szCs w:val="20"/>
          <w:color w:val="auto"/>
        </w:rPr>
      </w:pPr>
      <w:r>
        <w:rPr>
          <w:rFonts w:ascii="Times New Roman" w:cs="Times New Roman" w:eastAsia="Times New Roman" w:hAnsi="Times New Roman"/>
          <w:sz w:val="18"/>
          <w:szCs w:val="18"/>
          <w:color w:val="auto"/>
        </w:rPr>
        <w:t>We design and manufacture semiconductors that we sell to electronics designers and manufacturers all over the world. Our operations began in 1930, and we are incorporated in Delaware. With headquarters in Dallas, Texas, we have design, manufacturing or sales operations in more than 30 countries.</w:t>
      </w:r>
    </w:p>
    <w:p>
      <w:pPr>
        <w:spacing w:after="0" w:line="176" w:lineRule="exact"/>
        <w:rPr>
          <w:sz w:val="20"/>
          <w:szCs w:val="20"/>
          <w:color w:val="auto"/>
        </w:rPr>
      </w:pPr>
    </w:p>
    <w:p>
      <w:pPr>
        <w:jc w:val="both"/>
        <w:ind w:left="300" w:right="180" w:firstLine="426"/>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 supplement or the accompanying prospectus.</w:t>
      </w:r>
    </w:p>
    <w:p>
      <w:pPr>
        <w:spacing w:after="0" w:line="176"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For a description of our business, financial condition, results of operations and other important information regarding us, see our filings with the SEC incorporated by reference into this prospectus supplement. For instructions on how to find copies of these and our other filings incorporated by reference into this prospectus supplement, see “Where You Can Find More Information.”</w:t>
      </w:r>
    </w:p>
    <w:p>
      <w:pPr>
        <w:spacing w:after="0" w:line="29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860"/>
          </w:cols>
          <w:pgMar w:left="320" w:top="455" w:right="7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44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6244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7" w:lineRule="exact"/>
        <w:rPr>
          <w:sz w:val="20"/>
          <w:szCs w:val="20"/>
          <w:color w:val="auto"/>
        </w:rPr>
      </w:pPr>
    </w:p>
    <w:p>
      <w:pPr>
        <w:ind w:left="300" w:right="300"/>
        <w:spacing w:after="0" w:line="267" w:lineRule="auto"/>
        <w:rPr>
          <w:sz w:val="20"/>
          <w:szCs w:val="20"/>
          <w:color w:val="auto"/>
        </w:rPr>
      </w:pPr>
      <w:r>
        <w:rPr>
          <w:rFonts w:ascii="Times New Roman" w:cs="Times New Roman" w:eastAsia="Times New Roman" w:hAnsi="Times New Roman"/>
          <w:sz w:val="18"/>
          <w:szCs w:val="18"/>
          <w:i w:val="1"/>
          <w:iCs w:val="1"/>
          <w:color w:val="auto"/>
        </w:rPr>
        <w:t>The summary below describes the principal terms of the Notes. Certain of the terms and conditions described below are subject to important limitations and exceptions. The “Description of the Notes” section of this prospectus supplement and the “Description of Debt Securities” section of the accompanying prospectus contain a more detailed description of the terms and conditions of the Notes.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Issuer</w:t>
            </w: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Texas Instruments Incorporated.</w:t>
            </w:r>
          </w:p>
        </w:tc>
      </w:tr>
      <w:tr>
        <w:trPr>
          <w:trHeight w:val="473"/>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Offered</w:t>
            </w: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$550,000,000 aggregate principal amount of the 4.500% Notes due 2030.</w:t>
            </w:r>
          </w:p>
        </w:tc>
      </w:tr>
      <w:tr>
        <w:trPr>
          <w:trHeight w:val="473"/>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$650,000,000 aggregate principal amount of the 5.100% Notes due 2035.</w:t>
            </w:r>
          </w:p>
        </w:tc>
      </w:tr>
      <w:tr>
        <w:trPr>
          <w:trHeight w:val="459"/>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Maturity Date</w:t>
            </w: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May 23, 2030 for the 4.500% Notes due 2030.</w:t>
            </w:r>
          </w:p>
        </w:tc>
      </w:tr>
      <w:tr>
        <w:trPr>
          <w:trHeight w:val="473"/>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May 23, 2035 for the 5.100% Notes due 2035.</w:t>
            </w:r>
          </w:p>
        </w:tc>
      </w:tr>
      <w:tr>
        <w:trPr>
          <w:trHeight w:val="459"/>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Original Issue Date</w:t>
            </w: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May 23, 2025</w:t>
            </w:r>
          </w:p>
        </w:tc>
      </w:tr>
      <w:tr>
        <w:trPr>
          <w:trHeight w:val="473"/>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w:t>
            </w: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Fixed rate of 4.500% for the 4.500% Notes due 2030.</w:t>
            </w:r>
          </w:p>
        </w:tc>
      </w:tr>
      <w:tr>
        <w:trPr>
          <w:trHeight w:val="473"/>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Fixed rate of 5.100% for the 5.100% Notes due 2035.</w:t>
            </w:r>
          </w:p>
        </w:tc>
      </w:tr>
      <w:tr>
        <w:trPr>
          <w:trHeight w:val="441"/>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Payment Dates</w:t>
            </w: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Each May 23 and November 23, beginning on November 23, 2025, and on the maturity</w:t>
            </w:r>
          </w:p>
        </w:tc>
      </w:tr>
      <w:tr>
        <w:trPr>
          <w:trHeight w:val="234"/>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date.</w:t>
            </w:r>
          </w:p>
        </w:tc>
      </w:tr>
      <w:tr>
        <w:trPr>
          <w:trHeight w:val="441"/>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Ranking</w:t>
            </w: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The Notes will be the senior unsecured obligations of Texas Instruments Incorporated and</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will rank equally with all of its existing and future senior indebtedness from time to time</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outstanding. All existing and future liabilities of subsidiaries of Texas Instruments</w:t>
            </w:r>
          </w:p>
        </w:tc>
      </w:tr>
      <w:tr>
        <w:trPr>
          <w:trHeight w:val="234"/>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Incorporated will be effectively senior to the Notes.</w:t>
            </w:r>
          </w:p>
        </w:tc>
      </w:tr>
      <w:tr>
        <w:trPr>
          <w:trHeight w:val="441"/>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As of March 31, 2025, Texas Instruments Incorporated had approximately $13.0 billion</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principal amount of outstanding indebtedness. As of March 31, 2025, Texas Instruments</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Incorporated had approximately $17.4 billion of total liabilities on a consolidated basis. Of</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the $17.4 billion of consolidated total liabilities, approximately $1.9 billion of liabilities</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(including trade payables and excluding intercompany debt) were held by subsidiaries of</w:t>
            </w:r>
          </w:p>
        </w:tc>
      </w:tr>
      <w:tr>
        <w:trPr>
          <w:trHeight w:val="234"/>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Texas Instruments Incorporated to which the Notes will be effectively subordinated.</w:t>
            </w:r>
          </w:p>
        </w:tc>
      </w:tr>
      <w:tr>
        <w:trPr>
          <w:trHeight w:val="441"/>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and Denomination</w:t>
            </w: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The Notes will be issued in the form of one or more fully registered global securities,</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without coupons, in denominations of $2,000 in principal amount and integral multiples of</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$1,000 in excess thereof. These global notes will be deposited with the trustee as custodian</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for, and registered in the name of, a nominee of The Depository Trust Company, or DTC.</w:t>
            </w:r>
          </w:p>
        </w:tc>
      </w:tr>
      <w:tr>
        <w:trPr>
          <w:trHeight w:val="234"/>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Except in the limited circumstances described</w:t>
            </w:r>
          </w:p>
        </w:tc>
      </w:tr>
      <w:tr>
        <w:trPr>
          <w:trHeight w:val="172"/>
        </w:trPr>
        <w:tc>
          <w:tcPr>
            <w:tcW w:w="3080" w:type="dxa"/>
            <w:vAlign w:val="bottom"/>
            <w:tcBorders>
              <w:bottom w:val="single" w:sz="8" w:color="auto"/>
            </w:tcBorders>
          </w:tcPr>
          <w:p>
            <w:pPr>
              <w:spacing w:after="0"/>
              <w:rPr>
                <w:sz w:val="14"/>
                <w:szCs w:val="14"/>
                <w:color w:val="auto"/>
              </w:rPr>
            </w:pPr>
          </w:p>
        </w:tc>
        <w:tc>
          <w:tcPr>
            <w:tcW w:w="7940" w:type="dxa"/>
            <w:vAlign w:val="bottom"/>
            <w:tcBorders>
              <w:bottom w:val="single" w:sz="8" w:color="auto"/>
            </w:tcBorders>
          </w:tcPr>
          <w:p>
            <w:pPr>
              <w:spacing w:after="0"/>
              <w:rPr>
                <w:sz w:val="14"/>
                <w:szCs w:val="14"/>
                <w:color w:val="auto"/>
              </w:rPr>
            </w:pPr>
          </w:p>
        </w:tc>
      </w:tr>
      <w:tr>
        <w:trPr>
          <w:trHeight w:val="361"/>
        </w:trPr>
        <w:tc>
          <w:tcPr>
            <w:tcW w:w="3080" w:type="dxa"/>
            <w:vAlign w:val="bottom"/>
          </w:tcPr>
          <w:p>
            <w:pPr>
              <w:spacing w:after="0"/>
              <w:rPr>
                <w:sz w:val="24"/>
                <w:szCs w:val="24"/>
                <w:color w:val="auto"/>
              </w:rPr>
            </w:pPr>
          </w:p>
        </w:tc>
        <w:tc>
          <w:tcPr>
            <w:tcW w:w="794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S-5</w:t>
            </w:r>
          </w:p>
        </w:tc>
      </w:tr>
    </w:tbl>
    <w:p>
      <w:pPr>
        <w:sectPr>
          <w:pgSz w:w="11900" w:h="16838" w:orient="portrait"/>
          <w:cols w:equalWidth="0" w:num="1">
            <w:col w:w="11140"/>
          </w:cols>
          <w:pgMar w:left="320" w:top="455"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2980" w:type="dxa"/>
            <w:vAlign w:val="bottom"/>
            <w:tcBorders>
              <w:top w:val="single" w:sz="8" w:color="auto"/>
              <w:left w:val="single" w:sz="8" w:color="auto"/>
            </w:tcBorders>
          </w:tcPr>
          <w:p>
            <w:pPr>
              <w:spacing w:after="0"/>
              <w:rPr>
                <w:sz w:val="24"/>
                <w:szCs w:val="24"/>
                <w:color w:val="auto"/>
              </w:rPr>
            </w:pPr>
          </w:p>
        </w:tc>
        <w:tc>
          <w:tcPr>
            <w:tcW w:w="8040" w:type="dxa"/>
            <w:vAlign w:val="bottom"/>
            <w:tcBorders>
              <w:top w:val="single" w:sz="8" w:color="auto"/>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under “Description of the Notes—Book-Entry; Delivery and Form; Global Note,” Notes in</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certificated form will not be issued or exchanged for interests in global securities.</w:t>
            </w:r>
          </w:p>
        </w:tc>
      </w:tr>
      <w:tr>
        <w:trPr>
          <w:trHeight w:val="473"/>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Governing Law</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The internal laws of the State of New York.</w:t>
            </w:r>
          </w:p>
        </w:tc>
      </w:tr>
      <w:tr>
        <w:trPr>
          <w:trHeight w:val="454"/>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We expect to use the net proceeds of this offering for general corporate purposes. See “Use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of Proceeds.” In connection with the issuance of the Notes, we may enter into interest rate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swap agreements with financial institutions, which may include one or more of the</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underwriters or their affiliates.</w:t>
            </w:r>
          </w:p>
        </w:tc>
      </w:tr>
      <w:tr>
        <w:trPr>
          <w:trHeight w:val="441"/>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Further Issuances</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Texas Instruments Incorporated may create and issue further notes of a series ranking</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equally and ratably with the Notes of such series offered by this prospectus supplement in</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all respects, so that such further notes will be consolidated and form a single series with the</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Notes of such series offered by this prospectus supplement.</w:t>
            </w:r>
          </w:p>
        </w:tc>
      </w:tr>
      <w:tr>
        <w:trPr>
          <w:trHeight w:val="459"/>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Sinking Fund</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None.</w:t>
            </w:r>
          </w:p>
        </w:tc>
      </w:tr>
      <w:tr>
        <w:trPr>
          <w:trHeight w:val="454"/>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Optional Redemption</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Texas Instruments Incorporated may redeem some or all of each series of the Notes at any</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time and from time to time at the applicable redemption prices indicated under the heading</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“Description of the Notes—Optional Redemption.”</w:t>
            </w:r>
          </w:p>
        </w:tc>
      </w:tr>
      <w:tr>
        <w:trPr>
          <w:trHeight w:val="441"/>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Trading</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Each series of the Notes are a new issue of securities with no established trading market.</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We do not intend to apply for listing of any of the Notes on any securities exchange. The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underwriters have advised us that they intend to make a market in the Notes, but they are</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not obligated to do so and may discontinue market-making at any time without notice.</w:t>
            </w:r>
          </w:p>
        </w:tc>
      </w:tr>
      <w:tr>
        <w:trPr>
          <w:trHeight w:val="441"/>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See “Underwriting” in this prospectus supplement for more information about possible</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market-making by the underwriters.</w:t>
            </w:r>
          </w:p>
        </w:tc>
      </w:tr>
      <w:tr>
        <w:trPr>
          <w:trHeight w:val="459"/>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Trustee</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U.S. Bank Trust Company, National Association.</w:t>
            </w:r>
          </w:p>
        </w:tc>
      </w:tr>
      <w:tr>
        <w:trPr>
          <w:trHeight w:val="454"/>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You should carefully consider all of the information in this prospectus supplement and the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accompanying prospectus and the documents incorporated herein by reference. In</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particular, you should evaluate the information set forth under “Notice Regarding Forward-</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Looking Statements” and “Risk Factors” before deciding whether to invest in the Notes.</w:t>
            </w:r>
          </w:p>
        </w:tc>
      </w:tr>
      <w:tr>
        <w:trPr>
          <w:trHeight w:val="415"/>
        </w:trPr>
        <w:tc>
          <w:tcPr>
            <w:tcW w:w="2980" w:type="dxa"/>
            <w:vAlign w:val="bottom"/>
            <w:tcBorders>
              <w:left w:val="single" w:sz="8" w:color="auto"/>
              <w:bottom w:val="single" w:sz="8" w:color="auto"/>
            </w:tcBorders>
          </w:tcPr>
          <w:p>
            <w:pPr>
              <w:spacing w:after="0"/>
              <w:rPr>
                <w:sz w:val="24"/>
                <w:szCs w:val="24"/>
                <w:color w:val="auto"/>
              </w:rPr>
            </w:pPr>
          </w:p>
        </w:tc>
        <w:tc>
          <w:tcPr>
            <w:tcW w:w="8040" w:type="dxa"/>
            <w:vAlign w:val="bottom"/>
            <w:tcBorders>
              <w:bottom w:val="single" w:sz="8" w:color="auto"/>
              <w:right w:val="single" w:sz="8" w:color="auto"/>
            </w:tcBorders>
          </w:tcPr>
          <w:p>
            <w:pPr>
              <w:spacing w:after="0"/>
              <w:rPr>
                <w:sz w:val="24"/>
                <w:szCs w:val="24"/>
                <w:color w:val="auto"/>
              </w:rPr>
            </w:pPr>
          </w:p>
        </w:tc>
      </w:tr>
      <w:tr>
        <w:trPr>
          <w:trHeight w:val="361"/>
        </w:trPr>
        <w:tc>
          <w:tcPr>
            <w:tcW w:w="2980" w:type="dxa"/>
            <w:vAlign w:val="bottom"/>
          </w:tcPr>
          <w:p>
            <w:pPr>
              <w:spacing w:after="0"/>
              <w:rPr>
                <w:sz w:val="24"/>
                <w:szCs w:val="24"/>
                <w:color w:val="auto"/>
              </w:rPr>
            </w:pPr>
          </w:p>
        </w:tc>
        <w:tc>
          <w:tcPr>
            <w:tcW w:w="80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S-6</w:t>
            </w:r>
          </w:p>
        </w:tc>
      </w:tr>
    </w:tbl>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1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In considering whether to purchase the Notes, you should carefully consider all the information contained or incorporated by reference into this prospectus supplement and the accompanying prospectus. In addition, you should carefully consider the risk factors described below, which are not exhaustive.</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hereby incorporate by reference risk factors in Item 1A of our Annual Report on Form 10-K for the year ended December 31, 2024.</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Offering</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Active trading markets for each series of the Notes may not develop.</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There is currently no public market for any series of the Notes, and we do not currently plan to list any series of the Notes on any national securities exchange. In addition, the liquidity of any trading markets in any series of Notes, and the market prices quoted for any series of Notes, may be adversely affected by changes in the overall market for such series of Notes, prevailing interest rates, ratings assigned to such series of Notes, time remaining to the maturity of such series of Notes, outstanding amount of such series of Notes, the markets for similar securities, prospects for other companies in our industry and changes in our consolidated financial condition, results of operations or prospects. Liquid trading markets in any series of Notes may not develop, which could decrease the amounts you would otherwise receive upon a sale or disposition of such series of Notes.</w:t>
      </w:r>
    </w:p>
    <w:p>
      <w:pPr>
        <w:spacing w:after="0" w:line="291" w:lineRule="exact"/>
        <w:rPr>
          <w:sz w:val="20"/>
          <w:szCs w:val="20"/>
          <w:color w:val="auto"/>
        </w:rPr>
      </w:pPr>
    </w:p>
    <w:p>
      <w:pPr>
        <w:ind w:left="34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Notes are the unsecured obligations of Texas Instruments Incorporated and not obligations of its subsidiaries and will be effectively subordinated to the claims of its subsidiaries’ creditors. Structural subordination increases the risk that Texas Instruments Incorporated will be unable to meet its obligations on the Notes when they mature.</w:t>
      </w:r>
    </w:p>
    <w:p>
      <w:pPr>
        <w:spacing w:after="0" w:line="6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Notes are exclusively the obligations of Texas Instruments Incorporated and are not obligations of its subsidiaries. A substantial portion of Texas Instruments Incorporated operations are conducted through its subsidiaries. As a result, Texas Instruments Incorporated’s cash flow and ability to service its debt, including the Notes, depend upon the earnings of its subsidiaries and the distribution to it of earnings, loans or other payments by its subsidiaries.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Texas Instruments Incorporated’s subsidiaries are separate and distinct legal entities. Its subsidiaries will not guarantee the Notes and are under no obligation to pay any amounts due on the Notes or to provide Texas Instruments Incorporated with funds for its payment obligations, whether by dividends, distributions, loans or other payments. Payments to Texas Instruments Incorporated by its subsidiaries will also be contingent upon such subsidiaries’ earnings and business considerations and may be subject to legal and contractual restrictions. As of March 31, 2025, we had approximately $17.4 billion of total liabilities on a consolidated basis. Of this amount, subsidiaries of Texas Instruments Incorporated had approximately $1.9 billion of liabilities (including trade payables and excluding intercompany debt) to which the Notes will be effectively subordinated.</w:t>
      </w:r>
    </w:p>
    <w:p>
      <w:pPr>
        <w:spacing w:after="0" w:line="187"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Texas Instruments Incorporated’s right to receive any assets of any of its subsidiaries upon their liquidation or reorganization, and therefore the right of the holders of the Notes to participate in those assets, will be effectively subordinated to the claims of that subsidiary’s creditors, including senior and subordinated debt holders and bank and trade creditors. The indenture governing the Notes does not limit the amount of additional indebtedness that Texas Instruments Incorporated’s subsidiaries may incur and permits these subsidiaries to incur secured debt without restriction. In addition, even if Texas Instruments Incorporated were a creditor of any of its subsidiaries, its rights as a creditor would be subordinate to any security interest in the assets of its subsidiaries and any indebtedness of its subsidiaries senior to that held by Texas Instruments Incorporated.</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00"/>
          </w:cols>
          <w:pgMar w:left="320" w:top="455"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Notes will be subject to the prior claims of any future secured creditors.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Notes are unsecured obligations, ranking effectively junior to any secured indebtedness Texas Instruments Incorporated may incur in the future. The indenture governing the Notes does not limit the amount of additional debt that Texas Instruments Incorporated may incur and permits Texas Instruments Incorporated to incur secured debt under specified circumstances. If Texas Instruments Incorporated incurs secured indebtedness, its assets securing any such indebtedness will be subject to prior claims by its secured creditors. In the event of Texas Instruments Incorporated’s bankruptcy, insolvency, liquidation, reorganization, dissolution or other winding up, or upon any acceleration of the Notes, Texas Instruments Incorporated’s assets that secure other indebtedness will be available to pay obligations on the Notes only after all other such debt secured by those assets has been repaid in full. Any remaining assets will be available to you ratably with all of Texas Instruments Incorporated’s other unsecured and unsubordinated creditors, including trade creditors. If there are not sufficient assets remaining to pay all these creditors, then all or a portion of the Notes then outstanding would remain unpaid.</w:t>
      </w:r>
    </w:p>
    <w:p>
      <w:pPr>
        <w:spacing w:after="0" w:line="292" w:lineRule="exact"/>
        <w:rPr>
          <w:sz w:val="20"/>
          <w:szCs w:val="20"/>
          <w:color w:val="auto"/>
        </w:rPr>
      </w:pPr>
    </w:p>
    <w:p>
      <w:pPr>
        <w:ind w:left="3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indenture governing the Notes contains negative covenants. The limitation on liens and sale/leaseback covenants do not apply to Texas Instruments Incorporated’s subsidiaries and contain exceptions that would allow Texas Instruments Incorporated and its subsidiaries to grant liens or security interests with respect to their assets, rendering the holders of the Notes structurally or contractually subordinated to new lenders. The indenture governing the Notes does not contain any financial covenants.</w:t>
      </w:r>
    </w:p>
    <w:p>
      <w:pPr>
        <w:spacing w:after="0" w:line="7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indenture governing the Notes contains negative covenants. The limitation on liens and limitation on sale/leaseback covenants apply to Texas Instruments Incorporated, but not to its subsidiaries. As a result, such subsidiaries will not be restricted under the indenture from granting liens or security interests with respect to all or any of their assets without having to provide similar liens or security to the holders of the Notes, or from entering into sale/leaseback transactions. Exceptions within the limitation on liens covenant would allow Texas Instruments Incorporated to borrow substantial additional amounts, and to grant liens or security interests in connection with those borrowings. The indenture governing the Notes does not contain any financial covenants.</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Increased leverage may harm our financial condition and results of operations.</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On an as adjusted basis after giving effect to this offering, as of March 31, 2025, Texas Instruments Incorporated would have had approximately $14.0 billion principal amount of total long-term indebtedness (including the Notes, but excluding the current portion of long-term indebtedness), all of which would have been unsecured and unsubordinated.</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Texas Instruments Incorporated and its subsidiaries may incur additional indebtedness in the future and the Notes do not restrict future incurrence of indebtedness. Any increase in its level of indebtedness will have several important effects on Texas Instruments Incorporated’s future operations, including, without limitation:</w:t>
      </w:r>
    </w:p>
    <w:p>
      <w:pPr>
        <w:spacing w:after="0" w:line="81" w:lineRule="exact"/>
        <w:rPr>
          <w:sz w:val="20"/>
          <w:szCs w:val="20"/>
          <w:color w:val="auto"/>
        </w:rPr>
      </w:pPr>
    </w:p>
    <w:p>
      <w:pPr>
        <w:ind w:left="1080" w:right="5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 will have additional cash requirements in order to support the payment of interest on its outstanding indebtedness;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its outstanding indebtedness and leverage will increase its vulnerability to adverse changes in general economic and industry conditions, as well as to competitive pressure; and</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ability to obtain additional financing for working capital, capital expenditures, general corporate and other purposes may be limited. Texas Instruments Incorporated’s ability to make payments of principal and interest on its indebtedness depends upon its future performance, which will be subject to general economic conditions, industry cycles and financial, business and other factors affecting its consolidated operations, many of which are beyond its control.</w:t>
      </w:r>
    </w:p>
    <w:p>
      <w:pPr>
        <w:spacing w:after="0" w:line="180"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If Texas Instruments Incorporated is unable to generate sufficient cash flow from operations in the future to service its debt, it may be required, among other things:</w:t>
      </w:r>
    </w:p>
    <w:p>
      <w:pPr>
        <w:spacing w:after="0" w:line="67"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seek additional financing in the debt or equity markets;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00"/>
          </w:cols>
          <w:pgMar w:left="320" w:top="455"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refinance or restructure all or a portion of its indebtedness, including the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sell selected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reduce or delay planned capital expenditures;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reduce or delay planned operating and investment expenditures.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Such measures might not be sufficient to enable Texas Instruments Incorporated to service its debt. In addition, any such financing, refinancing or sale of assets might not be available on economically favorable terms.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terms of the Notes will not protect you in the event of highly leveraged transactions or a change of control.</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terms of the Notes will not afford you protection in the event of certain highly leveraged transactions or a change of control that may adversely affect you. As a result, Texas Instruments Incorporated could enter into any such transaction even though the transaction could increase the total amount of its outstanding indebtedness, adversely affect its capital structure or credit rating or otherwise adversely affect the holders of the Notes. If any such transaction were to occur, the value of your Notes could decline.</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Credit ratings of the Notes may change and affect the market prices and marketability of the Notes.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Credit ratings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is no assurance that such credit ratings will remain in effect for any given period of time or that such ratings will not be lowered, suspended or withdrawn entirely by the rating agencies, if, in each rating agency’s judgment, circumstances so warrant. It is also possible that such ratings may be lowered in connection with future events. Holders of Notes will have no recourse against Texas Instruments Incorporated or any other parties in the event of a change in or suspension or withdrawal of such ratings. Any lowering, suspension or withdrawal of such ratings may have an adverse effect on the market prices or marketability of the Notes. In addition, any decline in the ratings of the Notes may make it more difficult for us to raise capital on acceptable terms.</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060"/>
          </w:cols>
          <w:pgMar w:left="320" w:top="455" w:right="5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anticipate that we will receive net proceeds of approximately $1,193 million from this offering after underwriting discounts and other estimated expenses. We expect to use the net proceeds of this offering for general corporate purposes. Initially we intend to invest the net proceeds of this offering in certificates of deposit, United States government securities and certain other interest-bearing securities.</w:t>
      </w:r>
    </w:p>
    <w:p>
      <w:pPr>
        <w:spacing w:after="0" w:line="10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0860"/>
          </w:cols>
          <w:pgMar w:left="320" w:top="455" w:right="7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cash, cash equivalents and short-term investments and our capitalization on an actual and as adjusted basis as of March 31, 2025. Our consolidated capitalization, as adjusted, gives effect to the issuance of the Notes offered by this prospectus supplement. This table should be read in conjunction with our consolidated financial statements and the related notes incorporated by reference into this prospectus supplement and the accompanying prospectus.</w:t>
      </w:r>
    </w:p>
    <w:p>
      <w:pPr>
        <w:spacing w:after="0" w:line="20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0" w:type="dxa"/>
            <w:vAlign w:val="bottom"/>
          </w:tcPr>
          <w:p>
            <w:pPr>
              <w:spacing w:after="0"/>
              <w:rPr>
                <w:sz w:val="1"/>
                <w:szCs w:val="1"/>
                <w:color w:val="auto"/>
              </w:rPr>
            </w:pPr>
          </w:p>
        </w:tc>
      </w:tr>
      <w:tr>
        <w:trPr>
          <w:trHeight w:val="142"/>
        </w:trPr>
        <w:tc>
          <w:tcPr>
            <w:tcW w:w="59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gridSpan w:val="2"/>
          </w:tcPr>
          <w:p>
            <w:pPr>
              <w:jc w:val="right"/>
              <w:ind w:right="860"/>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9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As Adjusted</w:t>
            </w:r>
            <w:r>
              <w:rPr>
                <w:rFonts w:ascii="Times New Roman" w:cs="Times New Roman" w:eastAsia="Times New Roman" w:hAnsi="Times New Roman"/>
                <w:sz w:val="10"/>
                <w:szCs w:val="10"/>
                <w:b w:val="1"/>
                <w:bCs w:val="1"/>
                <w:color w:val="auto"/>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4"/>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par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5,005</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6,198</w:t>
            </w: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2030 Notes offered hereby</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16"/>
        </w:trPr>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2035 Notes offered hereby</w:t>
            </w:r>
          </w:p>
        </w:tc>
        <w:tc>
          <w:tcPr>
            <w:tcW w:w="100" w:type="dxa"/>
            <w:vAlign w:val="bottom"/>
          </w:tcPr>
          <w:p>
            <w:pPr>
              <w:spacing w:after="0"/>
              <w:rPr>
                <w:sz w:val="18"/>
                <w:szCs w:val="18"/>
                <w:color w:val="auto"/>
              </w:rPr>
            </w:pPr>
          </w:p>
        </w:tc>
        <w:tc>
          <w:tcPr>
            <w:tcW w:w="13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Other long-term debt</w:t>
            </w:r>
            <w:r>
              <w:rPr>
                <w:rFonts w:ascii="Times New Roman" w:cs="Times New Roman" w:eastAsia="Times New Roman" w:hAnsi="Times New Roman"/>
                <w:sz w:val="25"/>
                <w:szCs w:val="25"/>
                <w:color w:val="auto"/>
                <w:vertAlign w:val="superscript"/>
              </w:rPr>
              <w:t>(2)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12,848</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12,848</w:t>
            </w:r>
          </w:p>
        </w:tc>
        <w:tc>
          <w:tcPr>
            <w:tcW w:w="0" w:type="dxa"/>
            <w:vAlign w:val="bottom"/>
          </w:tcPr>
          <w:p>
            <w:pPr>
              <w:spacing w:after="0"/>
              <w:rPr>
                <w:sz w:val="1"/>
                <w:szCs w:val="1"/>
                <w:color w:val="auto"/>
              </w:rPr>
            </w:pPr>
          </w:p>
        </w:tc>
      </w:tr>
      <w:tr>
        <w:trPr>
          <w:trHeight w:val="216"/>
        </w:trPr>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long-term debt</w:t>
            </w:r>
          </w:p>
        </w:tc>
        <w:tc>
          <w:tcPr>
            <w:tcW w:w="100" w:type="dxa"/>
            <w:vAlign w:val="bottom"/>
          </w:tcPr>
          <w:p>
            <w:pPr>
              <w:spacing w:after="0"/>
              <w:rPr>
                <w:sz w:val="18"/>
                <w:szCs w:val="18"/>
                <w:color w:val="auto"/>
              </w:rPr>
            </w:pPr>
          </w:p>
        </w:tc>
        <w:tc>
          <w:tcPr>
            <w:tcW w:w="13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12,848</w:t>
            </w:r>
          </w:p>
        </w:tc>
        <w:tc>
          <w:tcPr>
            <w:tcW w:w="2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14,041</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 $25 par value. Shares authorized—10; none issued</w:t>
            </w:r>
          </w:p>
        </w:tc>
        <w:tc>
          <w:tcPr>
            <w:tcW w:w="100" w:type="dxa"/>
            <w:vAlign w:val="bottom"/>
          </w:tcPr>
          <w:p>
            <w:pPr>
              <w:spacing w:after="0"/>
              <w:rPr>
                <w:sz w:val="18"/>
                <w:szCs w:val="18"/>
                <w:color w:val="auto"/>
              </w:rPr>
            </w:pPr>
          </w:p>
        </w:tc>
        <w:tc>
          <w:tcPr>
            <w:tcW w:w="13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59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$1 par value. Shares authorized—2,400; shares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issued—1,741</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1,741</w:t>
            </w:r>
          </w:p>
        </w:tc>
        <w:tc>
          <w:tcPr>
            <w:tcW w:w="2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1,741</w:t>
            </w:r>
          </w:p>
        </w:tc>
        <w:tc>
          <w:tcPr>
            <w:tcW w:w="0" w:type="dxa"/>
            <w:vAlign w:val="bottom"/>
          </w:tcPr>
          <w:p>
            <w:pPr>
              <w:spacing w:after="0"/>
              <w:rPr>
                <w:sz w:val="1"/>
                <w:szCs w:val="1"/>
                <w:color w:val="auto"/>
              </w:rPr>
            </w:pPr>
          </w:p>
        </w:tc>
      </w:tr>
      <w:tr>
        <w:trPr>
          <w:trHeight w:val="216"/>
        </w:trPr>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Paid-in capital</w:t>
            </w:r>
          </w:p>
        </w:tc>
        <w:tc>
          <w:tcPr>
            <w:tcW w:w="100" w:type="dxa"/>
            <w:vAlign w:val="bottom"/>
          </w:tcPr>
          <w:p>
            <w:pPr>
              <w:spacing w:after="0"/>
              <w:rPr>
                <w:sz w:val="18"/>
                <w:szCs w:val="18"/>
                <w:color w:val="auto"/>
              </w:rPr>
            </w:pPr>
          </w:p>
        </w:tc>
        <w:tc>
          <w:tcPr>
            <w:tcW w:w="13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4,058</w:t>
            </w:r>
          </w:p>
        </w:tc>
        <w:tc>
          <w:tcPr>
            <w:tcW w:w="2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4,058</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52,196</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52,196</w:t>
            </w:r>
          </w:p>
        </w:tc>
        <w:tc>
          <w:tcPr>
            <w:tcW w:w="0" w:type="dxa"/>
            <w:vAlign w:val="bottom"/>
          </w:tcPr>
          <w:p>
            <w:pPr>
              <w:spacing w:after="0"/>
              <w:rPr>
                <w:sz w:val="1"/>
                <w:szCs w:val="1"/>
                <w:color w:val="auto"/>
              </w:rPr>
            </w:pPr>
          </w:p>
        </w:tc>
      </w:tr>
      <w:tr>
        <w:trPr>
          <w:trHeight w:val="216"/>
        </w:trPr>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Treasury common stock at cost (832 shares)</w:t>
            </w:r>
          </w:p>
        </w:tc>
        <w:tc>
          <w:tcPr>
            <w:tcW w:w="10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(41,442)</w:t>
            </w:r>
          </w:p>
        </w:tc>
        <w:tc>
          <w:tcPr>
            <w:tcW w:w="2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(41,442)</w:t>
            </w:r>
          </w:p>
        </w:tc>
        <w:tc>
          <w:tcPr>
            <w:tcW w:w="0" w:type="dxa"/>
            <w:vAlign w:val="bottom"/>
          </w:tcPr>
          <w:p>
            <w:pPr>
              <w:spacing w:after="0"/>
              <w:rPr>
                <w:sz w:val="1"/>
                <w:szCs w:val="1"/>
                <w:color w:val="auto"/>
              </w:rPr>
            </w:pPr>
          </w:p>
        </w:tc>
      </w:tr>
      <w:tr>
        <w:trPr>
          <w:trHeight w:val="198"/>
        </w:trPr>
        <w:tc>
          <w:tcPr>
            <w:tcW w:w="59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Accumulated other comprehensive income (loss), net of taxes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(AOCI)</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(147)</w:t>
            </w:r>
          </w:p>
        </w:tc>
        <w:tc>
          <w:tcPr>
            <w:tcW w:w="2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59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Pr>
          <w:p>
            <w:pPr>
              <w:spacing w:after="0"/>
              <w:rPr>
                <w:sz w:val="18"/>
                <w:szCs w:val="18"/>
                <w:color w:val="auto"/>
              </w:rPr>
            </w:pPr>
          </w:p>
        </w:tc>
        <w:tc>
          <w:tcPr>
            <w:tcW w:w="13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16,406</w:t>
            </w:r>
          </w:p>
        </w:tc>
        <w:tc>
          <w:tcPr>
            <w:tcW w:w="2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16,406</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capitalization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29,254</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30,447</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offered hereby are shown at the amount of the public offering price, less offering expenses (including underwriting discounts).</w:t>
      </w:r>
    </w:p>
    <w:p>
      <w:pPr>
        <w:spacing w:after="0" w:line="27" w:lineRule="exact"/>
        <w:rPr>
          <w:rFonts w:ascii="Times New Roman" w:cs="Times New Roman" w:eastAsia="Times New Roman" w:hAnsi="Times New Roman"/>
          <w:sz w:val="18"/>
          <w:szCs w:val="18"/>
          <w:color w:val="auto"/>
        </w:rPr>
      </w:pPr>
    </w:p>
    <w:p>
      <w:pPr>
        <w:ind w:left="540" w:right="60" w:hanging="424"/>
        <w:spacing w:after="0" w:line="260"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$12.95 billion principal amount of our existing outstanding notes less net unamortized discounts, premiums and debt issuance costs of $102 million.</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THE NOTES</w:t>
      </w:r>
    </w:p>
    <w:p>
      <w:pPr>
        <w:spacing w:after="0" w:line="227"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The summary herein of certain provisions of the indenture does not purport to be complete and is subject to, and is qualified in its entirety by reference to, all of the provisions of the indenture, which has been filed as an exhibit to the registration statement of which this prospectus supplement forms a part. The following description of the particular terms of the Notes supplements the description of the general terms and provisions of the debt securities set forth under “Description of Debt Securities” beginning on page 7 of the accompanying prospectus.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2030 Notes will mature on May 23, 2030 and the 2035 Notes will mature on May 23, 2035. The Notes will be issued in book-entry form only, in denominations of $2,000 and multiples of $1,000 in excess thereof. Interest on each series of the Notes will accrue from May 23, 2025 at the rate per annum shown on the cover of this prospectus supplement. Interest on the Notes will be payable semi-annually on May 23 and November 23 of each year, commencing on November 23, 2025, to the persons in whose names the Notes are registered at the close of business on the preceding May 9 or November 9, as the case may be. Interest on the Notes will be paid to but excluding the relevant interest payment date. Interest on the Notes will be calculated on the basis of a 360-day year comprised of twelve 30-day months.</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Notes will be issued under the indenture dated May 23, 2011 by and between Texas Instruments Incorporated and U.S. Bank Trust Company, National Association, as successor in interest to U.S. Bank National Association, as may be further supplemented from time to time. U.S. Bank Trust Company, National Association is the trustee for any and all securities issued under the indenture, as amended, including the Notes, and is referred to herein as the “trustee.” Texas Instruments Incorporated will be the sole obligor on the Notes.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indenture does not limit the ability of Texas Instruments Incorporated or its subsidiaries to incur additional unsecured indebtedness. The Notes will be the unsecured and unsubordinated obligations of Texas Instruments Incorporated and will rank pari passu with its other unsecured and unsubordinated indebtedness from time to time outstanding. The Notes will be effectively subordinated to all indebtedness and liabilities (including trade payables and preferred stock obligations) of Texas Instruments Incorporated’s subsidiaries and will be effectively subordinated to its secured indebtedness, if any, and that of its subsidiaries, if any. As of March 31, 2025, Texas Instruments Incorporated had approximately $13.0 billion principal amount of outstanding indebtedness. As of March 31, 2025, Texas Instruments Incorporated had approximately $17.4 billion of total liabilities on a consolidated basis. Of the $17.4 billion of consolidated total liabilities, approximately $1.9 billion of liabilities (including trade payables and excluding intercompany debt) were held by subsidiaries of Texas Instruments Incorporated to which the Notes will be effectively subordinated.</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an as adjusted basis after giving effect to this offering, as of March 31, 2025:</w:t>
      </w:r>
    </w:p>
    <w:p>
      <w:pPr>
        <w:spacing w:after="0" w:line="131" w:lineRule="exact"/>
        <w:rPr>
          <w:sz w:val="20"/>
          <w:szCs w:val="20"/>
          <w:color w:val="auto"/>
        </w:rPr>
      </w:pPr>
    </w:p>
    <w:p>
      <w:pPr>
        <w:ind w:left="1080" w:right="20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 would have had approximately $14.0 billion principal amount of total long-term indebtedness (including the Notes, but excluding the current portion of long-term indebtedness), all of which would constitute senior and unsubordinated indebtedness;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 would have had approximately $18.6 billion of total liabilities on a consolidated basis;</w:t>
      </w:r>
    </w:p>
    <w:p>
      <w:pPr>
        <w:spacing w:after="0" w:line="130" w:lineRule="exact"/>
        <w:rPr>
          <w:rFonts w:ascii="Times New Roman" w:cs="Times New Roman" w:eastAsia="Times New Roman" w:hAnsi="Times New Roman"/>
          <w:sz w:val="18"/>
          <w:szCs w:val="18"/>
          <w:color w:val="auto"/>
        </w:rPr>
      </w:pPr>
    </w:p>
    <w:p>
      <w:pPr>
        <w:ind w:left="1080" w:right="9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 would not have had any secured indebtedness to which the Notes would have been effectively subordinated; and</w:t>
      </w:r>
    </w:p>
    <w:p>
      <w:pPr>
        <w:spacing w:after="0" w:line="67"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Incorporated’s subsidiaries would have had approximately $1.9 billion of liabilities (including trade payables but excluding intercompany debt) to which the Notes would have been structurally subordinated.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40"/>
          </w:cols>
          <w:pgMar w:left="320" w:top="455"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Issuance of Additional Notes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Texas Instruments Incorporated may, without the consent of the holders, increase the principal amount of Notes of any series by issuing additional Notes of such series in the future on the same terms and conditions, except for any differences in the issue date, the issue price and interest accrued prior to the issue date of the additional Notes. The additional Notes will have the same CUSIP number as the Notes of the applicable series; provided that any additional Notes that are not fungible with the Notes of the applicable series for U.S. federal income tax purposes will be issued under a separate CUSIP number. Texas Instruments Incorporated also may, without the consent of the holders, issue other series of debt securities under the indenture in the future on terms and conditions different from the series of Notes offered hereby.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Prior to the Par Call Date (as defined below) for a series of Notes, such Notes will be redeemable, in whole or in part at any time, or from time to time, at Texas Instruments Incorporated’s option, at a “make-whole premium” redemption price calculated by Texas Instruments Incorporated equal to the greater of:</w:t>
      </w:r>
    </w:p>
    <w:p>
      <w:pPr>
        <w:spacing w:after="0" w:line="176" w:lineRule="exact"/>
        <w:rPr>
          <w:sz w:val="20"/>
          <w:szCs w:val="20"/>
          <w:color w:val="auto"/>
        </w:rPr>
      </w:pPr>
    </w:p>
    <w:p>
      <w:pPr>
        <w:ind w:left="120" w:right="140" w:firstLine="436"/>
        <w:spacing w:after="0" w:line="261"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sum of the present values of the remaining scheduled payments of principal and interest thereon in each case discounted to the redemption date (assuming the Notes matured on the Par Call Date) on a semi-annual basis (assuming a 360-day year consisting of twelve 30-day months) at the Treasury Rate (as defined below)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10 basis points with respect to the 2030 Notes and 10 basis points with respect to the 2035 Notes </w:t>
      </w:r>
      <w:r>
        <w:rPr>
          <w:rFonts w:ascii="Times New Roman" w:cs="Times New Roman" w:eastAsia="Times New Roman" w:hAnsi="Times New Roman"/>
          <w:sz w:val="18"/>
          <w:szCs w:val="18"/>
          <w:i w:val="1"/>
          <w:iCs w:val="1"/>
          <w:color w:val="auto"/>
        </w:rPr>
        <w:t xml:space="preserve">less </w:t>
      </w:r>
      <w:r>
        <w:rPr>
          <w:rFonts w:ascii="Times New Roman" w:cs="Times New Roman" w:eastAsia="Times New Roman" w:hAnsi="Times New Roman"/>
          <w:sz w:val="18"/>
          <w:szCs w:val="18"/>
          <w:color w:val="auto"/>
        </w:rPr>
        <w:t>(b) interest accrued to the date of redemption, and</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   100% of the principal amount of the Notes to be redeemed,</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in either case, accrued and unpaid interest thereon to the redemption date.</w:t>
      </w:r>
    </w:p>
    <w:p>
      <w:pPr>
        <w:spacing w:after="0" w:line="22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On or after the Par Call Date for a series of Notes, Texas Instruments Incorporated may redeem such Notes, in whole or in part, at any time and from time to time, at a redemption price equal to 100% of the principal amount of the Notes being redeemed plus accrued and unpaid interest thereon to the redemption date.</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 Call Date</w:t>
      </w:r>
      <w:r>
        <w:rPr>
          <w:rFonts w:ascii="Times New Roman" w:cs="Times New Roman" w:eastAsia="Times New Roman" w:hAnsi="Times New Roman"/>
          <w:sz w:val="18"/>
          <w:szCs w:val="18"/>
          <w:color w:val="auto"/>
        </w:rPr>
        <w:t>” means</w:t>
      </w:r>
    </w:p>
    <w:p>
      <w:pPr>
        <w:spacing w:after="0" w:line="133"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2030 Notes, April 23, 2030 (the date that is one month prior to the maturity date of the 2030 Notes),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2035 Notes, February 23, 2035 (the date that is three months prior to the maturity date of the 2035 Notes).</w:t>
      </w:r>
    </w:p>
    <w:p>
      <w:pPr>
        <w:spacing w:after="0" w:line="223" w:lineRule="exact"/>
        <w:rPr>
          <w:sz w:val="20"/>
          <w:szCs w:val="20"/>
          <w:color w:val="auto"/>
        </w:rPr>
      </w:pPr>
    </w:p>
    <w:p>
      <w:pPr>
        <w:ind w:left="120" w:right="4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Rate</w:t>
      </w:r>
      <w:r>
        <w:rPr>
          <w:rFonts w:ascii="Times New Roman" w:cs="Times New Roman" w:eastAsia="Times New Roman" w:hAnsi="Times New Roman"/>
          <w:sz w:val="18"/>
          <w:szCs w:val="18"/>
          <w:color w:val="auto"/>
        </w:rPr>
        <w:t>” means, with respect to any redemption date, the yield determined by Texas Instruments Incorporated in accordance with the following two paragraphs.</w:t>
      </w:r>
    </w:p>
    <w:p>
      <w:pPr>
        <w:spacing w:after="0" w:line="16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Treasury Rate shall be determined by Texas Instruments Incorporated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 – Treasury constant maturities – Nominal” (or any successor caption or heading) (“H.15 TCM”). In determining the Treasury Rate, Texas Instruments Incorporated shall select, as applicable: (1) the yield for the Treasury constant maturity on H.15 exactly equal to the period from the redemption date to the Par Call Date (the “Remaining Life”); or (2) if there is no such Treasury constant maturity on H.15 exactly equal to the Remaining</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080"/>
          </w:cols>
          <w:pgMar w:left="320" w:top="455" w:right="4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7"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Texas Instruments Incorporated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Texas Instruments Incorporated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Texas Instruments Incorporated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Texas Instruments Incorporated’s actions and determinations in determining the redemption price shall be conclusive and binding for all purposes, absent manifest error.</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Notes to be redeemed. Notice of any redemption of Notes may, at Texas Instruments Incorporated’s discretion, be given subject to one or more conditions precedent, including, but not limited to, completion of a corporate transaction that is pending. If such redemption is so subject to satisfaction of one or more conditions precedent, such notice shall describe each such condition, and such notice may be rescinded in the event that any or all such conditions shall not have been satisfied or otherwise waived on or prior to the business day immediately preceding the relevant redemption date.</w:t>
      </w:r>
    </w:p>
    <w:p>
      <w:pPr>
        <w:spacing w:after="0" w:line="18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the case of a partial redemption,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Unless Texas Instruments Incorporated defaults in payment of the redemption price, on and after the redemption date interest will cease to accrue on the Notes or portions thereof called for redemption. Installments</w:t>
      </w:r>
    </w:p>
    <w:p>
      <w:pPr>
        <w:ind w:left="120" w:right="200"/>
        <w:spacing w:after="0" w:line="260" w:lineRule="auto"/>
        <w:rPr>
          <w:sz w:val="20"/>
          <w:szCs w:val="20"/>
          <w:color w:val="auto"/>
        </w:rPr>
      </w:pPr>
      <w:r>
        <w:rPr>
          <w:rFonts w:ascii="Times New Roman" w:cs="Times New Roman" w:eastAsia="Times New Roman" w:hAnsi="Times New Roman"/>
          <w:sz w:val="18"/>
          <w:szCs w:val="18"/>
          <w:color w:val="auto"/>
        </w:rPr>
        <w:t>of interest on Notes that are due and payable on interest payment dates falling on or prior to a redemption date will be payable on the interest payment date to the registered holders as of the close of business on the relevant record date as set forth in the Notes and the indenture.</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Sinking Fund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Notes will not be entitled to any sinking fund.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 event of default for a series of Notes is defined under the indenture as being:</w:t>
      </w:r>
    </w:p>
    <w:p>
      <w:pPr>
        <w:spacing w:after="0" w:line="131" w:lineRule="exact"/>
        <w:rPr>
          <w:sz w:val="20"/>
          <w:szCs w:val="20"/>
          <w:color w:val="auto"/>
        </w:rPr>
      </w:pPr>
    </w:p>
    <w:p>
      <w:pPr>
        <w:ind w:left="1080" w:right="6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Incorporated’s default in the payment of principal on such series of Notes when due and payable whether at maturity, upon redemption, by declaration or otherwise, but, in the case of technical or administrative difficulties, only if that default continues for a period of two days;</w:t>
      </w:r>
    </w:p>
    <w:p>
      <w:pPr>
        <w:spacing w:after="0" w:line="81"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Incorporated’s default in the payment of interest on such series of Notes when due and payable, if that default continues for a period of 30 days;</w:t>
      </w:r>
    </w:p>
    <w:p>
      <w:pPr>
        <w:spacing w:after="0" w:line="67"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Incorporated’s default in the performance of or breach of any of its other covenants or agreements in the indenture applicable to such series of Notes, other than a covenant the default in performance or breach of which is specifically dealt with elsewhere in the indenture, and that default or breach continues for a period of 90 days after Texas Instruments Incorporated receives written notice from the trustee or from the holders of 25% or more in aggregate principal amount of such series of Notes and any other series of debt securities affected thereby then outstanding;</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having jurisdiction enters a decree or order for:</w:t>
      </w:r>
    </w:p>
    <w:p>
      <w:pPr>
        <w:spacing w:after="0" w:line="130" w:lineRule="exact"/>
        <w:rPr>
          <w:rFonts w:ascii="Times New Roman" w:cs="Times New Roman" w:eastAsia="Times New Roman" w:hAnsi="Times New Roman"/>
          <w:sz w:val="18"/>
          <w:szCs w:val="18"/>
          <w:color w:val="auto"/>
        </w:rPr>
      </w:pPr>
    </w:p>
    <w:p>
      <w:pPr>
        <w:ind w:left="1540" w:right="420" w:hanging="439"/>
        <w:spacing w:after="0" w:line="282"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relief in respect of Texas Instruments Incorporated in an involuntary case under any applicable bankruptcy, insolvency, or other similar law now or hereafter in effect,</w:t>
      </w:r>
    </w:p>
    <w:p>
      <w:pPr>
        <w:spacing w:after="0" w:line="67" w:lineRule="exact"/>
        <w:rPr>
          <w:rFonts w:ascii="Times New Roman" w:cs="Times New Roman" w:eastAsia="Times New Roman" w:hAnsi="Times New Roman"/>
          <w:sz w:val="18"/>
          <w:szCs w:val="18"/>
          <w:color w:val="auto"/>
        </w:rPr>
      </w:pPr>
    </w:p>
    <w:p>
      <w:pPr>
        <w:ind w:left="1540" w:right="100" w:hanging="439"/>
        <w:spacing w:after="0" w:line="282"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a receiver, liquidator, assignee, custodian, trustee, sequestrator, or similar official of Texas Instruments Incorporated or for all or substantially all of its property, or</w:t>
      </w:r>
    </w:p>
    <w:p>
      <w:pPr>
        <w:spacing w:after="0" w:line="67" w:lineRule="exact"/>
        <w:rPr>
          <w:rFonts w:ascii="Times New Roman" w:cs="Times New Roman" w:eastAsia="Times New Roman" w:hAnsi="Times New Roman"/>
          <w:sz w:val="18"/>
          <w:szCs w:val="18"/>
          <w:color w:val="auto"/>
        </w:rPr>
      </w:pPr>
    </w:p>
    <w:p>
      <w:pPr>
        <w:ind w:left="1540" w:right="380" w:hanging="439"/>
        <w:spacing w:after="0" w:line="282"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winding up or liquidation of Texas Instruments Incorporated’s affairs, and such decree or order shall remain unstayed and in effect for a period of 60 consecutive days;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 under any applicable bankruptcy, insolvency, or other similar law now or hereafter in effect,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in an involuntary case under any such law,</w:t>
      </w:r>
    </w:p>
    <w:p>
      <w:pPr>
        <w:spacing w:after="0" w:line="130" w:lineRule="exact"/>
        <w:rPr>
          <w:rFonts w:ascii="Times New Roman" w:cs="Times New Roman" w:eastAsia="Times New Roman" w:hAnsi="Times New Roman"/>
          <w:sz w:val="18"/>
          <w:szCs w:val="18"/>
          <w:color w:val="auto"/>
        </w:rPr>
      </w:pPr>
    </w:p>
    <w:p>
      <w:pPr>
        <w:ind w:left="1540" w:right="340" w:hanging="439"/>
        <w:spacing w:after="0" w:line="282"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or taking possession by a receiver, liquidator, assignee, custodian, trustee, sequestrator, or similar official of Texas Instruments Incorporated or for any substantial part of its property, or</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any general assignment for the benefit of creditors.</w:t>
      </w:r>
    </w:p>
    <w:p>
      <w:pPr>
        <w:spacing w:after="0" w:line="225"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default by Texas Instruments Incorporated under any other debt, including any other series of debt securities under the indenture, is not a default with respect to the Notes.</w:t>
      </w:r>
    </w:p>
    <w:p>
      <w:pPr>
        <w:spacing w:after="0" w:line="162"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If an event of default other than an event of default specified in the last two bullet points above occurs with respect to a series of Notes and is continuing under the indenture, then, and in each and every such case, either the trustee or the holders of not less than 25% in aggregate principal amount of the Notes of such series then outstanding under the indenture (each such series voting as a separate class) by written notice to Texas Instruments Incorporated and to the trustee, if such notice is given by the holders, may, and the trustee at the request of such holders shall, declare the principal amount of and accrued interest, if any, on the Notes to be immediately due and payable.</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an event of default specified in the last two bullet points above occurs with respect to Texas Instruments Incorporated and is continuing, then the entire principal amount of the outstanding debt securities, including the Notes, will automatically become due immediately and payable without any declaration or other act on the part of the trustee or any holder.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Upon a declaration of acceleration, the principal amount of and accrued interest, if any, on such debt securities shall be immediately due and payable.</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Upon certain conditions declarations of acceleration may be rescinded and annulled and past defaults may be waived by the holders of a majority in aggregate principal amount of the securities of the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 of each such debt security.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“Description of Debt Securities—Modification and Waiver” in the accompanying prospectus.</w:t>
      </w:r>
    </w:p>
    <w:p>
      <w:pPr>
        <w:spacing w:after="0" w:line="18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holders of at least a majority in aggregate principal amount of the Notes of a series may direct the time, method, and place of conducting any proceeding for any remedy available to the trustee or exercising any trust or power conferred on the trustee with respect to such series of Notes. However, the trustee may refuse to follow any direction that conflicts with law or the indenture, that may involve the trustee in personal liability, or that the trustee determines in good faith may be unduly prejudicial to the rights of holders of all series of debt securities affected thereby and not joining in the giving of such direction and may take any other action it deems proper that is not inconsistent with any such direction received from holders of debt securities. No holder of Notes may pursue any remedy with respect to the indenture or a series of Notes unless:</w:t>
      </w:r>
    </w:p>
    <w:p>
      <w:pPr>
        <w:spacing w:after="0" w:line="93"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the trustee written notice of a continuing event of default;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such series of Notes make a written request to the trustee to pursue the remedy in respect of such event of default;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requesting holder or holders offer the trustee indemnity satisfactory to the trustee against any costs, liability, or expense;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the request within 60 days after receipt of the request and the offer of indemnity; and</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60-day period, the holders of a majority in aggregate principal amount of such series of Notes do not give the trustee a direction that is inconsistent with the request.</w:t>
      </w:r>
    </w:p>
    <w:p>
      <w:pPr>
        <w:spacing w:after="0" w:line="16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indenture requires certain of Texas Instruments Incorporated’s officers to certify, on or before a fixed date in each year in which any security is outstanding, as to their knowledge of Texas Instruments Incorporated’s compliance with all conditions and covenants under the indenture.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Delivery and Form; Global Note</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Notes of each series sold in the United States will be issued in the form of one or more fully registered global notes without interest coupons which will be deposited with, or on behalf of, The Depository Trust Company (“DTC”), New York, New York, and registered in the name of Cede &amp; Co., as nominee of DTC, for the accounts of participants in DTC. Unless and until exchanged, in whole or in part, for Notes in definitive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00"/>
          </w:cols>
          <w:pgMar w:left="320" w:top="455"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registered form, a global note may not be transferred except as a whole (i) by the depositary for such global note to a nominee of such depositary, (ii) by a nominee of such depositary to such depositary or another nominee of such depositary or (iii) by such depositary or any such nominee to a successor of such depositary or a nominee of such successor.</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Ownership of beneficial interests in a registered global note will be limited to persons, called participants, that have accounts with the depositary (currently DTC) or persons that may hold interests through participants in DTC. Investors may hold their interests in a global note directly through Euroclear Bank S.A./N.V., as operator of the Euroclear System (“Euroclear”), and Clearstream Banking, société anonyme (“Clearstream”), if they are participants in such systems, or indirectly through organizations that are participants in such systems. Euroclear and Clearstream will hold interests in a global note on behalf of their participants through their respective depositaries, which in turn will hold such interests in the global note in customers’ securities accounts in the depositaries’ names on the books of DTC.</w:t>
      </w:r>
    </w:p>
    <w:p>
      <w:pPr>
        <w:spacing w:after="0" w:line="18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Upon transfer of a definitive note, the definitive note will be exchanged for an interest in a global note, and the transferee will be required to hold its interest through a participant in DTC, Euroclear or Clearstream, as applicable.</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Upon the issuance of a registered global note, the depositary will credit, on its book-entry registration and transfer system, the participants’ accounts with the respective principal or face amounts of the relevant series of Notes beneficially owned by the participants. Any dealers, underwriters or agents participating in the distribution of the Notes will designate the accounts to be credited. Ownership of beneficial interests in a registered global note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8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registered global note, that depositary or its nominee, as the case may be, will be considered the sole owner or holder of the relevant series of Notes represented by the registered global note for all purposes under the indenture. Except as described below, owners of beneficial interests in a registered global note will not be entitled to have the Notes represented by the registered global note registered in their names, will not receive or be entitled to receive physical delivery of the Notes in definitive form and will not be considered the owners or holders of the Notes under the indenture.</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Accordingly, each person owning a beneficial interest in a registered global note must rely on the procedures of the depositary for that registered global note and, if that person is not a participant, on the procedures of the participant through which the person owns its interest, to exercise any rights of a holder under the indenture. The laws of some states may require that some purchasers of Notes take physical delivery of these Notes in definitive form. Such laws may impair the ability to transfer beneficial interests in a global note.</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To facilitate subsequent transfers, all Notes deposited by participants with DTC will be registered in the name of DTC’s nominee, Cede &amp; Co. The deposit of the Notes with DTC and their registration in the name of Cede &amp; Co. effect no change in beneficial ownership. DTC will have no knowledge of the actual beneficial owners of the Notes. DTC’s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Texas Instruments Incorporated will make payments due on the Notes to Cede &amp; Co., as nominee of DTC, in immediately available funds. DTC’s practice upon receipt of any payment of principal, premium, interest or other distribution of underlying securities or other property to holders on that registered global note, is to immediately credit participants’ accounts in amounts proportionate to their respective beneficial interests in that registered global note as shown on the records of the depositary. Payments by participants to owners of beneficial</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00"/>
          </w:cols>
          <w:pgMar w:left="320" w:top="455"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interests in a registered global note held through participants will be governed by standing customer instructions and customary practices, as is now the case with the securities held for the accounts of customers in bearer form or registered in “street name,” and will be the responsibility of those participants. Payment to Cede &amp; Co. is the responsibility of Texas Instruments Incorporated. Disbursement of such payments to direct participants is the responsibility of Cede &amp; Co. Disbursement of such payments to the beneficial owners is the responsibility of direct and indirect participants. None of Texas Instruments Incorporated, the trustee or any other agent of ours or any agent of the trustee will have any responsibility or liability for any aspect of the records relating to payments made on account of beneficial ownership interests in the registered global note or for maintaining, supervising or reviewing any records relating to those beneficial ownership interests.</w:t>
      </w:r>
    </w:p>
    <w:p>
      <w:pPr>
        <w:spacing w:after="0" w:line="189" w:lineRule="exact"/>
        <w:rPr>
          <w:sz w:val="20"/>
          <w:szCs w:val="20"/>
          <w:color w:val="auto"/>
        </w:rPr>
      </w:pPr>
    </w:p>
    <w:p>
      <w:pPr>
        <w:jc w:val="both"/>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Transfers between participants in Euroclear and Clearstream will be effected in the ordinary way in accordance with their respective rules and operating procedures. If a holder requires physical delivery of a definitive note for any reason, including to sell Notes to persons in jurisdictions that require such delivery of such Notes or to pledge such Notes, such holder must transfer its interest in the relevant global note in accordance with the normal procedures of DTC and the procedures set forth in the indenture.</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Cross-market transfers between DTC, on the one hand, and directly or indirectly through Euroclear or Clearstream participants, on the other, will be effected by DTC in accordance with DTC rules on behalf of Euroclear or Clearstream, as the case may be, by its respective depositary; however, such cross-market transactions will require delivery of instructions to Euroclear or Clearstream, as the case may be, by the counterparty in such system in accordance with its rules and procedures and within its established deadlines (Brussels time). Euroclear or Clearstream, as the case may be, will, if the transaction meets its settlement requirements, deliver instructions to its respective depositary to take action to effect final settlement on its behalf by delivering or receiving interests in the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9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Because of the time zone differences, the securities account of a Euroclear or Clearstream participant purchasing an interest in the global note from a DTC participant will be credited during the securities settlement processing day (which must be a business day for Euroclear or Clearstream, as the case may be) immediately following the DTC settlement date, and such credit of any transaction’s interests in the global note settled during such processing day will be reported to the relevant Euroclear or Clearstream participant on such day. Cash received in Euroclear or Clearstream as a result of sales of interests in a global note by or through a Euroclear or Clearstream participant to a DTC participant will be received with value on the DTC settlement date, but will be available in the relevant Euroclear or Clearstream cash account only as of the business day following settlement in DTC.</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Texas Instruments Incorporated expects that DTC will take any action permitted to be taken by a holder of Notes only at the direction of one or more participants to whose account the DTC interests in a global note are credited and only in respect of such portion of the aggregate principal amount of the Notes as to which such participant or participants has or have given such direction. However, if there is an event of default under the Notes, DTC will exchange each global note for definitive notes, which it will distribute to its participants.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Although Texas Instruments Incorporated expects that DTC, Euroclear and Clearstream will agree to the foregoing procedures in order to facilitate transfers of interests in each global note among participants of DTC, Euroclear and Clearstream, DTC, Euroclear and Clearstream are under no obligation to perform or continue to perform such procedures, and such procedures may be discontinued at any time. Neither Texas Instruments Incorporated nor the trustee will have any responsibility for the performance by DTC, Euroclear or Clearstream or their participants or indirect participants of their respective obligations under the rules and procedures governing their operations.</w:t>
      </w:r>
    </w:p>
    <w:p>
      <w:pPr>
        <w:spacing w:after="0" w:line="183"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If the depositary for any of the Notes represented by a registered global note is at any time unwilling or unable to continue as depositary or ceases to be a clearing agency registered under the Securities Exchange Act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40"/>
          </w:cols>
          <w:pgMar w:left="320" w:top="455"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of 1934, as amended (the “Exchange Act”), and a successor depositary registered as a clearing agency under the Exchange Act is not appointed by Texas Instruments Incorporated within 90 days, Texas Instruments Incorporated will issue Notes in definitive form in exchange for the registered global note that had been held by the depositary.</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Any Notes issued in definitive form in exchange for a registered global note will be registered in the name or names that the depositary gives to the trustee. It is expected that the depositary’s instructions will be based upon directions received by the depositary from participants with respect to ownership of beneficial interests in the registered global note that had been held by the depositary. In addition, Texas Instruments Incorporated may at any time determine that the Notes of any series shall no longer be represented by a global note and will issue Notes in definitive form in exchange for such global note pursuant to the procedure described above. 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its participants and to facilitate the clearance and settlement of securities transactions, such as transfers and pledges, among its participants in such securities through electronic computerized book-entry changes in accounts of the participants, thereby eliminating the need for physical movement of securities certificates.</w:t>
      </w:r>
    </w:p>
    <w:p>
      <w:pPr>
        <w:spacing w:after="0" w:line="194"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DTC’s participants include securities brokers and dealers, banks, trust companies, clearing corporations and certain other organizations, some of whom own DTC. Access to DTC’s book-entry system is also available to others, such as banks, brokers, dealers and trust companies that clear through or maintain a custodial relationship with a participant, either directly or indirectly. The rules applicable to DTC and its participants are on file with the SEC.</w:t>
      </w:r>
    </w:p>
    <w:p>
      <w:pPr>
        <w:spacing w:after="0" w:line="180"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Euroclear and Clearstream hold securities for participating organizations. They also facilitate the clearance and settlement of securities transactions between their respective participants through electronic book-entry changes in the accounts of such participants. Euroclear and Clearstream provide various services to their participants, including the safekeeping, administration, clearance, settlement, lending and borrowing of internationally traded securities. Euroclear and Clearstream interface with domestic securities markets. Euroclear and Clearstream participants are financial institutions such as underwriters, securities brokers and dealers, banks, trust companies and certain other organizations. Indirect access to Euroclear or Clearstream is also available to others such as banks, brokers, dealers and trust companies that clear through or maintain a custodial relationship with a Euroclear or Clearstream participant, either directly or indirectly.</w:t>
      </w:r>
    </w:p>
    <w:p>
      <w:pPr>
        <w:spacing w:after="0" w:line="18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information in this section concerning DTC and DTC’s book-entry system, as well as information regarding Euroclear and Clearstream, has been obtained from sources that Texas Instruments Incorporated believes to be reliable, but Texas Instruments Incorporated takes no responsibility for its accuracy or completeness. Texas Instruments Incorporated assumes no responsibility for the performance by DTC, Euroclear, Clearstream or their respective participants of their respective obligations, including obligations that they have under the rules and procedures that govern their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Notices to holders of each series of the Notes will be made by first class mail, postage prepaid, to the addresses that appear on the security register for such series of Notes.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Concerning Our Relationship with the Trustee</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maintain ordinary banking relationships with the trustee and its affiliates and in the future may enter into additional such relationships. An affiliate of the trustee is a lender under our credit facility.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40"/>
          </w:cols>
          <w:pgMar w:left="320" w:top="455"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22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following are the material U.S. federal income tax consequences of owning and disposing of Notes purchased for cash in this offering at the “issue price,” which we assume will be the applicable public offering price indicated on the cover of this prospectus supplement, and held as capital assets for U.S. federal income tax purposes.</w:t>
      </w:r>
    </w:p>
    <w:p>
      <w:pPr>
        <w:spacing w:after="0" w:line="176"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This discussion does not describe all of the tax consequences that may be relevant to you in light of your particular circumstances, including alternative minimum tax consequences and differing tax consequences that may apply to you if you are, for instance:</w:t>
      </w:r>
    </w:p>
    <w:p>
      <w:pPr>
        <w:spacing w:after="0" w:line="67"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institution;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insurance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regulated investment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or trader in securities that uses a mark-to-market method of tax accounting;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holding Notes as part of a “straddle” or integrated transaction;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(as defined below) whose functional currency is not the U.S. dollar;</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required for U.S. federal income tax purposes to conform the timing of income accruals with respect to the Notes to its financial statements under Section 451 of the Internal Revenue Code of 1986, as amended (the “Code”);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for U.S. federal income tax purposes;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entity.</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you are a partnership for U.S. federal income tax purposes, the U.S. federal income tax treatment of each of your partners will generally depend on the status of the partner and your activities.</w:t>
      </w:r>
    </w:p>
    <w:p>
      <w:pPr>
        <w:spacing w:after="0" w:line="162" w:lineRule="exact"/>
        <w:rPr>
          <w:sz w:val="20"/>
          <w:szCs w:val="20"/>
          <w:color w:val="auto"/>
        </w:rPr>
      </w:pPr>
    </w:p>
    <w:p>
      <w:pPr>
        <w:jc w:val="both"/>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This summary is based on the Code, administrative pronouncements, judicial decisions and final, temporary and proposed Treasury Regulations, changes to any of which after the date of this prospectus supplement may affect the tax consequences described herein, possibly on a retroactive basis.</w:t>
      </w:r>
    </w:p>
    <w:p>
      <w:pPr>
        <w:spacing w:after="0" w:line="14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This summary does not discuss any aspect of state, local, or non-U.S. taxation, any federal taxes other than U.S. federal income taxes, or the potential application of the Medicare contribution tax. If you are considering the purchase of Notes, you should consult your tax adviser with regard to the application of the U.S. federal tax laws to your particular situation, as well as any tax consequences arising under the laws of any state, local or non-U.S. taxing jurisdiction.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to U.S. 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section applies to you if you are a U.S. Holder. You are a U.S. Holder if for U.S. federal income tax purposes you are a beneficial owner of 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and are:</w:t>
      </w:r>
    </w:p>
    <w:p>
      <w:pPr>
        <w:spacing w:after="0" w:line="112"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any state therein or the District of Columbia;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U.S. federal income taxation regardless of its source.</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Payments of Stated Interest</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Stated interest on a Note will be taxable to you as ordinary interest income at the time it accrues or is received, in accordance with your method of accounting for U.S. federal income tax purposes. It is expected, and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080"/>
          </w:cols>
          <w:pgMar w:left="320" w:top="455" w:right="4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discussion assumes, that the Notes will be treated as issued without original issue discount for U.S. federal income tax purposes.</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the Notes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Upon the sale or other taxable disposition of a Note, you will recognize taxable gain or loss equal to the difference between the amount realized on the sale or other taxable disposition and your adjusted tax basis in the Note. Your adjusted tax basis in a Note will equal the cost of your Note. For these purposes, the amount realized does not include any amount attributable to accrued but unpaid interest, which is treated as described under “—Payments of Stated Interest” above. Gain or loss realized on the sale or other taxable disposition of a Note will generally be capital gain or loss and will be long-term capital gain or loss if at the time of sale or other taxable disposition you have held the Note for more than one year. Long-term capital gains recognized by non-corporate U.S. Holders may be subject to reduced tax rates. The deductibility of capital losses is subject to limitations.</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Information returns are required to be filed with the Internal Revenue Service (“IRS”) in connection with payments on the Notes and the proceeds from a sale or other disposition of the Notes unless you are an exempt recipient. You may also be subject to backup withholding on these payments in respect of your Notes unless you provide your taxpayer identification number and otherwise comply with applicable requirements of the backup withholding rules or you provide proof of an applicable exemption. Amounts withheld under the backup withholding rules are not additional taxes and may be refunded or credited against your U.S. federal income tax liability, provided the required information is timely furnished to the IRS.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to Non-U.S. Holders</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This section applies to you if are a Non-U.S. Holder. You are a Non-U.S. Holder if for U.S. federal income tax purposes you are a beneficial owner of a Note and are:</w:t>
      </w:r>
    </w:p>
    <w:p>
      <w:pPr>
        <w:spacing w:after="0" w:line="67"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estate or trust.</w:t>
      </w:r>
    </w:p>
    <w:p>
      <w:pPr>
        <w:spacing w:after="0" w:line="225"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You are not a Non-U.S. Holder if you are a nonresident alien individual present in the United States for 183 days or more in the taxable year of disposition of a Note, or if you are a former citizen or former resident of the United States, in which case you should consult your tax adviser regarding the U.S. federal income tax consequences of owning and disposing of a Note.</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Payments on the Notes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Subject to the discussions below under “—Backup Withholding and Information Reporting” and “FATCA,” payments of principal and interest on the Notes to you will not be subject to U.S. federal income or withholding tax, provided that, in the case of interest,</w:t>
      </w:r>
    </w:p>
    <w:p>
      <w:pPr>
        <w:spacing w:after="0" w:line="67" w:lineRule="exact"/>
        <w:rPr>
          <w:sz w:val="20"/>
          <w:szCs w:val="20"/>
          <w:color w:val="auto"/>
        </w:rPr>
      </w:pPr>
    </w:p>
    <w:p>
      <w:pPr>
        <w:ind w:left="1080" w:right="28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do not own, actually or constructively, ten percent or more of the total combined voting power of all classes of our stock entitled to vote;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controlled foreign corporation related, directly or indirectly, to us through stock ownership;</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certify on a properly executed IRS Form W-8BEN or W-8BEN-E (or other applicable form), under penalties of perjury, that you are not a United States person or you otherwise satisfy certification requirements applicable to Notes held through certain intermediaries;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effectively connected with your conduct of a trade or business in the United States as described below.</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you cannot satisfy any of the first three requirements described above and interest on the Notes is not subject to net income tax as described below under “—Effectively Connected Income,” payments of interest on the Notes will generally be subject to withholding tax at a rate of 30%, subject to an applicable treaty providing otherwise.</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the Notes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Subject to the discussions below under “—Backup Withholding and Information Reporting” and “FATCA,” you generally will not be subject to U.S. federal income or withholding tax on gain realized on a sale, redemption or other taxable disposition of Notes, unless the gain is effectively connected with your conduct of a trade or business in the United States as described below; provided, however, that any amounts attributable to accrued interest will be treated as described above under “—Payments on the Notes.”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Effectively Connected Income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interest or gain on a Note is effectively connected with your conduct of a trade or business in the United States (and, if required by an applicable income tax treaty, is attributable to a U.S. permanent establishment or fixed base maintained by you), you will generally be subject to net income tax on such amounts in the same manner as a U.S. Holder (see “Tax Consequences to U.S. Holders” above). In this case, you will be exempt from the withholding tax on interest discussed above, although you will be required to provide a properly executed IRS Form W-8ECI in order to claim an exemption from withholding. You are urged to consult your tax adviser with respect to other U.S. tax consequences of the ownership and disposition of Notes, including the possible imposition of a branch profits tax at a rate of 30% (or a lower treaty rate) if you are a corporation.</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Information returns are required to be filed with the IRS in connection with payments of interest on the Notes. Unless you comply with certification procedures to establish that you are not a United States person, information returns may also be filed with the IRS in connection with the payment of proceeds from a sale or other disposition of a Note. You may be subject to backup withholding on payments on the Notes or on the proceeds from a sale or other disposition of the Notes unless you comply with certification procedures to establish that you are not a United States person or otherwise establish an exemption. Compliance with the certification procedures required to claim the exemption from withholding tax on interest described above will satisfy the certification requirements necessary to avoid backup withholding as well. Amounts withheld under the backup withholding rules are not additional taxes and may be refunded or credited against your U.S. federal income tax liability, provided that the required information is timely furnished to the IRS.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FATCA</w:t>
      </w:r>
    </w:p>
    <w:p>
      <w:pPr>
        <w:spacing w:after="0" w:line="121" w:lineRule="exact"/>
        <w:rPr>
          <w:sz w:val="20"/>
          <w:szCs w:val="20"/>
          <w:color w:val="auto"/>
        </w:rPr>
      </w:pPr>
    </w:p>
    <w:p>
      <w:pPr>
        <w:ind w:left="120" w:right="60" w:firstLine="440"/>
        <w:spacing w:after="0" w:line="270" w:lineRule="auto"/>
        <w:rPr>
          <w:sz w:val="20"/>
          <w:szCs w:val="20"/>
          <w:color w:val="auto"/>
        </w:rPr>
      </w:pPr>
      <w:r>
        <w:rPr>
          <w:rFonts w:ascii="Times New Roman" w:cs="Times New Roman" w:eastAsia="Times New Roman" w:hAnsi="Times New Roman"/>
          <w:sz w:val="17"/>
          <w:szCs w:val="17"/>
          <w:color w:val="auto"/>
        </w:rPr>
        <w:t>Provisions commonly referred to as “FATCA” impose withholding of 30% on payments of interest on the Notes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the non-U.S. entity’s jurisdiction may modify these requirements. In addition, although the currently issued regulations under FATCA would subject payments of gross proceeds of sales or other dispositions of the Notes to withholding under FATCA, regulations proposed by the U.S. Treasury Department would eliminate the requirement under FATCA of withholding on gross proceeds (other than payments of interest) of the disposition of the Notes. The U.S. Treasury Department has stated that taxpayers may rely on these proposed regulations pending their finalization. If FATCA withholding is imposed, a beneficial owner that is not a foreign financial institution generally will be entitled to a refund of any amounts withheld by filing a U.S. federal income tax return (which may entail significant administrative burden). You should consult your tax adviser regarding the effects of FATCA on your investment in the Notes.</w:t>
      </w:r>
    </w:p>
    <w:p>
      <w:pPr>
        <w:spacing w:after="0" w:line="1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Barclays Capital Inc., Morgan Stanley &amp; Co. LLC and MUFG Securities Americas Inc. are acting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principal amount of the Notes set forth opposite the underwriter’s name.</w:t>
      </w:r>
    </w:p>
    <w:p>
      <w:pPr>
        <w:spacing w:after="0" w:line="18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6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8"/>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468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640" w:type="dxa"/>
            <w:vAlign w:val="bottom"/>
            <w:gridSpan w:val="4"/>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Amount of 2030</w:t>
            </w:r>
          </w:p>
        </w:tc>
        <w:tc>
          <w:tcPr>
            <w:tcW w:w="11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Amount of 2035</w:t>
            </w:r>
          </w:p>
        </w:tc>
        <w:tc>
          <w:tcPr>
            <w:tcW w:w="0" w:type="dxa"/>
            <w:vAlign w:val="bottom"/>
          </w:tcPr>
          <w:p>
            <w:pPr>
              <w:spacing w:after="0"/>
              <w:rPr>
                <w:sz w:val="1"/>
                <w:szCs w:val="1"/>
                <w:color w:val="auto"/>
              </w:rPr>
            </w:pPr>
          </w:p>
        </w:tc>
      </w:tr>
      <w:tr>
        <w:trPr>
          <w:trHeight w:val="180"/>
        </w:trPr>
        <w:tc>
          <w:tcPr>
            <w:tcW w:w="840" w:type="dxa"/>
            <w:vAlign w:val="bottom"/>
            <w:tcBorders>
              <w:bottom w:val="single" w:sz="8" w:color="auto"/>
            </w:tcBorders>
            <w:vMerge w:val="continue"/>
          </w:tcPr>
          <w:p>
            <w:pPr>
              <w:spacing w:after="0"/>
              <w:rPr>
                <w:sz w:val="15"/>
                <w:szCs w:val="15"/>
                <w:color w:val="auto"/>
              </w:rPr>
            </w:pPr>
          </w:p>
        </w:tc>
        <w:tc>
          <w:tcPr>
            <w:tcW w:w="46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3"/>
          </w:tcPr>
          <w:p>
            <w:pPr>
              <w:jc w:val="center"/>
              <w:ind w:right="700"/>
              <w:spacing w:after="0" w:line="160" w:lineRule="exact"/>
              <w:rPr>
                <w:sz w:val="20"/>
                <w:szCs w:val="20"/>
                <w:color w:val="auto"/>
              </w:rPr>
            </w:pPr>
            <w:r>
              <w:rPr>
                <w:rFonts w:ascii="Times New Roman" w:cs="Times New Roman" w:eastAsia="Times New Roman" w:hAnsi="Times New Roman"/>
                <w:sz w:val="14"/>
                <w:szCs w:val="14"/>
                <w:b w:val="1"/>
                <w:bCs w:val="1"/>
                <w:color w:val="auto"/>
              </w:rPr>
              <w:t>Notes</w:t>
            </w:r>
          </w:p>
        </w:tc>
        <w:tc>
          <w:tcPr>
            <w:tcW w:w="160" w:type="dxa"/>
            <w:vAlign w:val="bottom"/>
          </w:tcPr>
          <w:p>
            <w:pPr>
              <w:spacing w:after="0"/>
              <w:rPr>
                <w:sz w:val="15"/>
                <w:szCs w:val="15"/>
                <w:color w:val="auto"/>
              </w:rPr>
            </w:pPr>
          </w:p>
        </w:tc>
        <w:tc>
          <w:tcPr>
            <w:tcW w:w="102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Notes</w:t>
            </w:r>
          </w:p>
        </w:tc>
        <w:tc>
          <w:tcPr>
            <w:tcW w:w="0" w:type="dxa"/>
            <w:vAlign w:val="bottom"/>
          </w:tcPr>
          <w:p>
            <w:pPr>
              <w:spacing w:after="0"/>
              <w:rPr>
                <w:sz w:val="1"/>
                <w:szCs w:val="1"/>
                <w:color w:val="auto"/>
              </w:rPr>
            </w:pPr>
          </w:p>
        </w:tc>
      </w:tr>
      <w:tr>
        <w:trPr>
          <w:trHeight w:val="203"/>
        </w:trPr>
        <w:tc>
          <w:tcPr>
            <w:tcW w:w="55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Barclays Capital Inc.</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183,333,000</w:t>
            </w: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216,667,000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183,333,000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216,667,000</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183,334,000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216,666,000</w:t>
            </w:r>
          </w:p>
        </w:tc>
        <w:tc>
          <w:tcPr>
            <w:tcW w:w="0" w:type="dxa"/>
            <w:vAlign w:val="bottom"/>
          </w:tcPr>
          <w:p>
            <w:pPr>
              <w:spacing w:after="0"/>
              <w:rPr>
                <w:sz w:val="1"/>
                <w:szCs w:val="1"/>
                <w:color w:val="auto"/>
              </w:rPr>
            </w:pPr>
          </w:p>
        </w:tc>
      </w:tr>
      <w:tr>
        <w:trPr>
          <w:trHeight w:val="223"/>
        </w:trPr>
        <w:tc>
          <w:tcPr>
            <w:tcW w:w="5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550,000,000</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140" w:lineRule="exact"/>
        <w:rPr>
          <w:sz w:val="20"/>
          <w:szCs w:val="20"/>
          <w:color w:val="auto"/>
        </w:rPr>
      </w:pPr>
    </w:p>
    <w:p>
      <w:pPr>
        <w:ind w:left="120" w:right="300" w:firstLine="440"/>
        <w:spacing w:after="0" w:line="276" w:lineRule="auto"/>
        <w:rPr>
          <w:sz w:val="20"/>
          <w:szCs w:val="20"/>
          <w:color w:val="auto"/>
        </w:rPr>
      </w:pPr>
      <w:r>
        <w:rPr>
          <w:rFonts w:ascii="Times New Roman" w:cs="Times New Roman" w:eastAsia="Times New Roman" w:hAnsi="Times New Roman"/>
          <w:sz w:val="17"/>
          <w:szCs w:val="17"/>
          <w:color w:val="auto"/>
        </w:rPr>
        <w:t>Notes sold by the underwriters to the public will initially be offered at the initial public offering price set forth on the cover of this prospectus supplement. Any Notes sold by the underwriters to securities dealers may be sold at a discount from the initial public offering price not to exceed</w:t>
      </w:r>
    </w:p>
    <w:p>
      <w:pPr>
        <w:spacing w:after="0" w:line="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0.200% per 2030 Note and 0.200% per 2035 Note. Any such securities dealers may resell any Notes purchased from the underwriters to certain other brokers or dealers at a discount from the initial public offering price not to exceed 0.100% per 2030 Note and 0.125% per 2035 Note. If all of the Notes are not sold at the initial offering price, the underwriters may change the offering price and the other selling terms.</w:t>
      </w:r>
    </w:p>
    <w:p>
      <w:pPr>
        <w:spacing w:after="0" w:line="186"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the underwriting discounts that we are to pay to the underwriters in connection with this offering (expressed as a percentage of the principal amount of the Notes).</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Paid by Texas</w:t>
            </w:r>
          </w:p>
        </w:tc>
      </w:tr>
      <w:tr>
        <w:trPr>
          <w:trHeight w:val="149"/>
        </w:trPr>
        <w:tc>
          <w:tcPr>
            <w:tcW w:w="80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Instruments</w:t>
            </w:r>
          </w:p>
        </w:tc>
      </w:tr>
      <w:tr>
        <w:trPr>
          <w:trHeight w:val="173"/>
        </w:trPr>
        <w:tc>
          <w:tcPr>
            <w:tcW w:w="800" w:type="dxa"/>
            <w:vAlign w:val="bottom"/>
            <w:tcBorders>
              <w:bottom w:val="single" w:sz="8" w:color="CCEEFF"/>
            </w:tcBorders>
          </w:tcPr>
          <w:p>
            <w:pPr>
              <w:spacing w:after="0"/>
              <w:rPr>
                <w:sz w:val="15"/>
                <w:szCs w:val="15"/>
                <w:color w:val="auto"/>
              </w:rPr>
            </w:pPr>
          </w:p>
        </w:tc>
        <w:tc>
          <w:tcPr>
            <w:tcW w:w="56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200" w:type="dxa"/>
            <w:vAlign w:val="bottom"/>
            <w:tcBorders>
              <w:bottom w:val="single" w:sz="8" w:color="CCEEFF"/>
            </w:tcBorders>
          </w:tcPr>
          <w:p>
            <w:pPr>
              <w:spacing w:after="0"/>
              <w:rPr>
                <w:sz w:val="15"/>
                <w:szCs w:val="15"/>
                <w:color w:val="auto"/>
              </w:rPr>
            </w:pPr>
          </w:p>
        </w:tc>
      </w:tr>
      <w:tr>
        <w:trPr>
          <w:trHeight w:val="210"/>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9"/>
              </w:rPr>
              <w:t>Per 2030  </w:t>
            </w:r>
          </w:p>
        </w:tc>
        <w:tc>
          <w:tcPr>
            <w:tcW w:w="5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Note</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0.300%</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w w:val="89"/>
              </w:rPr>
              <w:t>Per 2035  </w:t>
            </w:r>
          </w:p>
        </w:tc>
        <w:tc>
          <w:tcPr>
            <w:tcW w:w="5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Note</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0.350%</w:t>
            </w:r>
          </w:p>
        </w:tc>
      </w:tr>
    </w:tbl>
    <w:p>
      <w:pPr>
        <w:spacing w:after="0" w:line="17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estimate that our total expenses for this offering will be approximately $6 million, including underwriting discounts. The underwriters have agreed to reimburse us for certain of our expenses in connection with the offering.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the offering, the underwriters may purchase and sell the Notes in the open market.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Purchases and sales in the open market may include short sales, purchases to cover short positions and stabilizing purchases.</w:t>
      </w:r>
    </w:p>
    <w:p>
      <w:pPr>
        <w:spacing w:after="0" w:line="131" w:lineRule="exact"/>
        <w:rPr>
          <w:sz w:val="20"/>
          <w:szCs w:val="20"/>
          <w:color w:val="auto"/>
        </w:rPr>
      </w:pPr>
    </w:p>
    <w:p>
      <w:pPr>
        <w:ind w:left="1080" w:right="4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involve secondary market sales by the underwriters of a greater number of the Notes than they are required to purchase in this offering.</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Covering transactions involve purchases of the Notes in the open market after the distribution has been completed in order to cover short positions.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involve bids to purchase the Notes so long as the stabilizing bids do not exceed a specified maximum.</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020"/>
          </w:cols>
          <w:pgMar w:left="320" w:top="455" w:right="5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Purchases to cover short positions and stabilizing purchases, as well as other purchases by the underwriters for their own accounts, may have the effect of preventing or retarding a decline in the market prices of the Notes. They may also cause the prices of the Notes to be higher than the prices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80"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We expect to deliver the Notes against payment for the Notes on or about the date specified in the last paragraph of the cover page of this prospectus supplement, which will be the third business day following the date of the pricing of the Notes. Under Rule 15c6-1 of the Exchange Act, trades in the secondary market generally are required to settle in one business day, unless the parties to a trade expressly agree otherwise.</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Accordingly, purchasers who wish to trade Notes prior to the business day before the delivery of the Notes hereunder will be required, by virtue of the fact that the Notes initially will settle in T+3, to specify alternative settlement arrangements to prevent a failed settlement.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instruments) and financial instruments (which may include bank loans and/or credit default swaps) for their own account and for the accounts of their customers. Such investment and securities activities may involve our securities and instruments.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w:t>
      </w:r>
    </w:p>
    <w:p>
      <w:pPr>
        <w:spacing w:after="0" w:line="19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Affiliates of some of the underwriters are lenders, and in some cases agents or managers for the lenders, under our credit facility.</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121" w:lineRule="exact"/>
        <w:rPr>
          <w:sz w:val="20"/>
          <w:szCs w:val="20"/>
          <w:color w:val="auto"/>
        </w:rPr>
      </w:pPr>
    </w:p>
    <w:p>
      <w:pPr>
        <w:ind w:left="120" w:right="180" w:firstLine="440"/>
        <w:spacing w:after="0" w:line="289" w:lineRule="auto"/>
        <w:rPr>
          <w:sz w:val="20"/>
          <w:szCs w:val="20"/>
          <w:color w:val="auto"/>
        </w:rPr>
      </w:pPr>
      <w:r>
        <w:rPr>
          <w:rFonts w:ascii="Times New Roman" w:cs="Times New Roman" w:eastAsia="Times New Roman" w:hAnsi="Times New Roman"/>
          <w:sz w:val="17"/>
          <w:szCs w:val="17"/>
          <w:color w:val="auto"/>
        </w:rPr>
        <w:t>The Notes are not intended to be offered, sold or otherwise made available to and should not be offered, sold or otherwise made available to any retail investor in the European Economic Area (the “EEA”). For these purposes, a retail investor means a person who is one (or more) of: (i) a retail client as defined in point (11) of Article 4(1) of Directive 2014/65/EU as amended (“MiFID II”); (ii) a customer within the meaning of Directive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(EU) 2016/97 (as amended, the “Insurance Distribution Directive”), where that customer would not qualify as a professional client as defined in point</w:t>
      </w:r>
    </w:p>
    <w:p>
      <w:pPr>
        <w:spacing w:after="0" w:line="27" w:lineRule="exact"/>
        <w:rPr>
          <w:sz w:val="20"/>
          <w:szCs w:val="20"/>
          <w:color w:val="auto"/>
        </w:rPr>
      </w:pPr>
    </w:p>
    <w:p>
      <w:pPr>
        <w:ind w:left="120" w:right="140" w:hanging="4"/>
        <w:spacing w:after="0" w:line="252" w:lineRule="auto"/>
        <w:tabs>
          <w:tab w:leader="none" w:pos="4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notes in any member state of the EEA will be made pursuant to an exemption under the Prospectus Regulation from the requirement to publish a prospectus for offers of notes. This prospectus supplement and the accompanying prospectus are not a prospectus for the purposes of the Prospectus Regulation.</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121" w:lineRule="exact"/>
        <w:rPr>
          <w:sz w:val="20"/>
          <w:szCs w:val="20"/>
          <w:color w:val="auto"/>
        </w:rPr>
      </w:pPr>
    </w:p>
    <w:p>
      <w:pPr>
        <w:ind w:left="120" w:right="160" w:firstLine="440"/>
        <w:spacing w:after="0" w:line="268" w:lineRule="auto"/>
        <w:rPr>
          <w:sz w:val="20"/>
          <w:szCs w:val="20"/>
          <w:color w:val="auto"/>
        </w:rPr>
      </w:pPr>
      <w:r>
        <w:rPr>
          <w:rFonts w:ascii="Times New Roman" w:cs="Times New Roman" w:eastAsia="Times New Roman" w:hAnsi="Times New Roman"/>
          <w:sz w:val="17"/>
          <w:szCs w:val="17"/>
          <w:color w:val="auto"/>
        </w:rPr>
        <w:t>The Notes are not intended to be offered, sold or otherwise made available to and should not be offered, sold or otherwise made available to any retail investor in the United Kingdom (the “UK”). For these purposes, a retail investor means a person who is one (or more) of: (i) a retail client as defined in point (8) of Article 2 of Regulation (EU) No 2017/565 as it forms part of domestic law by virtue of the European Union (Withdrawal) Act 2018 (the “EUWA”); (ii) a customer within the meaning of the provisions of the Financial Services and Markets Act 2000 (as amended, the “FSMA”) and any rules or regulations made under the FSMA to implement the Insurance Distribution Directive, where that customer would not qualify as a professional client, as defined in point (8) of Article 2(1) of Regulation (EU) No 600/2014 as it forms part of domestic law by virtue of the EUWA; or</w:t>
      </w:r>
    </w:p>
    <w:p>
      <w:pPr>
        <w:spacing w:after="0" w:line="5" w:lineRule="exact"/>
        <w:rPr>
          <w:sz w:val="20"/>
          <w:szCs w:val="20"/>
          <w:color w:val="auto"/>
        </w:rPr>
      </w:pPr>
    </w:p>
    <w:p>
      <w:pPr>
        <w:ind w:left="120" w:right="20" w:hanging="4"/>
        <w:spacing w:after="0" w:line="269" w:lineRule="auto"/>
        <w:tabs>
          <w:tab w:leader="none" w:pos="43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a qualified investor as defined in Article 2 of the Prospectus Regulation as it forms part of domestic law by virtue of the EUWA (the “UK Prospectus Regulation”). Consequently, no key information document required by the PRIIPs Regulation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and the accompanying prospectus have been prepared on the basis that any offer of notes in the UK will be made pursuant to an exemption under the FSMA and the UK Prospectus Regulation from the requirement to publish a prospectus for offers of notes. This prospectus supplement and the accompanying prospectus are not a prospectus for the purposes of the UK Prospectus Regulation or the FSMA.</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in the UK, this document is being distributed only to, and is directed only at, and any offer subsequently made may only be directed at persons who are “qualified investors” (as defined in Article 2 of the UK Prospectus Regulation) who (i) have professional experience in matters relating to investments falling within Article 19(5) of the Financial Services and Markets Act 2000 (Financial Promotion) Order 2005 (as amended, the “Order”), (ii) are persons falling within Article 49(2)(a) to (d) (“high net worth companies, unincorporated associations etc.”) of the Order, or (iii) are persons to whom an invitation or inducement to engage in investment activity (within the meaning of Section 21 of the FSMA) in connection with the issue or sale of any securities may otherwise lawfully be communicated or caused to be communicated (all such persons together being referred to as “relevant persons”). In the UK this document is directed only at relevant persons and must not be acted on or relied on by persons who are not relevant persons. In the UK, any investment or investment activity to which this document relates is available only to relevant persons and will be engaged in only with relevant persons.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121" w:lineRule="exact"/>
        <w:rPr>
          <w:sz w:val="20"/>
          <w:szCs w:val="20"/>
          <w:color w:val="auto"/>
        </w:rPr>
      </w:pPr>
    </w:p>
    <w:p>
      <w:pPr>
        <w:ind w:left="120" w:right="400" w:firstLine="440"/>
        <w:spacing w:after="0" w:line="289" w:lineRule="auto"/>
        <w:rPr>
          <w:sz w:val="20"/>
          <w:szCs w:val="20"/>
          <w:color w:val="auto"/>
        </w:rPr>
      </w:pPr>
      <w:r>
        <w:rPr>
          <w:rFonts w:ascii="Times New Roman" w:cs="Times New Roman" w:eastAsia="Times New Roman" w:hAnsi="Times New Roman"/>
          <w:sz w:val="17"/>
          <w:szCs w:val="17"/>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00"/>
          </w:cols>
          <w:pgMar w:left="320" w:top="455"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accordance with an exemption from, or in a transaction not subject to, the prospectus requirements of applicable securities laws.</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or the accompanying prospectus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3"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France</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Neither this prospectus supplement nor any other offering material relating to the Notes described in this prospectus supplement has been submitted to the clearance procedures of the </w:t>
      </w:r>
      <w:r>
        <w:rPr>
          <w:rFonts w:ascii="Times New Roman" w:cs="Times New Roman" w:eastAsia="Times New Roman" w:hAnsi="Times New Roman"/>
          <w:sz w:val="18"/>
          <w:szCs w:val="18"/>
          <w:i w:val="1"/>
          <w:iCs w:val="1"/>
          <w:color w:val="auto"/>
        </w:rPr>
        <w:t>Autorité des Marchés Financiers</w:t>
      </w:r>
      <w:r>
        <w:rPr>
          <w:rFonts w:ascii="Times New Roman" w:cs="Times New Roman" w:eastAsia="Times New Roman" w:hAnsi="Times New Roman"/>
          <w:sz w:val="18"/>
          <w:szCs w:val="18"/>
          <w:color w:val="auto"/>
        </w:rPr>
        <w:t xml:space="preserve"> or of the competent authority of another member state of the European Economic Area and notified to the </w:t>
      </w:r>
      <w:r>
        <w:rPr>
          <w:rFonts w:ascii="Times New Roman" w:cs="Times New Roman" w:eastAsia="Times New Roman" w:hAnsi="Times New Roman"/>
          <w:sz w:val="18"/>
          <w:szCs w:val="18"/>
          <w:i w:val="1"/>
          <w:iCs w:val="1"/>
          <w:color w:val="auto"/>
        </w:rPr>
        <w:t>Autorité des Marchés Financiers</w:t>
      </w:r>
      <w:r>
        <w:rPr>
          <w:rFonts w:ascii="Times New Roman" w:cs="Times New Roman" w:eastAsia="Times New Roman" w:hAnsi="Times New Roman"/>
          <w:sz w:val="18"/>
          <w:szCs w:val="18"/>
          <w:color w:val="auto"/>
        </w:rPr>
        <w:t>. The Notes have not been offered or sold and will not be offered or sold, directly or indirectly, to the public in France. Neither this prospectus supplement nor any other offering material relating to the Notes has been or will be:</w:t>
      </w:r>
    </w:p>
    <w:p>
      <w:pPr>
        <w:spacing w:after="0" w:line="85"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issued, distributed or caused to be released, issued or distributed to the public in France;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in connection with any offer for subscription or sale of the Notes to the public in France.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Such offers, sales and distributions will be made in France only:</w:t>
      </w:r>
    </w:p>
    <w:p>
      <w:pPr>
        <w:spacing w:after="0" w:line="129" w:lineRule="exact"/>
        <w:rPr>
          <w:sz w:val="20"/>
          <w:szCs w:val="20"/>
          <w:color w:val="auto"/>
        </w:rPr>
      </w:pPr>
    </w:p>
    <w:p>
      <w:pPr>
        <w:ind w:left="1080" w:right="560" w:hanging="424"/>
        <w:spacing w:after="0" w:line="26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qualified investors (</w:t>
      </w:r>
      <w:r>
        <w:rPr>
          <w:rFonts w:ascii="Times New Roman" w:cs="Times New Roman" w:eastAsia="Times New Roman" w:hAnsi="Times New Roman"/>
          <w:sz w:val="18"/>
          <w:szCs w:val="18"/>
          <w:i w:val="1"/>
          <w:iCs w:val="1"/>
          <w:color w:val="auto"/>
        </w:rPr>
        <w:t>investisseurs qualifiés</w:t>
      </w:r>
      <w:r>
        <w:rPr>
          <w:rFonts w:ascii="Times New Roman" w:cs="Times New Roman" w:eastAsia="Times New Roman" w:hAnsi="Times New Roman"/>
          <w:sz w:val="18"/>
          <w:szCs w:val="18"/>
          <w:color w:val="auto"/>
        </w:rPr>
        <w:t>) and/or to a restricted circle of investors (</w:t>
      </w:r>
      <w:r>
        <w:rPr>
          <w:rFonts w:ascii="Times New Roman" w:cs="Times New Roman" w:eastAsia="Times New Roman" w:hAnsi="Times New Roman"/>
          <w:sz w:val="18"/>
          <w:szCs w:val="18"/>
          <w:i w:val="1"/>
          <w:iCs w:val="1"/>
          <w:color w:val="auto"/>
        </w:rPr>
        <w:t>cercle restreint d’investisseurs</w:t>
      </w:r>
      <w:r>
        <w:rPr>
          <w:rFonts w:ascii="Times New Roman" w:cs="Times New Roman" w:eastAsia="Times New Roman" w:hAnsi="Times New Roman"/>
          <w:sz w:val="18"/>
          <w:szCs w:val="18"/>
          <w:color w:val="auto"/>
        </w:rPr>
        <w:t>), in each case investing for their own account, all as defined in, and in accordance with,</w:t>
      </w: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articles L.411-2, D.411-1, D.411-2, D.734-1, D.744-1, D.754-1 and D.764-1 of the French </w:t>
      </w:r>
      <w:r>
        <w:rPr>
          <w:rFonts w:ascii="Times New Roman" w:cs="Times New Roman" w:eastAsia="Times New Roman" w:hAnsi="Times New Roman"/>
          <w:sz w:val="18"/>
          <w:szCs w:val="18"/>
          <w:i w:val="1"/>
          <w:iCs w:val="1"/>
          <w:color w:val="auto"/>
        </w:rPr>
        <w:t>Code monétaire et financier</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investment services providers authorized to engage in portfolio management on behalf of third parties; or</w:t>
      </w:r>
    </w:p>
    <w:p>
      <w:pPr>
        <w:spacing w:after="0" w:line="128" w:lineRule="exact"/>
        <w:rPr>
          <w:rFonts w:ascii="Times New Roman" w:cs="Times New Roman" w:eastAsia="Times New Roman" w:hAnsi="Times New Roman"/>
          <w:sz w:val="18"/>
          <w:szCs w:val="18"/>
          <w:color w:val="auto"/>
        </w:rPr>
      </w:pPr>
    </w:p>
    <w:p>
      <w:pPr>
        <w:ind w:left="1080" w:right="180" w:hanging="424"/>
        <w:spacing w:after="0" w:line="267"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 transaction that, in accordance with article L.411-2-II-1° -or-2° -or 3° of the French </w:t>
      </w:r>
      <w:r>
        <w:rPr>
          <w:rFonts w:ascii="Times New Roman" w:cs="Times New Roman" w:eastAsia="Times New Roman" w:hAnsi="Times New Roman"/>
          <w:sz w:val="18"/>
          <w:szCs w:val="18"/>
          <w:i w:val="1"/>
          <w:iCs w:val="1"/>
          <w:color w:val="auto"/>
        </w:rPr>
        <w:t>Code monétaire et financier</w:t>
      </w:r>
      <w:r>
        <w:rPr>
          <w:rFonts w:ascii="Times New Roman" w:cs="Times New Roman" w:eastAsia="Times New Roman" w:hAnsi="Times New Roman"/>
          <w:sz w:val="18"/>
          <w:szCs w:val="18"/>
          <w:color w:val="auto"/>
        </w:rPr>
        <w:t xml:space="preserve"> and article 211-2 of the General Regulations (</w:t>
      </w:r>
      <w:r>
        <w:rPr>
          <w:rFonts w:ascii="Times New Roman" w:cs="Times New Roman" w:eastAsia="Times New Roman" w:hAnsi="Times New Roman"/>
          <w:sz w:val="18"/>
          <w:szCs w:val="18"/>
          <w:i w:val="1"/>
          <w:iCs w:val="1"/>
          <w:color w:val="auto"/>
        </w:rPr>
        <w:t>Règlement Général</w:t>
      </w:r>
      <w:r>
        <w:rPr>
          <w:rFonts w:ascii="Times New Roman" w:cs="Times New Roman" w:eastAsia="Times New Roman" w:hAnsi="Times New Roman"/>
          <w:sz w:val="18"/>
          <w:szCs w:val="18"/>
          <w:color w:val="auto"/>
        </w:rPr>
        <w:t xml:space="preserve">) of the </w:t>
      </w:r>
      <w:r>
        <w:rPr>
          <w:rFonts w:ascii="Times New Roman" w:cs="Times New Roman" w:eastAsia="Times New Roman" w:hAnsi="Times New Roman"/>
          <w:sz w:val="18"/>
          <w:szCs w:val="18"/>
          <w:i w:val="1"/>
          <w:iCs w:val="1"/>
          <w:color w:val="auto"/>
        </w:rPr>
        <w:t>Autorité des Marchés Financiers</w:t>
      </w:r>
      <w:r>
        <w:rPr>
          <w:rFonts w:ascii="Times New Roman" w:cs="Times New Roman" w:eastAsia="Times New Roman" w:hAnsi="Times New Roman"/>
          <w:sz w:val="18"/>
          <w:szCs w:val="18"/>
          <w:color w:val="auto"/>
        </w:rPr>
        <w:t>, does not constitute a public offer (</w:t>
      </w:r>
      <w:r>
        <w:rPr>
          <w:rFonts w:ascii="Times New Roman" w:cs="Times New Roman" w:eastAsia="Times New Roman" w:hAnsi="Times New Roman"/>
          <w:sz w:val="18"/>
          <w:szCs w:val="18"/>
          <w:i w:val="1"/>
          <w:iCs w:val="1"/>
          <w:color w:val="auto"/>
        </w:rPr>
        <w:t>appel public à</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l’épargne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Notes may be resold directly or indirectly, only in compliance with articles L.411-1, L.411-2, L.412-1 and L.621-8 through L.621-8-3 of the French Code </w:t>
      </w:r>
      <w:r>
        <w:rPr>
          <w:rFonts w:ascii="Times New Roman" w:cs="Times New Roman" w:eastAsia="Times New Roman" w:hAnsi="Times New Roman"/>
          <w:sz w:val="18"/>
          <w:szCs w:val="18"/>
          <w:i w:val="1"/>
          <w:iCs w:val="1"/>
          <w:color w:val="auto"/>
        </w:rPr>
        <w:t>monétaire et financier</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Notes may not be offered or sold in Hong Kong by means of any document other than (a) to “professional investors” as defined in the Securities and Futures Ordinance (Cap. 571 of the laws of Hong Kong) (the “SFO”) and any rules made thereunder; or (b) in other circumstances which do not result in the document being a “prospectus” as defined in the Companies (Winding Up and Miscellaneous Provisions) Ordinance (Cap. 32 of the Laws of Hong Kong) (the “CO”) or which do not constitute an offer to the public within the meaning of the CO,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of Hong Kong</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(except if permitted to do so under the securities laws of Hong Kong) other than with respect to the Notes which are or are intended to be disposed of only to persons outside Hong Kong or only to “professional investors” as defined in the SFO and any rules made thereunder.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Notes have not been and will not be registered pursuant to Article 4, Paragraph 1 of the Financial Instruments and Exchange Act. Accordingly, none of the Notes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have not been registered as a prospectus with the Monetary Authority of Singapore. Accordingly, this prospectus supplement, the accompanying prospectus or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any person in Singapore other than (i) to an institutional investor (as defined in Section 4A of the Securities and Futures Act 2001 of Singapore, as modified or amended from time to time (the “SFA”)) pursuant to Section 274 of the SFA or (ii) to an accredited investor (as defined in Section 4A of the SFA) pursuant to and in accordance with the conditions specified in Section 275 of the SFA.</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do not constitute an offer to the public or a solicitation to purchase or invest in the Notes. The Notes may not be offered, directly or indirectly, to the public in Switzerland, except that offers of the Notes may be made to the public in Switzerland at any time under the following exemptions under the Swiss Financial Services Act (“FinSA”):</w:t>
      </w:r>
    </w:p>
    <w:p>
      <w:pPr>
        <w:spacing w:after="0" w:line="176" w:lineRule="exact"/>
        <w:rPr>
          <w:sz w:val="20"/>
          <w:szCs w:val="20"/>
          <w:color w:val="auto"/>
        </w:rPr>
      </w:pPr>
    </w:p>
    <w:p>
      <w:pPr>
        <w:ind w:left="800" w:hanging="244"/>
        <w:spacing w:after="0"/>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person which is a professional client as defined under FinSA;</w:t>
      </w:r>
    </w:p>
    <w:p>
      <w:pPr>
        <w:spacing w:after="0" w:line="225" w:lineRule="exact"/>
        <w:rPr>
          <w:rFonts w:ascii="Times New Roman" w:cs="Times New Roman" w:eastAsia="Times New Roman" w:hAnsi="Times New Roman"/>
          <w:sz w:val="18"/>
          <w:szCs w:val="18"/>
          <w:color w:val="auto"/>
        </w:rPr>
      </w:pPr>
    </w:p>
    <w:p>
      <w:pPr>
        <w:ind w:left="120" w:right="20" w:firstLine="436"/>
        <w:spacing w:after="0" w:line="282" w:lineRule="auto"/>
        <w:tabs>
          <w:tab w:leader="none" w:pos="8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500 persons (other than professional clients as defined under the FinSA), subject to obtaining the prior consent of representatives for any such offer; or</w:t>
      </w:r>
    </w:p>
    <w:p>
      <w:pPr>
        <w:spacing w:after="0" w:line="161"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36 FinSA in connection with Article 44 of the Swiss Financial Services Ordinance,</w:t>
      </w:r>
    </w:p>
    <w:p>
      <w:pPr>
        <w:spacing w:after="0" w:line="225"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provided that no such offer of the Notes shall require Texas Instruments Incorporated or any underwriter to publish a prospectus pursuant to Article 35 FinSA.</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Notes have not been and will not be listed or admitted to trading on a trading venue in Switzerland.</w:t>
      </w:r>
    </w:p>
    <w:p>
      <w:pPr>
        <w:spacing w:after="0" w:line="225"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Neither this prospectus supplement, the accompanying prospectus nor any other offering or marketing material relating to the Notes constitutes a prospectus as such term is understood pursuant to the FinSA and neither this prospectus supplement nor any other offering or marketing material relating to the Notes may be publicly distributed or otherwise made publicly available in Switzerland.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Taiwan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Notes have not been and will not be registered or filed with, or approved by, the Financial Supervisory Commission and/or any other regulatory authority of Taiwan pursuant to relevant securities laws and regulations and may not be sold, issued or offered within Taiwan through a public offering or in circumstances which constitutes an offer within the meaning of the Securities and Exchange Act of Taiwan or relevant laws and regulations that requires a registration or filing with or approval of the Financial Supervisory Commission and/or any other regulatory authority of Taiwan. No person or entity in Taiwan has been authorized to offer, sell, give advice regarding or otherwise intermediate the offering and sale of the Notes in Taiwan.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Plan Investors</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Notes may be purchased and held by or with the assets of (i) “employee benefit plans” within the meaning of Section 3(3) of the Employee Retirement Income Security Act of 1974, as amended (“ERISA”) subject to Title I of ERISA, (ii) plans, individual retirement accounts and other arrangements subject to Section 4975 of the Internal Revenue Code of 1986, as amended (the “Code”), or provisions of any other U.S. or non-U.S. federal, state, local or other laws or regulations that are similar to such provisions of ERISA or the Code (“Similar Laws”) and (iii) entities whose underlying assets are considered to include plan assets of any of the foregoing described in clauses (i) and (ii), pursuant to ERISA or otherwise (each of the foregoing described in clauses (i), (ii) and (iii) referred to herein as a “Plan”). A fiduciary of a Plan subject to Title I of ERISA or Similar Laws must determine that the purchase and holding of a Note is consistent with its fiduciary duties under any applicable provision of ERISA, Section 4975 of the Code or Similar Laws. Each purchaser and subsequent transferee that is a Plan must also determine, and will be deemed to have represented by its purchase and holding of a Note, that such purchase and holding and any subsequent disposition of the Note will not constitute or result in a non-exempt prohibited transaction under Section 406 of ERISA or Section 4975 of the Code, or a violation of any applicable Similar Law. Such purchaser or transferee should consult legal counsel before purchasing the Notes. Nothing in this prospectus supplement, or the accompanying prospectus is, or should be construed as, a representation or advice as to whether an investment in the Notes is appropriate for, or would meet any or all of the relevant legal requirements with respect to investments by, Plans generally or any particular Plan.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40"/>
          </w:cols>
          <w:pgMar w:left="320" w:top="455"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VALIDITY OF SECURITIES</w:t>
      </w:r>
    </w:p>
    <w:p>
      <w:pPr>
        <w:spacing w:after="0" w:line="22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legality of the Notes offered hereby will be passed upon for us by Davis Polk &amp; Wardwell LLP. Certain legal matters will be passed upon for the underwriters by Simpson Thacher &amp; Bartlett LLP.</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2024, and the effectiveness of our internal control over financial reporting as of December 31, 2024, as set forth in their reports, which are incorporated by reference in this prospectus supplement and elsewhere in the registration statement. Our financial statements and our management’s assessment of the effectiveness of internal control over financial reporting as of December 31, 2024 are incorporated by reference in reliance on Ernst &amp; Young LLP’s reports, given on their authority as experts in accounting and auditing.</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 website at www.sec.gov, from which interested persons can electronically access our SEC filings, including the registration statement of which this prospectus supplement forms a part and the exhibits and schedules thereto.</w:t>
      </w:r>
    </w:p>
    <w:p>
      <w:pPr>
        <w:spacing w:after="0" w:line="176" w:lineRule="exact"/>
        <w:rPr>
          <w:sz w:val="20"/>
          <w:szCs w:val="20"/>
          <w:color w:val="auto"/>
        </w:rPr>
      </w:pPr>
    </w:p>
    <w:p>
      <w:pPr>
        <w:ind w:left="120" w:right="20" w:firstLine="4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our Annual Report on Form 10-K for the year ended December 31, 2024, filed on </w:t>
      </w:r>
      <w:hyperlink r:id="rId46">
        <w:r>
          <w:rPr>
            <w:rFonts w:ascii="Times New Roman" w:cs="Times New Roman" w:eastAsia="Times New Roman" w:hAnsi="Times New Roman"/>
            <w:sz w:val="18"/>
            <w:szCs w:val="18"/>
            <w:u w:val="single" w:color="auto"/>
            <w:color w:val="0000EE"/>
          </w:rPr>
          <w:t>February 14, 2025</w:t>
        </w:r>
      </w:hyperlink>
      <w:r>
        <w:rPr>
          <w:rFonts w:ascii="Times New Roman" w:cs="Times New Roman" w:eastAsia="Times New Roman" w:hAnsi="Times New Roman"/>
          <w:sz w:val="18"/>
          <w:szCs w:val="18"/>
          <w:color w:val="auto"/>
        </w:rPr>
        <w:t xml:space="preserve">, the sections of our Definitive Proxy Statement on Schedule 14A for the 2025 annual meeting of stockholders, filed on </w:t>
      </w:r>
      <w:hyperlink r:id="rId47">
        <w:r>
          <w:rPr>
            <w:rFonts w:ascii="Times New Roman" w:cs="Times New Roman" w:eastAsia="Times New Roman" w:hAnsi="Times New Roman"/>
            <w:sz w:val="18"/>
            <w:szCs w:val="18"/>
            <w:u w:val="single" w:color="auto"/>
            <w:color w:val="0000EE"/>
          </w:rPr>
          <w:t>March 5,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that are incorporated by reference in our Annual Report on Form 10-K for the year ended December 31, 2024, our Quarterly Report on Form 10-Q, filed on </w:t>
      </w:r>
      <w:hyperlink r:id="rId48">
        <w:r>
          <w:rPr>
            <w:rFonts w:ascii="Times New Roman" w:cs="Times New Roman" w:eastAsia="Times New Roman" w:hAnsi="Times New Roman"/>
            <w:sz w:val="18"/>
            <w:szCs w:val="18"/>
            <w:u w:val="single" w:color="auto"/>
            <w:color w:val="0000EE"/>
          </w:rPr>
          <w:t>April 24, 2025</w:t>
        </w:r>
      </w:hyperlink>
      <w:r>
        <w:rPr>
          <w:rFonts w:ascii="Times New Roman" w:cs="Times New Roman" w:eastAsia="Times New Roman" w:hAnsi="Times New Roman"/>
          <w:sz w:val="18"/>
          <w:szCs w:val="18"/>
          <w:color w:val="auto"/>
        </w:rPr>
        <w:t xml:space="preserve">, our Current Report on Form 8-K, filed on </w:t>
      </w:r>
      <w:hyperlink r:id="rId49">
        <w:r>
          <w:rPr>
            <w:rFonts w:ascii="Times New Roman" w:cs="Times New Roman" w:eastAsia="Times New Roman" w:hAnsi="Times New Roman"/>
            <w:sz w:val="18"/>
            <w:szCs w:val="18"/>
            <w:u w:val="single" w:color="auto"/>
            <w:color w:val="0000EE"/>
          </w:rPr>
          <w:t>April 18, 2025</w:t>
        </w:r>
      </w:hyperlink>
      <w:r>
        <w:rPr>
          <w:rFonts w:ascii="Times New Roman" w:cs="Times New Roman" w:eastAsia="Times New Roman" w:hAnsi="Times New Roman"/>
          <w:sz w:val="18"/>
          <w:szCs w:val="18"/>
          <w:color w:val="auto"/>
        </w:rPr>
        <w:t>, and all documents subsequently filed with the SEC pursuant to Section 13(a), 13(c), 14, or 15(d) of the Exchange Act (other than those documents or the portions of those documents furnished, including pursuant to Items 2.02 or 7.01 of any Current Report on Form 8-K) prior to the termination of the offering under this prospectus supplement.</w:t>
      </w:r>
    </w:p>
    <w:p>
      <w:pPr>
        <w:spacing w:after="0" w:line="188" w:lineRule="exact"/>
        <w:rPr>
          <w:rFonts w:ascii="Times New Roman" w:cs="Times New Roman" w:eastAsia="Times New Roman" w:hAnsi="Times New Roman"/>
          <w:sz w:val="18"/>
          <w:szCs w:val="18"/>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w:t>
      </w:r>
    </w:p>
    <w:p>
      <w:pPr>
        <w:spacing w:after="0" w:line="176" w:lineRule="exact"/>
        <w:rPr>
          <w:rFonts w:ascii="Times New Roman" w:cs="Times New Roman" w:eastAsia="Times New Roman" w:hAnsi="Times New Roman"/>
          <w:sz w:val="18"/>
          <w:szCs w:val="18"/>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You may request a copy of these filings at no cost, by writing or telephoning us at: P.O. Box 660199, MS 8657, Dallas, Texas 75266-0199, Attention: Manager of Investor Relations, (214) 479-3773. Information about us, including our SEC filings, is also available at our website at www.ti.com. However, the information on or accessible through our website is not a part of this prospectus supplement or the accompanying prospectus.</w:t>
      </w:r>
    </w:p>
    <w:p>
      <w:pPr>
        <w:spacing w:after="0" w:line="200" w:lineRule="exact"/>
        <w:rPr>
          <w:rFonts w:ascii="Times New Roman" w:cs="Times New Roman" w:eastAsia="Times New Roman" w:hAnsi="Times New Roman"/>
          <w:sz w:val="18"/>
          <w:szCs w:val="18"/>
          <w:color w:val="auto"/>
        </w:rPr>
      </w:pPr>
    </w:p>
    <w:p>
      <w:pPr>
        <w:spacing w:after="0" w:line="255"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173990</wp:posOffset>
            </wp:positionV>
            <wp:extent cx="2880360" cy="694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288036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43"/>
          <w:szCs w:val="43"/>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258445</wp:posOffset>
            </wp:positionV>
            <wp:extent cx="14744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following are types of securities that may be offered and sold by Texas Instruments Incorporated or by selling security holders under this prospectus from time to time:</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2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 Common stock</w:t>
            </w:r>
          </w:p>
        </w:tc>
        <w:tc>
          <w:tcPr>
            <w:tcW w:w="1160" w:type="dxa"/>
            <w:vAlign w:val="bottom"/>
          </w:tcPr>
          <w:p>
            <w:pPr>
              <w:ind w:left="980"/>
              <w:spacing w:after="0"/>
              <w:rPr>
                <w:sz w:val="20"/>
                <w:szCs w:val="20"/>
                <w:color w:val="auto"/>
              </w:rPr>
            </w:pPr>
            <w:r>
              <w:rPr>
                <w:rFonts w:ascii="Times New Roman" w:cs="Times New Roman" w:eastAsia="Times New Roman" w:hAnsi="Times New Roman"/>
                <w:sz w:val="16"/>
                <w:szCs w:val="16"/>
                <w:color w:val="auto"/>
                <w:w w:val="73"/>
              </w:rPr>
              <w:t>• </w:t>
            </w: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4"/>
              </w:rPr>
              <w:t> Warrants</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2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 Preferred stock</w:t>
            </w:r>
          </w:p>
        </w:tc>
        <w:tc>
          <w:tcPr>
            <w:tcW w:w="1160" w:type="dxa"/>
            <w:vAlign w:val="bottom"/>
          </w:tcPr>
          <w:p>
            <w:pPr>
              <w:ind w:left="980"/>
              <w:spacing w:after="0"/>
              <w:rPr>
                <w:sz w:val="20"/>
                <w:szCs w:val="20"/>
                <w:color w:val="auto"/>
              </w:rPr>
            </w:pPr>
            <w:r>
              <w:rPr>
                <w:rFonts w:ascii="Times New Roman" w:cs="Times New Roman" w:eastAsia="Times New Roman" w:hAnsi="Times New Roman"/>
                <w:sz w:val="16"/>
                <w:szCs w:val="16"/>
                <w:color w:val="auto"/>
                <w:w w:val="73"/>
              </w:rPr>
              <w:t>• </w:t>
            </w: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 Units</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2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 Debt securities</w:t>
            </w: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222885</wp:posOffset>
            </wp:positionV>
            <wp:extent cx="1474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securities may be offered by us or by selling security holders in amounts, at prices and on terms determined at the time of the offering. The securities may be sold directly to you, through agents, or through underwriters and dealers. If agents, underwriters or dealers are used to sell the securities, we will name them and describe their compensation in a prospectus supplement. You should read this prospectus and any prospectus supplement carefully before you invest.</w:t>
      </w:r>
    </w:p>
    <w:p>
      <w:pPr>
        <w:spacing w:after="0" w:line="18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 Maturity</w:t>
            </w:r>
          </w:p>
        </w:tc>
        <w:tc>
          <w:tcPr>
            <w:tcW w:w="90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73"/>
              </w:rPr>
              <w:t>• </w:t>
            </w:r>
          </w:p>
        </w:tc>
        <w:tc>
          <w:tcPr>
            <w:tcW w:w="3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 Redemption terms</w:t>
            </w:r>
          </w:p>
        </w:tc>
        <w:tc>
          <w:tcPr>
            <w:tcW w:w="980" w:type="dxa"/>
            <w:vAlign w:val="bottom"/>
          </w:tcPr>
          <w:p>
            <w:pPr>
              <w:ind w:left="820"/>
              <w:spacing w:after="0"/>
              <w:rPr>
                <w:sz w:val="20"/>
                <w:szCs w:val="20"/>
                <w:color w:val="auto"/>
              </w:rPr>
            </w:pPr>
            <w:r>
              <w:rPr>
                <w:rFonts w:ascii="Times New Roman" w:cs="Times New Roman" w:eastAsia="Times New Roman" w:hAnsi="Times New Roman"/>
                <w:sz w:val="13"/>
                <w:szCs w:val="13"/>
                <w:color w:val="auto"/>
                <w:w w:val="79"/>
              </w:rPr>
              <w:t>• </w:t>
            </w:r>
          </w:p>
        </w:tc>
        <w:tc>
          <w:tcPr>
            <w:tcW w:w="1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 Liquidation amount</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 Interest rate</w:t>
            </w:r>
          </w:p>
        </w:tc>
        <w:tc>
          <w:tcPr>
            <w:tcW w:w="90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73"/>
              </w:rPr>
              <w:t>• </w:t>
            </w:r>
          </w:p>
        </w:tc>
        <w:tc>
          <w:tcPr>
            <w:tcW w:w="3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 Listing on a security exchange</w:t>
            </w:r>
          </w:p>
        </w:tc>
        <w:tc>
          <w:tcPr>
            <w:tcW w:w="980" w:type="dxa"/>
            <w:vAlign w:val="bottom"/>
          </w:tcPr>
          <w:p>
            <w:pPr>
              <w:ind w:left="820"/>
              <w:spacing w:after="0"/>
              <w:rPr>
                <w:sz w:val="20"/>
                <w:szCs w:val="20"/>
                <w:color w:val="auto"/>
              </w:rPr>
            </w:pPr>
            <w:r>
              <w:rPr>
                <w:rFonts w:ascii="Times New Roman" w:cs="Times New Roman" w:eastAsia="Times New Roman" w:hAnsi="Times New Roman"/>
                <w:sz w:val="13"/>
                <w:szCs w:val="13"/>
                <w:color w:val="auto"/>
                <w:w w:val="79"/>
              </w:rPr>
              <w:t>• </w:t>
            </w:r>
          </w:p>
        </w:tc>
        <w:tc>
          <w:tcPr>
            <w:tcW w:w="16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 Subsidiary guarantees</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 Currency of payments</w:t>
            </w:r>
          </w:p>
        </w:tc>
        <w:tc>
          <w:tcPr>
            <w:tcW w:w="90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73"/>
              </w:rPr>
              <w:t>• </w:t>
            </w:r>
          </w:p>
        </w:tc>
        <w:tc>
          <w:tcPr>
            <w:tcW w:w="3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 Amount payable at maturity</w:t>
            </w:r>
          </w:p>
        </w:tc>
        <w:tc>
          <w:tcPr>
            <w:tcW w:w="980" w:type="dxa"/>
            <w:vAlign w:val="bottom"/>
          </w:tcPr>
          <w:p>
            <w:pPr>
              <w:ind w:left="820"/>
              <w:spacing w:after="0"/>
              <w:rPr>
                <w:sz w:val="20"/>
                <w:szCs w:val="20"/>
                <w:color w:val="auto"/>
              </w:rPr>
            </w:pPr>
            <w:r>
              <w:rPr>
                <w:rFonts w:ascii="Times New Roman" w:cs="Times New Roman" w:eastAsia="Times New Roman" w:hAnsi="Times New Roman"/>
                <w:sz w:val="13"/>
                <w:szCs w:val="13"/>
                <w:color w:val="auto"/>
                <w:w w:val="79"/>
              </w:rPr>
              <w:t>• </w:t>
            </w:r>
          </w:p>
        </w:tc>
        <w:tc>
          <w:tcPr>
            <w:tcW w:w="1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 Sinking fund terms</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 Dividends</w:t>
            </w:r>
          </w:p>
        </w:tc>
        <w:tc>
          <w:tcPr>
            <w:tcW w:w="90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73"/>
              </w:rPr>
              <w:t>• </w:t>
            </w:r>
          </w:p>
        </w:tc>
        <w:tc>
          <w:tcPr>
            <w:tcW w:w="3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 Conversion or exchange rights</w:t>
            </w:r>
          </w:p>
        </w:tc>
        <w:tc>
          <w:tcPr>
            <w:tcW w:w="98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pacing w:after="0" w:line="198"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quoted on The Nasdaq Global Select Market under the ticker symbol TXN. On February 13, 2025, the reported last sale price on The Nasdaq Global Select Market for our common stock was $180.80.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208280</wp:posOffset>
            </wp:positionV>
            <wp:extent cx="14744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both"/>
        <w:ind w:left="120" w:right="440" w:firstLine="440"/>
        <w:spacing w:after="0" w:line="286" w:lineRule="auto"/>
        <w:rPr>
          <w:sz w:val="20"/>
          <w:szCs w:val="20"/>
          <w:color w:val="auto"/>
        </w:rPr>
      </w:pPr>
      <w:r>
        <w:rPr>
          <w:rFonts w:ascii="Times New Roman" w:cs="Times New Roman" w:eastAsia="Times New Roman" w:hAnsi="Times New Roman"/>
          <w:sz w:val="21"/>
          <w:szCs w:val="21"/>
          <w:b w:val="1"/>
          <w:bCs w:val="1"/>
          <w:color w:val="auto"/>
        </w:rPr>
        <w:t>Investing in these securities involves certain risks. See “Item 1A—Risk Factors” beginning on page 9 of our Annual Report on Form 10-K for the year ended December 31, 2024, which is incorporated by reference herein.</w:t>
      </w:r>
    </w:p>
    <w:p>
      <w:pPr>
        <w:spacing w:after="0" w:line="136"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5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The date of this prospectus is February 14, 2025</w:t>
      </w:r>
    </w:p>
    <w:p>
      <w:pPr>
        <w:sectPr>
          <w:pgSz w:w="11900" w:h="16838" w:orient="portrait"/>
          <w:cols w:equalWidth="0" w:num="1">
            <w:col w:w="10860"/>
          </w:cols>
          <w:pgMar w:left="320" w:top="455" w:right="7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are responsible for the information contained in or incorporated by reference into this prospectus and the applicable prospectus supplement and any free 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or the applicable prospectus supplement is accurate as of any date other than its date. The terms “Texas Instruments,” “TI,” “we,” “us” and “our” refer to Texas Instruments Incorporated and its consolidated subsidiaries except where expressly indicated or the context otherwise requires.</w:t>
      </w:r>
    </w:p>
    <w:p>
      <w:pPr>
        <w:spacing w:after="0" w:line="200" w:lineRule="exact"/>
        <w:rPr>
          <w:sz w:val="20"/>
          <w:szCs w:val="20"/>
          <w:color w:val="auto"/>
        </w:rPr>
      </w:pP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4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51"/>
        </w:trPr>
        <w:tc>
          <w:tcPr>
            <w:tcW w:w="434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0000EE"/>
              </w:rPr>
              <w:t>The Company</w:t>
            </w:r>
          </w:p>
        </w:tc>
        <w:tc>
          <w:tcPr>
            <w:tcW w:w="2320" w:type="dxa"/>
            <w:vAlign w:val="bottom"/>
            <w:tcBorders>
              <w:bottom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425"/>
        </w:trPr>
        <w:tc>
          <w:tcPr>
            <w:tcW w:w="4340" w:type="dxa"/>
            <w:vAlign w:val="bottom"/>
            <w:gridSpan w:val="14"/>
            <w:vMerge w:val="continue"/>
          </w:tcPr>
          <w:p>
            <w:pPr>
              <w:spacing w:after="0"/>
              <w:rPr>
                <w:sz w:val="24"/>
                <w:szCs w:val="24"/>
                <w:color w:val="auto"/>
              </w:rPr>
            </w:pPr>
          </w:p>
        </w:tc>
        <w:tc>
          <w:tcPr>
            <w:tcW w:w="23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340" w:type="dxa"/>
            <w:vAlign w:val="bottom"/>
            <w:gridSpan w:val="14"/>
            <w:vMerge w:val="continue"/>
          </w:tcPr>
          <w:p>
            <w:pPr>
              <w:spacing w:after="0"/>
              <w:rPr>
                <w:sz w:val="14"/>
                <w:szCs w:val="14"/>
                <w:color w:val="auto"/>
              </w:rPr>
            </w:pPr>
          </w:p>
        </w:tc>
        <w:tc>
          <w:tcPr>
            <w:tcW w:w="6340" w:type="dxa"/>
            <w:vAlign w:val="bottom"/>
            <w:gridSpan w:val="2"/>
          </w:tcPr>
          <w:p>
            <w:pPr>
              <w:spacing w:after="0"/>
              <w:rPr>
                <w:sz w:val="14"/>
                <w:szCs w:val="14"/>
                <w:color w:val="auto"/>
              </w:rPr>
            </w:pPr>
          </w:p>
        </w:tc>
        <w:tc>
          <w:tcPr>
            <w:tcW w:w="2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This Prospectus</w:t>
            </w:r>
          </w:p>
        </w:tc>
        <w:tc>
          <w:tcPr>
            <w:tcW w:w="2700" w:type="dxa"/>
            <w:vAlign w:val="bottom"/>
            <w:gridSpan w:val="6"/>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Notice Regarding Forward-Looking Statements</w:t>
            </w: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342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920" w:type="dxa"/>
            <w:vAlign w:val="bottom"/>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2160" w:type="dxa"/>
            <w:vAlign w:val="bottom"/>
            <w:gridSpan w:val="3"/>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Warrants</w:t>
            </w: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72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Units</w:t>
            </w:r>
          </w:p>
        </w:tc>
        <w:tc>
          <w:tcPr>
            <w:tcW w:w="2620" w:type="dxa"/>
            <w:vAlign w:val="bottom"/>
            <w:gridSpan w:val="5"/>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Forms of Securities</w:t>
            </w:r>
          </w:p>
        </w:tc>
        <w:tc>
          <w:tcPr>
            <w:tcW w:w="2880" w:type="dxa"/>
            <w:vAlign w:val="bottom"/>
            <w:gridSpan w:val="8"/>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20" w:type="dxa"/>
            <w:vAlign w:val="bottom"/>
            <w:gridSpan w:val="7"/>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20" w:type="dxa"/>
            <w:vAlign w:val="bottom"/>
            <w:gridSpan w:val="7"/>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Validity of Securities</w:t>
            </w:r>
          </w:p>
        </w:tc>
        <w:tc>
          <w:tcPr>
            <w:tcW w:w="2820" w:type="dxa"/>
            <w:vAlign w:val="bottom"/>
            <w:gridSpan w:val="7"/>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320" w:top="455"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We design and manufacture semiconductors that we sell to electronics designers and manufacturers all over the world. Our operations began in 1930, and we are incorporated in Delaware. With headquarters in Dallas, Texas, we have design, manufacturing or sales operations in more than 30 countries.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principal executive offices are located at 12500 TI Boulevard, Dallas, Texas 75243, and our telephone number</w:t>
      </w:r>
    </w:p>
    <w:p>
      <w:pPr>
        <w:spacing w:after="0" w:line="27" w:lineRule="exact"/>
        <w:rPr>
          <w:sz w:val="20"/>
          <w:szCs w:val="20"/>
          <w:color w:val="auto"/>
        </w:rPr>
      </w:pPr>
    </w:p>
    <w:p>
      <w:pPr>
        <w:ind w:left="120" w:right="200"/>
        <w:spacing w:after="0" w:line="260" w:lineRule="auto"/>
        <w:rPr>
          <w:sz w:val="20"/>
          <w:szCs w:val="20"/>
          <w:color w:val="auto"/>
        </w:rPr>
      </w:pPr>
      <w:r>
        <w:rPr>
          <w:rFonts w:ascii="Times New Roman" w:cs="Times New Roman" w:eastAsia="Times New Roman" w:hAnsi="Times New Roman"/>
          <w:sz w:val="18"/>
          <w:szCs w:val="18"/>
          <w:color w:val="auto"/>
        </w:rPr>
        <w:t>is (214) 479-3773. We maintain a website at www.ti.com where general information about us is available. We are not incorporating the contents of the website into this prospectus.</w:t>
      </w:r>
    </w:p>
    <w:p>
      <w:pPr>
        <w:spacing w:after="0" w:line="18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a description of our business, financial condition, results of operations and other important information regarding us, see our filings with the Securities and Exchange Commission (the “SEC”) incorporated by reference into this prospectus. For instructions on how to find copies of these and our other filings incorporated by reference into this prospectus, see “Where You Can Find More Information.”</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utilizing a “shelf” registration process. Under this shelf process, we or selling security holders may sell any combination of the securities described in this prospectus in one or more offerings. This prospectus provides you with a general description of the securities we or selling security holders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on the SEC’s website www.sec.gov.</w:t>
      </w:r>
    </w:p>
    <w:p>
      <w:pPr>
        <w:spacing w:after="0" w:line="162" w:lineRule="exact"/>
        <w:rPr>
          <w:sz w:val="20"/>
          <w:szCs w:val="20"/>
          <w:color w:val="auto"/>
        </w:rPr>
      </w:pPr>
    </w:p>
    <w:p>
      <w:pPr>
        <w:ind w:left="120" w:right="60" w:firstLine="4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Annual Report on </w:t>
      </w:r>
      <w:hyperlink r:id="rId4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December 31, 2024, filed on February 14, 2025, the description of our common stock contained in our registration statement on </w:t>
      </w:r>
      <w:hyperlink r:id="rId57">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December 15, 2011 under Section 12 of the Exchange Act, including any amendments or reports filed for the purpose of updating such description, and all documents subsequently filed with the SEC pursuant to Section 13(a), 13(c), 14, or 15(d) of the Securities Exchange Act of 1934, as amended (the “Exchange Act”) prior to the termination of the offering under this prospectus.</w:t>
      </w:r>
    </w:p>
    <w:p>
      <w:pPr>
        <w:spacing w:after="0" w:line="18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Texas Instruments Incorporated, P.O. Box 660199, MS 8657, Dallas, Texas 75266-0199, Attention: Investor Relations, (214) 479-3773. Information about us, including our SEC filings, is also available at our website at www.ti.com. However, the information on or accessible through our website is not a part of this prospectus or any prospectus supplement that we file.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REGARDING FORWARD-LOOKING STATEMENTS</w:t>
      </w:r>
    </w:p>
    <w:p>
      <w:pPr>
        <w:spacing w:after="0" w:line="22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This prospectus and documents that are incorporated by reference into this prospectus include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87"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urge you to carefully consider the following important factors that could cause actual results to differ materially from the expectations of our company or our management:</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For a more detailed discussion of these factors, see our periodic filings with the SEC. The forward-looking statements included in this prospectus are made only as of the date hereof,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85" w:lineRule="exact"/>
        <w:rPr>
          <w:sz w:val="20"/>
          <w:szCs w:val="20"/>
          <w:color w:val="auto"/>
        </w:rPr>
      </w:pPr>
    </w:p>
    <w:p>
      <w:pPr>
        <w:ind w:left="1080" w:right="7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social and political conditions, and natural events in the countries in which we, our customers or our suppliers operate, including global trade policies;</w:t>
      </w:r>
    </w:p>
    <w:p>
      <w:pPr>
        <w:spacing w:after="0" w:line="67"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for semiconductors, particularly in the industrial and automotive markets, and customer demand that differs from forecasts;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products and prices in an intensely competitive industry;</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cybersecurity and other threats relating to our information technology systems or those of our customers, suppliers and other third parties;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81"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key materials, utilities, manufacturing equipment, third-party manufacturing services and manufacturing technology;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skilled personnel and effectively manage key employee succession;</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warranty or other claims relating to our products, software, manufacturing, delivery, services, design or communications, or recalls by our customers for a product containing one of our parts;</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difficulties of our distributors or semiconductor distributors’ promotion of competing product lines to our detriment; or disputes with current or former distributors;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455"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or curtailments of purchases from key customers or the timing and amount of customer inventory adjustments;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global credit and financial markets;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of our non-financial assets.</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40"/>
          </w:cols>
          <w:pgMar w:left="320" w:top="455" w:right="5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from the sale of the securities for working capital and general corporate purposes including, but not limited to, funding our operations, purchasing capital equipment, funding potential acquisitions, repaying debt, paying dividends and repurchasing shares of our common stock.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11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320" w:top="455" w:right="6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following description of our capital stock is based upon our restated certificate of incorporation, as amended (“Restated Certificate of Incorporation”), our by-laws, as amended (“By-Laws”), and applicable provisions of law. We have summarized certain portions of the Restated Certificate of Incorporation and By-Laws below. The summary is not complete. The Restated Certificate of Incorporation and By-Laws are incorporated by reference as exhibits to the registration statement of which this prospectus forms a part. You should read the Restated Certificate of Incorporation and By-Laws for the provisions that are important to you.</w:t>
      </w:r>
    </w:p>
    <w:p>
      <w:pPr>
        <w:spacing w:after="0" w:line="183" w:lineRule="exact"/>
        <w:rPr>
          <w:sz w:val="20"/>
          <w:szCs w:val="20"/>
          <w:color w:val="auto"/>
        </w:rPr>
      </w:pPr>
    </w:p>
    <w:p>
      <w:pPr>
        <w:jc w:val="both"/>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Certain provisions of the Delaware General Corporation Law (“DGCL”), the Restated Certificate of Incorporation and By-Laws summarized in the following paragraphs may have an anti-takeover effect. This may delay, defer or prevent a tender offer or takeover attempt that a stockholder might consider in its best interests, including those attempts that might result in a premium over the market price for the shares held by such stockholder.</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Restated Certificate of Incorporation authorizes us to issue 2,400,000,000 shares of common stock, $1.00 par value per share, and 10,000,000 shares of preferred stock, $25.00 par value per share.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of January 28, 2025, there were 910,332,971 shares of common stock outstanding which were held of record by 10,704 stockholders. We are authorized to issue additional shares of common stock without further stockholder approval, except as may be required by applicable law or stock exchange regulations. The holders of shares of our common stock, subject to the preferential rights of the holders of any shares of our preferred stock, are entitled to dividends when and as declared by our board of directors. The holders of our common stock have one vote per share on all matters submitted to a vote of the stockholders, and the right to share pro rata in the net assets of TI in liquidation after payment of any amounts due to creditors and in respect of any preferred stock. Holders of shares of our common stock are not entitled as a matter of right to any preemptive or subscription rights and are not entitled to cumulative voting for directors. All outstanding shares of common stock are, and the shares of common stock issued upon any conversion or exchange of any debt securities or preferred stock providing for such conversion or exchange will be, fully paid and nonassessable. Our common stock is listed on The Nasdaq Global Select Market. The transfer agent and registrar for our common stock is Computershare Trust Company, N.A., 33 N. LaSalle Street, Suite 1100, Chicago, Illinois 60602.</w:t>
      </w:r>
    </w:p>
    <w:p>
      <w:pPr>
        <w:spacing w:after="0" w:line="194"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Our By-Laws provide that the annual meeting of stockholders shall be held on a date as may be fixed by our board of directors and as stated in a written notice, which must be mailed or delivered to each stockholder at least 10 days prior to any stockholder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As of January 28, 2025, there were no shares of our preferred stock outstanding. We are authorized to issue up to 10,000,000 shares of preferred stock, in one or more series, with such designations and such relative voting, dividend, liquidation, conversion, and other rights, preferences and limitations as are stated in the Restated Certificate of Incorporation, or any certificate of designation establishing such series adopted by our board of directors. The 10,000,000 authorized but unissued shares of preferred stock may be issued pursuant to resolution of our board of directors without the vote of the holders of our capital stock. If preferred stock is offered pursuant to this prospectus, we will describe the restrictions, if any, on the repurchase or redemption of the preferred stock by us in a prospectus supplement.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Provisions of Texas Instruments’ Certificate of Incorporation and By-Laws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Restated Certificate of Incorporation states that action may be taken by stockholders only at annual or special meetings of stockholders, and that stockholders may not act by written consent. The By-Laws vest the power to call special meetings of stockholders in our chairman of the board, our president, or a majority of our board of directors. Special meetings of stockholders may also be requested by a stockholder or stockholders who own, individually or in the aggregate, at least 25% of our outstanding common stock, subject to the written notice requirements and exceptions set forth in the By-Laws.</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To be properly brought before an annual meeting of stockholders, any stockholder proposal or nomination for the board of directors must be delivered to or mailed and received at our principal executive offices not less than 90 days prior to the first anniversary of the previous year’s annual meeting; provided that in the event that the date of the annual meeting is advanced by more than 30 days, or delayed by more than 70 days, from such anniversary date, notice by the stockholder to be timely must be so delivered not later than the close of business on the later of the 90th day prior to such annual meeting or the 10th day following the day on which public announcement of the date of the meeting is first made.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Anti-Takeover Effects of Delaware Law</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are subject to Section 203 of the DGCL (“Section 203”). In general, Section 203 prohibits a publicly held Delaware corporation from engaging in various “business combination” transactions with any interested stockholder for a period of three years following the date of the transactions in which the person became an interested stockholder, unless:</w:t>
      </w:r>
    </w:p>
    <w:p>
      <w:pPr>
        <w:spacing w:after="0" w:line="81"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approved by the board of directors prior to the date the interested stockholder obtained such status;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67"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such date the business combination is approved by the board and authorized at an annual or special meeting of stockholders by the affirmative vote of at least 66 2/3% of the outstanding voting stock which is not owned by the interested stockholder. 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our company and, accordingly, may discourage attempts to acquire our company even though such a transaction may offer our stockholders the opportunity to sell their stock at a price above the prevailing market price.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Our debt securities, consisting of notes, debentures or other evidences of indebtedness, may be issued from time to time in one or more series pursuant to an indenture entered into between us and U.S. Bank Trust Company, National Association, as successor in interest to U.S Bank National Association, as trustee. The terms of our debt securities will include those set forth in the indenture and those made a part of the indenture by the Trust Indenture Act of 1939.</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following is only a summary of selected provisions of the indenture and the debt securities and therefore does not contain all information that may be important to you. This summary is qualified in its entirety by reference to the base indenture and any supplemental indenture thereto or officers’ certificate or board resolution related thereto. We urge you to read the indenture because the indenture, not this description, defines the rights of the holders of the debt securities. The indenture is included as an exhibit to the registration statement of which this prospectus is a part.</w:t>
      </w:r>
    </w:p>
    <w:p>
      <w:pPr>
        <w:spacing w:after="0" w:line="18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As used in this section of the prospectus and under the captions “Description of Capital Stock,” “Description of Warrants” and “Description of Units,” the terms “we,” “us” and “our” refer only to Texas Instruments Incorporated and not to any existing or future subsidiaries of Texas Instruments Incorporated.</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The debt securities will constitute unsecured and unsubordinated obligations of ours and will rank pari passu with our other unsecured and unsubordinated obligations.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conduct some of our operations through subsidiaries. Consequently, our ability to pay our obligations, including our obligation to pay principal or interest on the debt securities, to pay the debt securities at maturity or upon redemption or to buy the debt securities may depend upon our subsidiaries repaying investments and advances we have made to them, and upon our subsidiaries’ earnings and their distributing those earnings to us. The debt securities will be effectively subordinated to all obligations (including trade payables and preferred stock obligations) of our subsidiaries.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The indenture will not limit our subsidiaries’ ability to enter into other agreements that prohibit or restrict dividends or other payments or advances to us.</w:t>
      </w:r>
    </w:p>
    <w:p>
      <w:pPr>
        <w:spacing w:after="0" w:line="192"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The debt securities will be our unsecured obligations. Our secured debt and other secured obligations will be effectively senior to the debt securities to the extent of the value of the assets securing such debt or other obligations.</w:t>
      </w:r>
    </w:p>
    <w:p>
      <w:pPr>
        <w:spacing w:after="0" w:line="16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You should look in the prospectus supplement for any additional or different terms of the debt securities being offered, including the following terms:</w:t>
      </w:r>
    </w:p>
    <w:p>
      <w:pPr>
        <w:spacing w:after="0" w:line="67"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securities’ designation;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their principal amount (i.e., price) at which the debt securities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debt securities will mature and the right, if any, to extend such date or 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if any, per year, at which the debt securities will bear interest, or the method of determining such rate or rates;</w:t>
      </w:r>
    </w:p>
    <w:p>
      <w:pPr>
        <w:spacing w:after="0" w:line="157"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8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that extension;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paying principal and interest and the place or places where principal and interest will be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a sinking fund purchase or other analogous fund, if any;</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if any, within which, the price or prices at which, and the terms and conditions upon which the debt securities may be redeemed, in whole or in part, at our option or at your option;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payment of additional amounts for taxes and any provision for redemption, if we must pay such additional amounts in respect of any debt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may have to repay the debt securities early at your option;</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pursuant to which the debt securities may be exchanged for the cash value of other securities issued by us or by a third party;</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conversion or exchange price or rate and any adjustments thereto, the period or periods within which, and the other terms and conditions upon which conversion or exchange of the debt securities may be effected;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upon what terms the debt securities may be defeased;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 or covenants in addition to or in lieu of those set forth in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electronic issuance of debt securities or for debt securities in uncertificated form; and</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including any terms which may be required by or advisable under applicable laws or regulations or advisable in connection with the marketing of the debt securities.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the payment of interest accruing prior to the issue date of such further debt securities or except for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83"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Debt securities will bear interest at a fixed rate or a floating rate. Debt securities bearing no interest or interest at a rate that at the time of issuance is below the prevailing market rate (original issue discount securities)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Terms of the Debt Securities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Certain Covenants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Certain Definitions</w:t>
      </w:r>
      <w:r>
        <w:rPr>
          <w:rFonts w:ascii="Times New Roman" w:cs="Times New Roman" w:eastAsia="Times New Roman" w:hAnsi="Times New Roman"/>
          <w:sz w:val="18"/>
          <w:szCs w:val="18"/>
          <w:color w:val="auto"/>
        </w:rPr>
        <w:t>. The term “attributable debt” in respect of a sale and leaseback transaction means, at the time of determination, the lesser of</w:t>
      </w:r>
    </w:p>
    <w:p>
      <w:pPr>
        <w:spacing w:after="0" w:line="29" w:lineRule="exact"/>
        <w:rPr>
          <w:sz w:val="20"/>
          <w:szCs w:val="20"/>
          <w:color w:val="auto"/>
        </w:rPr>
      </w:pPr>
    </w:p>
    <w:p>
      <w:pPr>
        <w:ind w:left="120" w:right="120" w:hanging="4"/>
        <w:spacing w:after="0" w:line="255" w:lineRule="auto"/>
        <w:tabs>
          <w:tab w:leader="none" w:pos="3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assets subject to such transaction, as determined by our board of directors, and (2) the present value (discounted at the interest rate implicit in the lease or, if it is not practicable to determine such rate, then at our incremental borrowing rate determined in accordance with generally accepted accounting principles) of the obligation of the lessee for net rental payments during the remaining term of any lease.</w:t>
      </w:r>
    </w:p>
    <w:p>
      <w:pPr>
        <w:spacing w:after="0" w:line="18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term “consolidated net tangible assets” means, at any date, the total assets appearing on our most recent consolidated balance sheet, prepared in accordance with generally accepted accounting principles, less all current liabilities as shown on such balance sheet, and intangible assets.</w:t>
      </w:r>
    </w:p>
    <w:p>
      <w:pPr>
        <w:spacing w:after="0" w:line="16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term “funded debt”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w:t>
      </w:r>
    </w:p>
    <w:p>
      <w:pPr>
        <w:spacing w:after="0" w:line="176"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term “intangible assets” means the value (net of applicable reserves), as shown on or reflected in our most recent consolidated balance sheet, of (i) all trade names, trademarks, licenses, patents, copyrights and goodwill; (ii) organizational and development costs; (iii) deferred charges (other than prepaid items such as insurance, taxes, interest, commissions, rents and similar items and tangible assets being amortized); and (iv) unamortized debt discount and expenses, less unamortized premium; but in no event shall the term “intangible assets” include computer programs and related products.</w:t>
      </w:r>
    </w:p>
    <w:p>
      <w:pPr>
        <w:spacing w:after="0" w:line="164"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term “net rental payments” under any lease for any period shall mean the sum of rental and other payments required to be paid by such lessee thereunder, not including, however, amounts payable by the lessee for maintenance and repairs, insurance, taxes, assessments and similar charges and for contingent rents (such as those based on sales).</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term “principal manufacturing property” means each of our manufacturing or processing plants or facilities located in the United States of America (other than territories and possessions of the United States) or Puerto Rico, except any such manufacturing or processing plant or facility that the board of directors by resolution determines not to be of material importance to the total business conducted by us and our consolidated subsidiaries, taken as a whole.</w:t>
      </w:r>
    </w:p>
    <w:p>
      <w:pPr>
        <w:spacing w:after="0" w:line="178" w:lineRule="exact"/>
        <w:rPr>
          <w:sz w:val="20"/>
          <w:szCs w:val="20"/>
          <w:color w:val="auto"/>
        </w:rPr>
      </w:pPr>
    </w:p>
    <w:p>
      <w:pPr>
        <w:ind w:left="120" w:right="320"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Restrictions on Liens</w:t>
      </w:r>
      <w:r>
        <w:rPr>
          <w:rFonts w:ascii="Times New Roman" w:cs="Times New Roman" w:eastAsia="Times New Roman" w:hAnsi="Times New Roman"/>
          <w:sz w:val="17"/>
          <w:szCs w:val="17"/>
          <w:color w:val="auto"/>
        </w:rPr>
        <w:t>. The indenture provides that, unless as may otherwise be indicated by resolution of our board of directors, officers’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certificate, or supplemental indenture, we will not issue or assume any debt for money borrowed (which, including guarantees of debt for borrowed money, we refer to as “debt”), if the debt is secured by a mortgage, pledge, lien or other encumbrance (which we refer to as a “mortgage”) upon any</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principal manufacturing property (whether such principal manufacturing property is now owned or subsequently acquired) without in any such case effectively providing that the debt securities (together with any other debt security ranking equally with the debt securities) shall be secured equally and ratably with the debt until such time as such debt is no longer secured by such mortgage. The foregoing restrictions shall not apply to:</w:t>
      </w:r>
    </w:p>
    <w:p>
      <w:pPr>
        <w:spacing w:after="0" w:line="81"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existing as of the closing date of the offering of the relevant series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existing at the time of or within 120 days after acquisition of the property and certain purchase money mortgages;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of an entity existing at the time that entity is merged into or consolidated with us or substantially all the assets of which are acquired by us;</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in favor of the United States or any political subdivision or any instrumentality thereof, or in favor of any other country or any political subdivision or instrumentality thereof, to secure certain payments pursuant to any contract or statute or to secure any indebtedness incurred or guaranteed for the purpose of financing all or any part of the purchase price or the cost of construction of the property subject to the mortgages;</w:t>
      </w:r>
    </w:p>
    <w:p>
      <w:pPr>
        <w:spacing w:after="0" w:line="85"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for taxes, assessments or other governmental charges not yet due or payable or subject to penalties for non-payment or which we are contesting in good faith by appropriate proceedings;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to secure the performance of bids, trade contracts, leases, statutory obligations, surety and appeal bonds, performance bonds and other obligations of a like nature, in each case in the ordinary course of business;</w:t>
      </w:r>
    </w:p>
    <w:p>
      <w:pPr>
        <w:spacing w:after="0" w:line="67"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imposed by law, such as carrier’s, warehousemen’s and mechanic’s liens and other similar liens, in each case for sums not yet overdue by more than 30 calendar days or being contested in good faith by appropriate proceedings, or other liens arising out of judgments or awards against us with respect to which we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and</w:t>
      </w:r>
    </w:p>
    <w:p>
      <w:pPr>
        <w:spacing w:after="0" w:line="88"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renewal or replacement (or successive extensions, renewals or replacements), in whole or in part, of any mortgage referred to in the bullet points above.</w:t>
      </w:r>
    </w:p>
    <w:p>
      <w:pPr>
        <w:spacing w:after="0" w:line="160"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Restrictions on Sale and Leaseback Transactions</w:t>
      </w:r>
      <w:r>
        <w:rPr>
          <w:rFonts w:ascii="Times New Roman" w:cs="Times New Roman" w:eastAsia="Times New Roman" w:hAnsi="Times New Roman"/>
          <w:sz w:val="18"/>
          <w:szCs w:val="18"/>
          <w:color w:val="auto"/>
        </w:rPr>
        <w:t>. The indenture provides that, unless as may otherwise be indicated by resolution of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officers’ certificate, or supplemental indenture, we will not enter into any lease longer than three years covering any principal manufacturing property that is sold to any person (other than any then-existing subsidiary) in connection with such lease unless the proceeds from such sale or transfer shall be at least equal to the fair value of such property as determined by resolution by our board of directors and either:</w:t>
      </w:r>
    </w:p>
    <w:p>
      <w:pPr>
        <w:spacing w:after="0" w:line="87" w:lineRule="exact"/>
        <w:rPr>
          <w:sz w:val="20"/>
          <w:szCs w:val="20"/>
          <w:color w:val="auto"/>
        </w:rPr>
      </w:pPr>
    </w:p>
    <w:p>
      <w:pPr>
        <w:ind w:left="1080" w:hanging="424"/>
        <w:spacing w:after="0" w:line="261"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 entitled, pursuant to the “Restrictions on Liens” covenant described above, to incur debt secured by a mortgage on the principal manufacturing property involved in an amount at least equal to the attributable debt in respect of such principal manufacturing property without equally and ratably securing the debt securities, provided, that such attributable debt shall thereupon be deemed to be debt subject to the provisions of such restrictions on liens; or</w:t>
      </w:r>
    </w:p>
    <w:p>
      <w:pPr>
        <w:spacing w:after="0" w:line="85" w:lineRule="exact"/>
        <w:rPr>
          <w:rFonts w:ascii="Times New Roman" w:cs="Times New Roman" w:eastAsia="Times New Roman" w:hAnsi="Times New Roman"/>
          <w:sz w:val="18"/>
          <w:szCs w:val="18"/>
          <w:color w:val="auto"/>
        </w:rPr>
      </w:pPr>
    </w:p>
    <w:p>
      <w:pPr>
        <w:ind w:left="1080" w:right="320" w:hanging="424"/>
        <w:spacing w:after="0" w:line="312" w:lineRule="auto"/>
        <w:tabs>
          <w:tab w:leader="none" w:pos="10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a period commencing twelve months prior to the consummation of the sale and leaseback transaction and ending twelve months after consummation of such transaction, we have expended or will expend for principal manufacturing property an amount equal to:</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such sale and leaseback transaction and we elect to designate such amount as a credit against such transaction, or</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 of the proceeds of such sale and leaseback transaction and we elect to designate such amount as a credit against such transaction and treat an amount equal to the remainder of the proceeds as provided in the clause directly below; or</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attributable debt (less any amount elected under the clause directly above) is applied within 120 days after the transaction to the retirement of funded debt, or is considered to be attributable debt for purposes of the calculation of exempted debt and, after giving effect to the exempted debt, the exempted debt does not exceed 15% of consolidated net tangible assets.</w:t>
      </w:r>
    </w:p>
    <w:p>
      <w:pPr>
        <w:spacing w:after="0" w:line="174" w:lineRule="exact"/>
        <w:rPr>
          <w:sz w:val="20"/>
          <w:szCs w:val="20"/>
          <w:color w:val="auto"/>
        </w:rPr>
      </w:pPr>
    </w:p>
    <w:p>
      <w:pPr>
        <w:ind w:left="120" w:right="1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Exempted Debt</w:t>
      </w:r>
      <w:r>
        <w:rPr>
          <w:rFonts w:ascii="Times New Roman" w:cs="Times New Roman" w:eastAsia="Times New Roman" w:hAnsi="Times New Roman"/>
          <w:sz w:val="18"/>
          <w:szCs w:val="18"/>
          <w:color w:val="auto"/>
        </w:rPr>
        <w:t>. The indenture provides that, notwithstanding the restrictions on mortgages and sale and leaseback transactions described above,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may, in addition to amounts permitted under such restrictions, create, extend, renew or replace debt secured by mortgages, or enter into sale and leaseback transactions, which would otherwise be subject to the foregoing restrictions, without equally and ratably securing the debt securities and without any obligation to make expenditures for principal manufacturing property or to retire any debt, provided, that after giving effect thereto, the aggregate additional outstanding amount of such debt secured by mortgage plus attributable debt resulting from such sale and leaseback transactions (“exempted debt”) does not exceed 15% of consolidated net tangible assets.</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Consolidation, Merger and Sale or Conveyance</w:t>
      </w:r>
      <w:r>
        <w:rPr>
          <w:rFonts w:ascii="Times New Roman" w:cs="Times New Roman" w:eastAsia="Times New Roman" w:hAnsi="Times New Roman"/>
          <w:sz w:val="18"/>
          <w:szCs w:val="18"/>
          <w:color w:val="auto"/>
        </w:rPr>
        <w:t>. We may not consolidate with, merge with or into, or sell, or convey (including by way of lease)</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or substantially all of our assets to any person or permit any person to merge with or into us unless:</w:t>
      </w:r>
    </w:p>
    <w:p>
      <w:pPr>
        <w:spacing w:after="0" w:line="112" w:lineRule="exact"/>
        <w:rPr>
          <w:sz w:val="20"/>
          <w:szCs w:val="20"/>
          <w:color w:val="auto"/>
        </w:rPr>
      </w:pPr>
    </w:p>
    <w:p>
      <w:pPr>
        <w:ind w:left="1080" w:right="160" w:hanging="424"/>
        <w:spacing w:after="0" w:line="25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continuing person or the person formed by such consolidation or into which we are merged or that acquired or leased our property and assets shall be a corporation or entity organized under the laws of the United States of America or any state thereof (or, any entity not organized under such laws which agrees, in a form satisfactory to the trustee, to submit to the jurisdiction of the United States district court for the Southern District of New York, and to indemnify and hold harmless the holders of the debt securities against certain taxes and expenses) and shall expressly assume, by a supplemental indenture, executed and delivered to the trustee, all of our obligations on all of the debt securities and under the indenture;</w:t>
      </w:r>
    </w:p>
    <w:p>
      <w:pPr>
        <w:spacing w:after="0" w:line="9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default or event of default shall have occurred and be continuing; and</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9" w:lineRule="auto"/>
        <w:tabs>
          <w:tab w:leader="none" w:pos="10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deliver to the trustee an officers’ certificate and opinion of counsel, in each case stating that such consolidation, merger, or conveyance and such supplemental indenture complies with this provision and that all conditions precedent provided for in the indenture and the debt securities relating to such transaction have been complied with. The restrictions in the bullets above shall not be applicable to:</w:t>
      </w:r>
    </w:p>
    <w:p>
      <w:pPr>
        <w:spacing w:after="0" w:line="63" w:lineRule="exact"/>
        <w:rPr>
          <w:rFonts w:ascii="Times New Roman" w:cs="Times New Roman" w:eastAsia="Times New Roman" w:hAnsi="Times New Roman"/>
          <w:sz w:val="17"/>
          <w:szCs w:val="17"/>
          <w:color w:val="auto"/>
        </w:rPr>
      </w:pPr>
    </w:p>
    <w:p>
      <w:pPr>
        <w:ind w:left="1080" w:right="5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or consolidation of us with an affiliate of ours if our board of directors determines in good faith that the purpose of such transaction is principally to change our state of incorporation or convert our form of organization to another form; or</w:t>
      </w:r>
    </w:p>
    <w:p>
      <w:pPr>
        <w:spacing w:after="0" w:line="67"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of us with or into a single direct or indirect wholly owned subsidiary of ours pursuant to Section 251(g) (or any successor provision) of the General Corporation Law of the State of Delaware. If any consolidation or merger or any sale, assignment, conveyance, lease, transfer or other disposition of all or substantially all of our assets occurs in accordance with the indenture, the successor corporation will succeed to, and be substituted for us and may exercise every right and power under the indenture with the same effect as if such successor corporation had been named in our place in the indenture, and we will (except in the case of a lease) be discharged from all obligations and covenants under the indenture and the debt securities.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 event of default for any series of debt securities is defined under the indenture as being:</w:t>
      </w:r>
    </w:p>
    <w:p>
      <w:pPr>
        <w:spacing w:after="0" w:line="131" w:lineRule="exact"/>
        <w:rPr>
          <w:sz w:val="20"/>
          <w:szCs w:val="20"/>
          <w:color w:val="auto"/>
        </w:rPr>
      </w:pPr>
    </w:p>
    <w:p>
      <w:pPr>
        <w:ind w:left="1080" w:right="22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default in the payment of principal on the debt securities of such series when due and payable whether at maturity, upon redemption, by declaration or otherwise, but, in the case of technical or administrative difficulties, only if that default continues for a period of two days;</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default in the payment of interest on any debt securities of such series when due and payable, if that default continues for a period of 30 days;</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days after we receive written notice from the trustee or from the holders of 25% or more in aggregate principal amount of the debt securities of such series then outstanding;</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for in such series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having jurisdiction enters a decree or order for:</w:t>
      </w:r>
    </w:p>
    <w:p>
      <w:pPr>
        <w:spacing w:after="0" w:line="130" w:lineRule="exact"/>
        <w:rPr>
          <w:rFonts w:ascii="Times New Roman" w:cs="Times New Roman" w:eastAsia="Times New Roman" w:hAnsi="Times New Roman"/>
          <w:sz w:val="18"/>
          <w:szCs w:val="18"/>
          <w:color w:val="auto"/>
        </w:rPr>
      </w:pPr>
    </w:p>
    <w:p>
      <w:pPr>
        <w:ind w:left="1540" w:right="280" w:hanging="331"/>
        <w:spacing w:after="0" w:line="282" w:lineRule="auto"/>
        <w:tabs>
          <w:tab w:leader="none" w:pos="15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relief in respect of us in an involuntary case under any applicable bankruptcy, insolvency, or other similar law now or hereafter in effect;</w:t>
      </w:r>
    </w:p>
    <w:p>
      <w:pPr>
        <w:spacing w:after="0" w:line="67" w:lineRule="exact"/>
        <w:rPr>
          <w:rFonts w:ascii="Times New Roman" w:cs="Times New Roman" w:eastAsia="Times New Roman" w:hAnsi="Times New Roman"/>
          <w:sz w:val="18"/>
          <w:szCs w:val="18"/>
          <w:color w:val="auto"/>
        </w:rPr>
      </w:pPr>
    </w:p>
    <w:p>
      <w:pPr>
        <w:ind w:left="1540" w:right="180" w:hanging="331"/>
        <w:spacing w:after="0" w:line="282" w:lineRule="auto"/>
        <w:tabs>
          <w:tab w:leader="none" w:pos="15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a receiver, liquidator, assignee, custodian, trustee, sequestrator, or similar official of us or for all or substantially all of our property; or</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winding up or liquidation of our affairs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and such decree or order shall remain unstayed and in effect for a period of 60 consecutive days; or</w:t>
      </w:r>
    </w:p>
    <w:p>
      <w:pPr>
        <w:spacing w:after="0" w:line="131"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 voluntary case under any applicable bankruptcy, insolvency, or other similar law now or hereafter in effect;</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entry of an order for relief in an involuntary case under any such law;</w:t>
      </w:r>
    </w:p>
    <w:p>
      <w:pPr>
        <w:spacing w:after="0" w:line="130" w:lineRule="exact"/>
        <w:rPr>
          <w:rFonts w:ascii="Times New Roman" w:cs="Times New Roman" w:eastAsia="Times New Roman" w:hAnsi="Times New Roman"/>
          <w:sz w:val="18"/>
          <w:szCs w:val="18"/>
          <w:color w:val="auto"/>
        </w:rPr>
      </w:pPr>
    </w:p>
    <w:p>
      <w:pPr>
        <w:ind w:left="1540" w:right="400" w:hanging="331"/>
        <w:spacing w:after="0" w:line="282" w:lineRule="auto"/>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appointment of or taking possession by a receiver, liquidator, assignee, custodian, trustee, sequestrator, or similar official of us for all or substantially all of our property; or</w:t>
      </w:r>
    </w:p>
    <w:p>
      <w:pPr>
        <w:spacing w:after="0" w:line="67" w:lineRule="exact"/>
        <w:rPr>
          <w:rFonts w:ascii="Times New Roman" w:cs="Times New Roman" w:eastAsia="Times New Roman" w:hAnsi="Times New Roman"/>
          <w:sz w:val="18"/>
          <w:szCs w:val="18"/>
          <w:color w:val="auto"/>
        </w:rPr>
      </w:pPr>
    </w:p>
    <w:p>
      <w:pPr>
        <w:ind w:left="1540" w:right="140" w:hanging="331"/>
        <w:spacing w:after="0" w:line="282" w:lineRule="auto"/>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any general assignment for the benefit of creditors. The default by us under any other debt, including any other series of debt securities, is not a default under the indenture.</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an event of default specified in the last two bullet points above occurs with respect to us and is continuing, then the entire principal amount of the debt securities of all series then outstanding will automatically become due immediately and payable without any declaration or other act on the part of the trustee or any holder.</w:t>
      </w:r>
    </w:p>
    <w:p>
      <w:pPr>
        <w:spacing w:after="0" w:line="176"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Upon a declaration of acceleration, the principal amount of and accrued interest, if any, on such debt securities shall be immediately due and payable. Unless otherwise specified in the prospectus supplement 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18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 securities. However, the trustee may refuse to 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93"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the trustee written notice of a continuing event of default;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such series of debt securities make a written request to the trustee to pursue the remedy in respect of such event of default;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requesting holder or holders offer the trustee indemnity satisfactory to the trustee against any costs, liability, or expense;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the request within 60 days after receipt of the request and the offer of indemnity;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60-day period, the holders of a majority in aggregate principal amount of such series of debt securities do not give the trustee a direction that is inconsistent with the request.</w:t>
      </w:r>
    </w:p>
    <w:p>
      <w:pPr>
        <w:spacing w:after="0" w:line="16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76"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indenture requires certain of our officers to certify, on or before a fixed date in each year in which any security is outstanding, as to their knowledge of our compliance with all conditions and covenants under the indenture.</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Discharge and Defeasance</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indenture provides that, unless the terms of any series of debt securities provide otherwise, we may discharge our obligations with respect to an issue of debt securities and the indenture with respect to such series of debt securities if:</w:t>
      </w:r>
    </w:p>
    <w:p>
      <w:pPr>
        <w:spacing w:after="0" w:line="67" w:lineRule="exact"/>
        <w:rPr>
          <w:sz w:val="20"/>
          <w:szCs w:val="20"/>
          <w:color w:val="auto"/>
        </w:rPr>
      </w:pPr>
    </w:p>
    <w:p>
      <w:pPr>
        <w:ind w:left="1080" w:right="2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pay or cause to be paid, as and when due and payable, the principal of and any interest on all securities of such series outstanding under the indenture, and we also pay all other sums payable by us under the indenture;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30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 securities of such series previously authenticated and delivered have been delivered to the trustee for cancellation, and we have paid all sums payable by us under the indenture; or</w:t>
      </w:r>
    </w:p>
    <w:p>
      <w:pPr>
        <w:spacing w:after="0" w:line="67"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securities of such series mature within one year or all of them are to be called for redemption within one year under arrangements satisfactory to the trustee for giving the notice of redemption, and we irrevocably deposit in trust with the trustee, as trust funds solely for the benefit of the holders of the debt securities of such series, for that purpose, the entire amount in cash or, in the case of any series of debt securities payments on which may only be made in U.S. dollars, U.S. government obligations, maturing as to principal and interest in such amounts and at such times as will insure the availability of cash sufficient to pay principal of and interest on the debt securities of such series to maturity or redemption, as the case may be, and to pay all other sums payable by us under the indenture.</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With respect to the first and second bullet points, only our obligations to compensate and indemnify the trustee and our right to recover unclaimed money held by the trustee under the indenture shall survive. With respect to the third bullet point, certain additional rights and obligations under the indenture shall survive until such debt securities are no longer outstanding. Thereafter, only our obligations to compensate and indemnify the trustee and our right to recover unclaimed money held by the trustee shall survive.</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Unless the terms of any series of debt securities provide otherwise, on the 121st day after the date of deposit of trust funds with the trustee, we will be deemed to have paid and will be discharged from any and all obligations in respect of the series of debt securities provided for in the funds, and the provisions of the indenture will no longer be in effect with respect to such debt securities (“legal defeasance”) except as to certain rights and obligations under the indenture; provided that the following conditions shall have been satisfied:</w:t>
      </w:r>
    </w:p>
    <w:p>
      <w:pPr>
        <w:spacing w:after="0" w:line="85" w:lineRule="exact"/>
        <w:rPr>
          <w:sz w:val="20"/>
          <w:szCs w:val="20"/>
          <w:color w:val="auto"/>
        </w:rPr>
      </w:pPr>
    </w:p>
    <w:p>
      <w:pPr>
        <w:ind w:left="1080" w:right="40" w:hanging="424"/>
        <w:spacing w:after="0" w:line="254"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irrevocably deposited in trust with the trustee as trust funds solely for the benefit of the holders of the debt securities of such series, for payment of the principal of and interest on the debt securities of such series, cash in an amount or, in the case of any series of debt securities payments on which can only be made in U.S. dollars, U.S. government obligations (maturing as to principal and interest at such times and in such amounts as will insure the availability of cash) or a combination thereof sufficient (in the opinion of a nationally recognized firm of independent public accountants expressed in a written certification thereof delivered to the trustee), after payment of all federal, state and local taxes or other charges and assessments in respect thereof payable by the trustee, to pay and discharge the principal of and accrued interest on the debt securities of such series to maturity or earlier redemption, as the case may be, and any mandatory sinking fund payments on the day on which such payments are due and payable in accordance with the terms of the indenture and the debt securities of such series;</w:t>
      </w:r>
    </w:p>
    <w:p>
      <w:pPr>
        <w:spacing w:after="0" w:line="93"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the indenture or any other agreement or instrument to which we are a party or by which we are bound;</w:t>
      </w:r>
    </w:p>
    <w:p>
      <w:pPr>
        <w:spacing w:after="0" w:line="67"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have delivered to the trustee an officers’ certificate and an opinion of counsel to the effect that we have received from, or there has been published by, the Internal Revenue Service a ruling to the effect that the holders of the debt securities of 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and</w:t>
      </w:r>
    </w:p>
    <w:p>
      <w:pPr>
        <w:spacing w:after="0" w:line="88"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in each case stating that all conditions precedent provided for in the indenture relating to the contemplated defeasance of the debt securities of such series have been complied with, and the opinion of counsel shall also state that such deposit does not violate applicable law.</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Subsequent to the legal defeasance above, after such debt securities are no longer outstanding, only our obligations to compensate and indemnify the trustee and our right to recover unclaimed money held by the trustee shall survive.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Modification and Waiver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and the trustee may amend or supplement the indenture or the debt securities without the consent of any holder:</w:t>
      </w:r>
    </w:p>
    <w:p>
      <w:pPr>
        <w:spacing w:after="0" w:line="131"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convey, mortgage or pledge any assets as security for the securities of one or more series;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corporation to us, and the assumption by such successor corporation of our covenants, agreements and obligations under the indenture;</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or in any supplemental indenture or to conform the indenture or the debt securities to the description of debt securities of such series set forth in this prospectus or a prospectus supplement;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under “Certain Covenants—Consolidation, Merger and Sale or Conveyance”;</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 or to make such changes as shall be necessary to provide for or facilitate the administration of the trusts in the indenture by more than one trustee;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forms or terms of the debt securities as permitted by the indenture;</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is necessary or desirable provided that such change shall not adversely affect the interests of the holders of the debt securities of any series in any material respect;</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to the debt securities of any series so long as no debt securities of such series are outstanding.</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Other amendments and modifications of the indenture or the debt securities issued may be made, and our compliance with any provision of the indenture with respect to any series of debt securities may be waived, with the consent of the holders of not less than a majority of the aggregate principal amount of the outstanding debt securities of all series affected by the amendment or modification (voting as one class); provided, however, that each affected holder must consent to any modification, amendment or waiver that,</w:t>
      </w:r>
    </w:p>
    <w:p>
      <w:pPr>
        <w:spacing w:after="0" w:line="85"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extends the stated maturity of the principal of, or the time of payment of any installment of interest on, any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principal amount of, or interest on, any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the place or currency of payment of principal of, or interest on, any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impairs the right of holders to institute suit for the enforcement of any payment of any debt securities of such series;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above-stated percentage of outstanding debt securities of such series the consent of whose holders is necessary to modify or amend or to waive certain provisions of or defaults under the indenture;</w:t>
      </w:r>
    </w:p>
    <w:p>
      <w:pPr>
        <w:spacing w:after="0" w:line="67" w:lineRule="exact"/>
        <w:rPr>
          <w:rFonts w:ascii="Times New Roman" w:cs="Times New Roman" w:eastAsia="Times New Roman" w:hAnsi="Times New Roman"/>
          <w:sz w:val="18"/>
          <w:szCs w:val="18"/>
          <w:color w:val="auto"/>
        </w:rPr>
      </w:pPr>
    </w:p>
    <w:p>
      <w:pPr>
        <w:ind w:left="1080" w:right="700" w:hanging="424"/>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modifies any of the provisions of the preceding bullets, except to increase any required percentage or to provide that certain other provisions cannot be modified or waived without the consent of the holder of each debt security of such series affected by the modification; or</w:t>
      </w:r>
    </w:p>
    <w:p>
      <w:pPr>
        <w:spacing w:after="0" w:line="81" w:lineRule="exact"/>
        <w:rPr>
          <w:rFonts w:ascii="Times New Roman" w:cs="Times New Roman" w:eastAsia="Times New Roman" w:hAnsi="Times New Roman"/>
          <w:sz w:val="18"/>
          <w:szCs w:val="18"/>
          <w:color w:val="auto"/>
        </w:rPr>
      </w:pPr>
    </w:p>
    <w:p>
      <w:pPr>
        <w:ind w:left="5540" w:right="180" w:hanging="4884"/>
        <w:spacing w:after="0" w:line="454" w:lineRule="auto"/>
        <w:tabs>
          <w:tab w:leader="none" w:pos="109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a default in respect of a covenant or provision which cannot be modified or amended without the consent of each affected holder. 15</w:t>
      </w:r>
    </w:p>
    <w:p>
      <w:pPr>
        <w:sectPr>
          <w:pgSz w:w="11900" w:h="16838" w:orient="portrait"/>
          <w:cols w:equalWidth="0" w:num="1">
            <w:col w:w="11100"/>
          </w:cols>
          <w:pgMar w:left="320" w:top="455" w:right="4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It shall not be necessary for the consent of the holders under this section to approve the particular form of any proposed amendment, supplement, or waiver, but it shall be sufficient if such consent approves the substance thereof. After an amendment, supplement, or waiver under this section becomes effective, the trustee must give to the holders affected thereby certain notice briefly describing the amendment, supplement, or waiver. We will mail supplemental indentures to holders upon request. Any failure by the trustee to give such notice, or any defect therein, shall not, however, in any way impair or affect the validity of any such supplemental indenture or waiver.</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 Personal Liability of Incorporators, Stockholders, Officers, Directors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indenture provides that no recourse shall be had under or upon any obligation, covenant, or agreement of ours in the indenture or any supplemental indenture, or in any of the debt securities or because of any indebtedness represented thereby, against any incorporator, stockholder, officer or director of ours or of any successor person thereof under any law, statute or constitutional provision or by the enforcement of any assessment or by any legal or equitable proceeding or otherwise. Each holder, by accepting the debt securities, waives and releases all such liability.</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Concerning the Trustee</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indenture provides that, except during the continuance of a default, the trustee will not be liable, except for the performance of such duties as are specifically set forth in the indenture. If an event of default has occurred and is continuing, the trustee will exercise such rights and powers vested in it under the indenture and will use the same degree of care and skill in its exercise as a prudent person would exercise under the circumstances in the conduct of such person’s own affairs.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The Trustee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have normal banking relationships with the trustee under the indenture in the ordinary course of business.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39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As specified in the applicable prospectus supplement, we may issue units consisting of one or more warrants, debt securities, shares of preferred stock, shares of common stock or any combination of such securities.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60"/>
          </w:cols>
          <w:pgMar w:left="320" w:top="455" w:right="5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FORMS OF SECURITIES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19"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Registered Global Securities</w:t>
      </w:r>
      <w:r>
        <w:rPr>
          <w:rFonts w:ascii="Times New Roman" w:cs="Times New Roman" w:eastAsia="Times New Roman" w:hAnsi="Times New Roman"/>
          <w:sz w:val="18"/>
          <w:szCs w:val="18"/>
          <w:color w:val="auto"/>
        </w:rPr>
        <w:t>. We may issue the registered debt securities, warrants and units in the form of one or more fully registered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84"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76"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Texas Instruments, the trustee, any warrant agent, unit agent or any other agent of Texas Instruments, agent of the trustee or agent of such warrant agent or unit agent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8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We or selling security holders may sell the securities being offered hereby in the following manner or any manner specified in a prospectus supplement:</w:t>
      </w:r>
    </w:p>
    <w:p>
      <w:pPr>
        <w:spacing w:after="0" w:line="67"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225" w:lineRule="exact"/>
        <w:rPr>
          <w:sz w:val="20"/>
          <w:szCs w:val="20"/>
          <w:color w:val="auto"/>
        </w:rPr>
      </w:pPr>
    </w:p>
    <w:p>
      <w:pPr>
        <w:jc w:val="both"/>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If any securities are sold pursuant to this prospectus by any persons other than us, we will, in a prospectus supplement, name the selling security holders, indicate the nature of any relationship such holders have had to us or any of our affiliates during the three years preceding such offering, state the amount of securities of the class owned by such security holder prior to the offering and the amount to be offered for the security holder’s account, and state the amount and (if one percent or more) the percentage of the class to be owned by such security holder after completion of the offering.</w:t>
      </w:r>
    </w:p>
    <w:p>
      <w:pPr>
        <w:spacing w:after="0" w:line="16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or any selling security holder may directly solicit offers to purchase securities, or agents may be designated to solicit such offers. We will, in the prospectus supplement relating to such offering, name any agent that could be viewed as an underwriter under the Securities Act of 1933, as amended (the “Securities Act”), and describe any commissions that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83"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If any underwriters or agents are utilized in the sale of the securities in respect of which this prospectus is delivered, we and, if applicable, any selling security holder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76"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Remarketing firms, agents, underwriters and dealers may be entitled under agreements which they may enter into with us to indemnification by us and by any selling security holder against certain civil liabilities, including liabilities under the Securities Act, and may be customers of, engage in transactions with or perform services for us in the ordinary course of business.</w:t>
      </w:r>
    </w:p>
    <w:p>
      <w:pPr>
        <w:spacing w:after="0" w:line="176"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7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55"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VALIDITY OF SECURITIES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validity of the securities in respect of which this prospectus is being delivered will be passed on for us by Davis Polk &amp; Wardwell LLP.</w:t>
      </w:r>
    </w:p>
    <w:p>
      <w:pPr>
        <w:spacing w:after="0" w:line="200" w:lineRule="exact"/>
        <w:rPr>
          <w:sz w:val="20"/>
          <w:szCs w:val="20"/>
          <w:color w:val="auto"/>
        </w:rPr>
      </w:pPr>
    </w:p>
    <w:p>
      <w:pPr>
        <w:spacing w:after="0" w:line="23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2024, and the effectiveness of our internal control over financial reporting as of December 31, 2024, as set forth in their reports, which are incorporated by reference into this prospectus and elsewhere in the registration statement. Our financial statements and our management’s assessment of the effectiveness of internal control over financial reporting as of December 31, 2024 are incorporated by reference in reliance on Ernst &amp; Young LLP’s reports, given on their authority as experts in accounting and auditing.</w:t>
      </w:r>
    </w:p>
    <w:p>
      <w:pPr>
        <w:spacing w:after="0" w:line="11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320" w:top="455" w:right="5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$1,200,000,000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344170</wp:posOffset>
            </wp:positionV>
            <wp:extent cx="2263140" cy="5314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226314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5"/>
          <w:szCs w:val="25"/>
          <w:b w:val="1"/>
          <w:bCs w:val="1"/>
          <w:color w:val="auto"/>
        </w:rPr>
        <w:t>$550,000,000 4.500% Notes due 2030</w:t>
      </w:r>
    </w:p>
    <w:p>
      <w:pPr>
        <w:spacing w:after="0" w:line="4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5"/>
          <w:szCs w:val="25"/>
          <w:b w:val="1"/>
          <w:bCs w:val="1"/>
          <w:color w:val="auto"/>
        </w:rPr>
        <w:t>$650,000,000 5.100% Notes due 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1280160</wp:posOffset>
            </wp:positionV>
            <wp:extent cx="1474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Joint Book-Running Managers</w:t>
      </w:r>
    </w:p>
    <w:p>
      <w:pPr>
        <w:sectPr>
          <w:pgSz w:w="11900" w:h="16838" w:orient="portrait"/>
          <w:cols w:equalWidth="0" w:num="1">
            <w:col w:w="11140"/>
          </w:cols>
          <w:pgMar w:left="320" w:top="455" w:right="439" w:bottom="1440" w:gutter="0" w:footer="0" w:header="0"/>
        </w:sectPr>
      </w:pPr>
    </w:p>
    <w:p>
      <w:pPr>
        <w:spacing w:after="0" w:line="2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8"/>
          <w:szCs w:val="28"/>
          <w:b w:val="1"/>
          <w:bCs w:val="1"/>
          <w:color w:val="auto"/>
        </w:rPr>
        <w:t>Barclays</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jc w:val="center"/>
        <w:ind w:right="2700"/>
        <w:spacing w:after="0"/>
        <w:rPr>
          <w:sz w:val="20"/>
          <w:szCs w:val="20"/>
          <w:color w:val="auto"/>
        </w:rPr>
      </w:pPr>
      <w:r>
        <w:rPr>
          <w:rFonts w:ascii="Times New Roman" w:cs="Times New Roman" w:eastAsia="Times New Roman" w:hAnsi="Times New Roman"/>
          <w:sz w:val="28"/>
          <w:szCs w:val="28"/>
          <w:b w:val="1"/>
          <w:bCs w:val="1"/>
          <w:color w:val="auto"/>
        </w:rPr>
        <w:t>Morgan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1311275</wp:posOffset>
            </wp:positionV>
            <wp:extent cx="14744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MUFG</w:t>
      </w:r>
    </w:p>
    <w:p>
      <w:pPr>
        <w:spacing w:after="0" w:line="200" w:lineRule="exact"/>
        <w:rPr>
          <w:sz w:val="20"/>
          <w:szCs w:val="20"/>
          <w:color w:val="auto"/>
        </w:rPr>
      </w:pPr>
    </w:p>
    <w:p>
      <w:pPr>
        <w:sectPr>
          <w:pgSz w:w="11900" w:h="16838" w:orient="portrait"/>
          <w:cols w:equalWidth="0" w:num="3">
            <w:col w:w="4140" w:space="720"/>
            <w:col w:w="4680" w:space="720"/>
            <w:col w:w="880"/>
          </w:cols>
          <w:pgMar w:left="320" w:top="455"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May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438785</wp:posOffset>
            </wp:positionV>
            <wp:extent cx="69951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507365</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type w:val="continuous"/>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424(b)(2)</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Texas Instruments Incorporated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25" w:lineRule="exact"/>
        <w:rPr>
          <w:sz w:val="20"/>
          <w:szCs w:val="20"/>
          <w:color w:val="auto"/>
        </w:rPr>
      </w:pPr>
    </w:p>
    <w:p>
      <w:pPr>
        <w:jc w:val="center"/>
        <w:ind w:right="20"/>
        <w:spacing w:after="0" w:line="282" w:lineRule="auto"/>
        <w:rPr>
          <w:sz w:val="20"/>
          <w:szCs w:val="20"/>
          <w:color w:val="auto"/>
        </w:rPr>
      </w:pPr>
      <w:r>
        <w:rPr>
          <w:rFonts w:ascii="Times New Roman" w:cs="Times New Roman" w:eastAsia="Times New Roman" w:hAnsi="Times New Roman"/>
          <w:sz w:val="18"/>
          <w:szCs w:val="18"/>
          <w:color w:val="auto"/>
        </w:rPr>
        <w:t>The prospectus supplement to which this Exhibit is attached is a final prospectus for the related offerings. The maximum aggregate amount of those offerings is $1,200,000,000</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900" w:type="dxa"/>
            <w:vAlign w:val="bottom"/>
            <w:tcBorders>
              <w:top w:val="single" w:sz="8" w:color="auto"/>
              <w:left w:val="single" w:sz="8" w:color="auto"/>
              <w:right w:val="single" w:sz="8" w:color="auto"/>
            </w:tcBorders>
          </w:tcPr>
          <w:p>
            <w:pPr>
              <w:spacing w:after="0"/>
              <w:rPr>
                <w:sz w:val="12"/>
                <w:szCs w:val="12"/>
                <w:color w:val="auto"/>
              </w:rPr>
            </w:pPr>
          </w:p>
        </w:tc>
        <w:tc>
          <w:tcPr>
            <w:tcW w:w="580" w:type="dxa"/>
            <w:vAlign w:val="bottom"/>
            <w:tcBorders>
              <w:top w:val="single" w:sz="8" w:color="auto"/>
              <w:right w:val="single" w:sz="8" w:color="auto"/>
            </w:tcBorders>
          </w:tcPr>
          <w:p>
            <w:pPr>
              <w:spacing w:after="0"/>
              <w:rPr>
                <w:sz w:val="12"/>
                <w:szCs w:val="12"/>
                <w:color w:val="auto"/>
              </w:rPr>
            </w:pPr>
          </w:p>
        </w:tc>
        <w:tc>
          <w:tcPr>
            <w:tcW w:w="110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110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1200" w:type="dxa"/>
            <w:vAlign w:val="bottom"/>
            <w:tcBorders>
              <w:top w:val="single" w:sz="8" w:color="auto"/>
              <w:right w:val="single" w:sz="8" w:color="auto"/>
            </w:tcBorders>
          </w:tcPr>
          <w:p>
            <w:pPr>
              <w:spacing w:after="0"/>
              <w:rPr>
                <w:sz w:val="12"/>
                <w:szCs w:val="12"/>
                <w:color w:val="auto"/>
              </w:rPr>
            </w:pPr>
          </w:p>
        </w:tc>
        <w:tc>
          <w:tcPr>
            <w:tcW w:w="88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7"/>
              </w:rPr>
              <w:t>Filing Fee</w:t>
            </w:r>
          </w:p>
        </w:tc>
        <w:tc>
          <w:tcPr>
            <w:tcW w:w="0" w:type="dxa"/>
            <w:vAlign w:val="bottom"/>
          </w:tcPr>
          <w:p>
            <w:pPr>
              <w:spacing w:after="0"/>
              <w:rPr>
                <w:sz w:val="1"/>
                <w:szCs w:val="1"/>
                <w:color w:val="auto"/>
              </w:rPr>
            </w:pPr>
          </w:p>
        </w:tc>
      </w:tr>
      <w:tr>
        <w:trPr>
          <w:trHeight w:val="135"/>
        </w:trPr>
        <w:tc>
          <w:tcPr>
            <w:tcW w:w="90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Previously</w:t>
            </w:r>
          </w:p>
        </w:tc>
        <w:tc>
          <w:tcPr>
            <w:tcW w:w="0" w:type="dxa"/>
            <w:vAlign w:val="bottom"/>
          </w:tcPr>
          <w:p>
            <w:pPr>
              <w:spacing w:after="0"/>
              <w:rPr>
                <w:sz w:val="1"/>
                <w:szCs w:val="1"/>
                <w:color w:val="auto"/>
              </w:rPr>
            </w:pPr>
          </w:p>
        </w:tc>
      </w:tr>
      <w:tr>
        <w:trPr>
          <w:trHeight w:val="135"/>
        </w:trPr>
        <w:tc>
          <w:tcPr>
            <w:tcW w:w="90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Paid In</w:t>
            </w:r>
          </w:p>
        </w:tc>
        <w:tc>
          <w:tcPr>
            <w:tcW w:w="0" w:type="dxa"/>
            <w:vAlign w:val="bottom"/>
          </w:tcPr>
          <w:p>
            <w:pPr>
              <w:spacing w:after="0"/>
              <w:rPr>
                <w:sz w:val="1"/>
                <w:szCs w:val="1"/>
                <w:color w:val="auto"/>
              </w:rPr>
            </w:pPr>
          </w:p>
        </w:tc>
      </w:tr>
      <w:tr>
        <w:trPr>
          <w:trHeight w:val="135"/>
        </w:trPr>
        <w:tc>
          <w:tcPr>
            <w:tcW w:w="90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Connection</w:t>
            </w:r>
          </w:p>
        </w:tc>
        <w:tc>
          <w:tcPr>
            <w:tcW w:w="0" w:type="dxa"/>
            <w:vAlign w:val="bottom"/>
          </w:tcPr>
          <w:p>
            <w:pPr>
              <w:spacing w:after="0"/>
              <w:rPr>
                <w:sz w:val="1"/>
                <w:szCs w:val="1"/>
                <w:color w:val="auto"/>
              </w:rPr>
            </w:pPr>
          </w:p>
        </w:tc>
      </w:tr>
      <w:tr>
        <w:trPr>
          <w:trHeight w:val="135"/>
        </w:trPr>
        <w:tc>
          <w:tcPr>
            <w:tcW w:w="90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with</w:t>
            </w:r>
          </w:p>
        </w:tc>
        <w:tc>
          <w:tcPr>
            <w:tcW w:w="0" w:type="dxa"/>
            <w:vAlign w:val="bottom"/>
          </w:tcPr>
          <w:p>
            <w:pPr>
              <w:spacing w:after="0"/>
              <w:rPr>
                <w:sz w:val="1"/>
                <w:szCs w:val="1"/>
                <w:color w:val="auto"/>
              </w:rPr>
            </w:pPr>
          </w:p>
        </w:tc>
      </w:tr>
      <w:tr>
        <w:trPr>
          <w:trHeight w:val="135"/>
        </w:trPr>
        <w:tc>
          <w:tcPr>
            <w:tcW w:w="90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11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Proposed</w:t>
            </w:r>
          </w:p>
        </w:tc>
        <w:tc>
          <w:tcPr>
            <w:tcW w:w="12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4"/>
              </w:rPr>
              <w:t>Carry</w:t>
            </w:r>
          </w:p>
        </w:tc>
        <w:tc>
          <w:tcPr>
            <w:tcW w:w="58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Carry</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Unsold</w:t>
            </w:r>
          </w:p>
        </w:tc>
        <w:tc>
          <w:tcPr>
            <w:tcW w:w="0" w:type="dxa"/>
            <w:vAlign w:val="bottom"/>
          </w:tcPr>
          <w:p>
            <w:pPr>
              <w:spacing w:after="0"/>
              <w:rPr>
                <w:sz w:val="1"/>
                <w:szCs w:val="1"/>
                <w:color w:val="auto"/>
              </w:rPr>
            </w:pPr>
          </w:p>
        </w:tc>
      </w:tr>
      <w:tr>
        <w:trPr>
          <w:trHeight w:val="126"/>
        </w:trPr>
        <w:tc>
          <w:tcPr>
            <w:tcW w:w="900" w:type="dxa"/>
            <w:vAlign w:val="bottom"/>
            <w:tcBorders>
              <w:left w:val="single" w:sz="8" w:color="auto"/>
              <w:right w:val="single" w:sz="8" w:color="auto"/>
            </w:tcBorders>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6"/>
              </w:rPr>
              <w:t>Calculation</w:t>
            </w:r>
          </w:p>
        </w:tc>
        <w:tc>
          <w:tcPr>
            <w:tcW w:w="11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5"/>
              </w:rPr>
              <w:t>Maximum</w:t>
            </w:r>
          </w:p>
        </w:tc>
        <w:tc>
          <w:tcPr>
            <w:tcW w:w="120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vMerge w:val="continue"/>
          </w:tcPr>
          <w:p>
            <w:pPr>
              <w:spacing w:after="0"/>
              <w:rPr>
                <w:sz w:val="10"/>
                <w:szCs w:val="10"/>
                <w:color w:val="auto"/>
              </w:rPr>
            </w:pPr>
          </w:p>
        </w:tc>
        <w:tc>
          <w:tcPr>
            <w:tcW w:w="580" w:type="dxa"/>
            <w:vAlign w:val="bottom"/>
          </w:tcPr>
          <w:p>
            <w:pPr>
              <w:jc w:val="center"/>
              <w:ind w:left="62"/>
              <w:spacing w:after="0" w:line="126" w:lineRule="exact"/>
              <w:rPr>
                <w:sz w:val="20"/>
                <w:szCs w:val="20"/>
                <w:color w:val="auto"/>
              </w:rPr>
            </w:pPr>
            <w:r>
              <w:rPr>
                <w:rFonts w:ascii="Times New Roman" w:cs="Times New Roman" w:eastAsia="Times New Roman" w:hAnsi="Times New Roman"/>
                <w:sz w:val="13"/>
                <w:szCs w:val="13"/>
                <w:color w:val="auto"/>
                <w:w w:val="94"/>
              </w:rPr>
              <w:t>Carry</w:t>
            </w:r>
          </w:p>
        </w:tc>
        <w:tc>
          <w:tcPr>
            <w:tcW w:w="8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5"/>
              </w:rPr>
              <w:t>Forward</w:t>
            </w:r>
          </w:p>
        </w:tc>
        <w:tc>
          <w:tcPr>
            <w:tcW w:w="70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7"/>
              </w:rPr>
              <w:t>Securities</w:t>
            </w:r>
          </w:p>
        </w:tc>
        <w:tc>
          <w:tcPr>
            <w:tcW w:w="0" w:type="dxa"/>
            <w:vAlign w:val="bottom"/>
          </w:tcPr>
          <w:p>
            <w:pPr>
              <w:spacing w:after="0"/>
              <w:rPr>
                <w:sz w:val="1"/>
                <w:szCs w:val="1"/>
                <w:color w:val="auto"/>
              </w:rPr>
            </w:pPr>
          </w:p>
        </w:tc>
      </w:tr>
      <w:tr>
        <w:trPr>
          <w:trHeight w:val="135"/>
        </w:trPr>
        <w:tc>
          <w:tcPr>
            <w:tcW w:w="90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or Carry</w:t>
            </w:r>
          </w:p>
        </w:tc>
        <w:tc>
          <w:tcPr>
            <w:tcW w:w="11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2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8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580" w:type="dxa"/>
            <w:vAlign w:val="bottom"/>
          </w:tcPr>
          <w:p>
            <w:pPr>
              <w:jc w:val="center"/>
              <w:ind w:left="62"/>
              <w:spacing w:after="0" w:line="135" w:lineRule="exact"/>
              <w:rPr>
                <w:sz w:val="20"/>
                <w:szCs w:val="20"/>
                <w:color w:val="auto"/>
              </w:rPr>
            </w:pPr>
            <w:r>
              <w:rPr>
                <w:rFonts w:ascii="Times New Roman" w:cs="Times New Roman" w:eastAsia="Times New Roman" w:hAnsi="Times New Roman"/>
                <w:sz w:val="13"/>
                <w:szCs w:val="13"/>
                <w:color w:val="auto"/>
                <w:w w:val="99"/>
              </w:rPr>
              <w:t>Forward</w:t>
            </w:r>
          </w:p>
        </w:tc>
        <w:tc>
          <w:tcPr>
            <w:tcW w:w="8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Initial</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to be</w:t>
            </w:r>
          </w:p>
        </w:tc>
        <w:tc>
          <w:tcPr>
            <w:tcW w:w="0" w:type="dxa"/>
            <w:vAlign w:val="bottom"/>
          </w:tcPr>
          <w:p>
            <w:pPr>
              <w:spacing w:after="0"/>
              <w:rPr>
                <w:sz w:val="1"/>
                <w:szCs w:val="1"/>
                <w:color w:val="auto"/>
              </w:rPr>
            </w:pPr>
          </w:p>
        </w:tc>
      </w:tr>
      <w:tr>
        <w:trPr>
          <w:trHeight w:val="135"/>
        </w:trPr>
        <w:tc>
          <w:tcPr>
            <w:tcW w:w="900" w:type="dxa"/>
            <w:vAlign w:val="bottom"/>
            <w:tcBorders>
              <w:left w:val="single" w:sz="8" w:color="auto"/>
              <w:right w:val="single" w:sz="8" w:color="auto"/>
            </w:tcBorders>
          </w:tcPr>
          <w:p>
            <w:pPr>
              <w:spacing w:after="0"/>
              <w:rPr>
                <w:sz w:val="11"/>
                <w:szCs w:val="11"/>
                <w:color w:val="auto"/>
              </w:rPr>
            </w:pPr>
          </w:p>
        </w:tc>
        <w:tc>
          <w:tcPr>
            <w:tcW w:w="580" w:type="dxa"/>
            <w:vAlign w:val="bottom"/>
            <w:tcBorders>
              <w:right w:val="single" w:sz="8" w:color="auto"/>
            </w:tcBorders>
          </w:tcPr>
          <w:p>
            <w:pPr>
              <w:ind w:left="80"/>
              <w:spacing w:after="0" w:line="135" w:lineRule="exact"/>
              <w:rPr>
                <w:sz w:val="20"/>
                <w:szCs w:val="20"/>
                <w:color w:val="auto"/>
              </w:rPr>
            </w:pPr>
            <w:r>
              <w:rPr>
                <w:rFonts w:ascii="Times New Roman" w:cs="Times New Roman" w:eastAsia="Times New Roman" w:hAnsi="Times New Roman"/>
                <w:sz w:val="13"/>
                <w:szCs w:val="13"/>
                <w:color w:val="auto"/>
              </w:rPr>
              <w:t>Security</w:t>
            </w:r>
          </w:p>
        </w:tc>
        <w:tc>
          <w:tcPr>
            <w:tcW w:w="11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11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2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8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Amount of</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Form</w:t>
            </w:r>
          </w:p>
        </w:tc>
        <w:tc>
          <w:tcPr>
            <w:tcW w:w="580" w:type="dxa"/>
            <w:vAlign w:val="bottom"/>
          </w:tcPr>
          <w:p>
            <w:pPr>
              <w:jc w:val="center"/>
              <w:ind w:left="62"/>
              <w:spacing w:after="0" w:line="135" w:lineRule="exact"/>
              <w:rPr>
                <w:sz w:val="20"/>
                <w:szCs w:val="20"/>
                <w:color w:val="auto"/>
              </w:rPr>
            </w:pPr>
            <w:r>
              <w:rPr>
                <w:rFonts w:ascii="Times New Roman" w:cs="Times New Roman" w:eastAsia="Times New Roman" w:hAnsi="Times New Roman"/>
                <w:sz w:val="13"/>
                <w:szCs w:val="13"/>
                <w:color w:val="auto"/>
                <w:w w:val="98"/>
              </w:rPr>
              <w:t>File</w:t>
            </w:r>
          </w:p>
        </w:tc>
        <w:tc>
          <w:tcPr>
            <w:tcW w:w="8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effective</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Carried</w:t>
            </w:r>
          </w:p>
        </w:tc>
        <w:tc>
          <w:tcPr>
            <w:tcW w:w="0" w:type="dxa"/>
            <w:vAlign w:val="bottom"/>
          </w:tcPr>
          <w:p>
            <w:pPr>
              <w:spacing w:after="0"/>
              <w:rPr>
                <w:sz w:val="1"/>
                <w:szCs w:val="1"/>
                <w:color w:val="auto"/>
              </w:rPr>
            </w:pPr>
          </w:p>
        </w:tc>
      </w:tr>
      <w:tr>
        <w:trPr>
          <w:trHeight w:val="174"/>
        </w:trPr>
        <w:tc>
          <w:tcPr>
            <w:tcW w:w="900" w:type="dxa"/>
            <w:vAlign w:val="bottom"/>
            <w:tcBorders>
              <w:left w:val="single" w:sz="8" w:color="auto"/>
              <w:bottom w:val="single" w:sz="8" w:color="auto"/>
              <w:right w:val="single" w:sz="8" w:color="auto"/>
            </w:tcBorders>
          </w:tcPr>
          <w:p>
            <w:pPr>
              <w:spacing w:after="0"/>
              <w:rPr>
                <w:sz w:val="15"/>
                <w:szCs w:val="15"/>
                <w:color w:val="auto"/>
              </w:rPr>
            </w:pP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4"/>
              </w:rPr>
              <w:t>Type </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Class Title</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Registered</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Unit</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Offering Price</w:t>
            </w:r>
          </w:p>
        </w:tc>
        <w:tc>
          <w:tcPr>
            <w:tcW w:w="88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3"/>
                <w:szCs w:val="13"/>
                <w:color w:val="auto"/>
              </w:rPr>
              <w:t>Fee Rate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Registration Fee</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Type</w:t>
            </w:r>
          </w:p>
        </w:tc>
        <w:tc>
          <w:tcPr>
            <w:tcW w:w="580" w:type="dxa"/>
            <w:vAlign w:val="bottom"/>
            <w:tcBorders>
              <w:bottom w:val="single" w:sz="8" w:color="auto"/>
            </w:tcBorders>
          </w:tcPr>
          <w:p>
            <w:pPr>
              <w:jc w:val="center"/>
              <w:ind w:left="62"/>
              <w:spacing w:after="0"/>
              <w:rPr>
                <w:sz w:val="20"/>
                <w:szCs w:val="20"/>
                <w:color w:val="auto"/>
              </w:rPr>
            </w:pPr>
            <w:r>
              <w:rPr>
                <w:rFonts w:ascii="Times New Roman" w:cs="Times New Roman" w:eastAsia="Times New Roman" w:hAnsi="Times New Roman"/>
                <w:sz w:val="13"/>
                <w:szCs w:val="13"/>
                <w:color w:val="auto"/>
                <w:w w:val="93"/>
              </w:rPr>
              <w:t>Number</w:t>
            </w:r>
          </w:p>
        </w:tc>
        <w:tc>
          <w:tcPr>
            <w:tcW w:w="80" w:type="dxa"/>
            <w:vAlign w:val="bottom"/>
            <w:tcBorders>
              <w:bottom w:val="single" w:sz="8" w:color="auto"/>
              <w:right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date</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Forward</w:t>
            </w:r>
          </w:p>
        </w:tc>
        <w:tc>
          <w:tcPr>
            <w:tcW w:w="0" w:type="dxa"/>
            <w:vAlign w:val="bottom"/>
          </w:tcPr>
          <w:p>
            <w:pPr>
              <w:spacing w:after="0"/>
              <w:rPr>
                <w:sz w:val="1"/>
                <w:szCs w:val="1"/>
                <w:color w:val="auto"/>
              </w:rPr>
            </w:pPr>
          </w:p>
        </w:tc>
      </w:tr>
      <w:tr>
        <w:trPr>
          <w:trHeight w:val="221"/>
        </w:trPr>
        <w:tc>
          <w:tcPr>
            <w:tcW w:w="900" w:type="dxa"/>
            <w:vAlign w:val="bottom"/>
            <w:tcBorders>
              <w:left w:val="single" w:sz="8" w:color="auto"/>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3"/>
          </w:tcPr>
          <w:p>
            <w:pPr>
              <w:jc w:val="center"/>
              <w:ind w:right="577"/>
              <w:spacing w:after="0"/>
              <w:rPr>
                <w:sz w:val="20"/>
                <w:szCs w:val="20"/>
                <w:color w:val="auto"/>
              </w:rPr>
            </w:pPr>
            <w:r>
              <w:rPr>
                <w:rFonts w:ascii="Times New Roman" w:cs="Times New Roman" w:eastAsia="Times New Roman" w:hAnsi="Times New Roman"/>
                <w:sz w:val="17"/>
                <w:szCs w:val="17"/>
                <w:color w:val="auto"/>
              </w:rPr>
              <w:t>Newly Registered Securities</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9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Fees to</w:t>
            </w: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Debt </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4.500% Notes</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xml:space="preserve">  457(r)   </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$550,000,000 </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99.942% </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$549,681,000 </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0.0001531 </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$84,156.16 </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4"/>
              </w:rPr>
              <w:t xml:space="preserve">   —    </w:t>
            </w:r>
          </w:p>
        </w:tc>
        <w:tc>
          <w:tcPr>
            <w:tcW w:w="580" w:type="dxa"/>
            <w:vAlign w:val="bottom"/>
          </w:tcPr>
          <w:p>
            <w:pPr>
              <w:jc w:val="right"/>
              <w:ind w:right="42"/>
              <w:spacing w:after="0"/>
              <w:rPr>
                <w:sz w:val="20"/>
                <w:szCs w:val="20"/>
                <w:color w:val="auto"/>
              </w:rPr>
            </w:pPr>
            <w:r>
              <w:rPr>
                <w:rFonts w:ascii="Times New Roman" w:cs="Times New Roman" w:eastAsia="Times New Roman" w:hAnsi="Times New Roman"/>
                <w:sz w:val="17"/>
                <w:szCs w:val="17"/>
                <w:color w:val="auto"/>
                <w:w w:val="73"/>
              </w:rPr>
              <w:t>   — </w:t>
            </w:r>
          </w:p>
        </w:tc>
        <w:tc>
          <w:tcPr>
            <w:tcW w:w="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75"/>
              </w:rPr>
              <w:t> </w:t>
            </w: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0"/>
              </w:rPr>
              <w:t xml:space="preserve">   —    </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176"/>
        </w:trPr>
        <w:tc>
          <w:tcPr>
            <w:tcW w:w="900" w:type="dxa"/>
            <w:vAlign w:val="bottom"/>
            <w:tcBorders>
              <w:left w:val="single" w:sz="8" w:color="auto"/>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color w:val="auto"/>
              </w:rPr>
              <w:t>Be Paid</w:t>
            </w:r>
          </w:p>
        </w:tc>
        <w:tc>
          <w:tcPr>
            <w:tcW w:w="58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color w:val="auto"/>
              </w:rPr>
              <w:t>due 2030 </w:t>
            </w:r>
          </w:p>
        </w:tc>
        <w:tc>
          <w:tcPr>
            <w:tcW w:w="74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right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9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Fees to</w:t>
            </w: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Debt </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5.100% Notes</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xml:space="preserve">457(r) </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$650,000,000 </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99.961% </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$649,746,500 </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0.0001531 </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$99,476.19 </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 </w:t>
            </w:r>
          </w:p>
        </w:tc>
        <w:tc>
          <w:tcPr>
            <w:tcW w:w="580" w:type="dxa"/>
            <w:vAlign w:val="bottom"/>
          </w:tcPr>
          <w:p>
            <w:pPr>
              <w:jc w:val="right"/>
              <w:ind w:right="42"/>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Borders>
              <w:right w:val="single" w:sz="8" w:color="auto"/>
            </w:tcBorders>
          </w:tcPr>
          <w:p>
            <w:pPr>
              <w:spacing w:after="0"/>
              <w:rPr>
                <w:sz w:val="22"/>
                <w:szCs w:val="22"/>
                <w:color w:val="auto"/>
              </w:rPr>
            </w:pP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175"/>
        </w:trPr>
        <w:tc>
          <w:tcPr>
            <w:tcW w:w="900" w:type="dxa"/>
            <w:vAlign w:val="bottom"/>
            <w:tcBorders>
              <w:left w:val="single" w:sz="8" w:color="auto"/>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color w:val="auto"/>
              </w:rPr>
              <w:t>Be Paid</w:t>
            </w:r>
          </w:p>
        </w:tc>
        <w:tc>
          <w:tcPr>
            <w:tcW w:w="58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color w:val="auto"/>
              </w:rPr>
              <w:t>due 2035 </w:t>
            </w:r>
          </w:p>
        </w:tc>
        <w:tc>
          <w:tcPr>
            <w:tcW w:w="74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right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900" w:type="dxa"/>
            <w:vAlign w:val="bottom"/>
            <w:tcBorders>
              <w:left w:val="single" w:sz="8" w:color="auto"/>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7"/>
                <w:szCs w:val="17"/>
                <w:color w:val="auto"/>
              </w:rPr>
              <w:t>Fees</w:t>
            </w:r>
          </w:p>
        </w:tc>
        <w:tc>
          <w:tcPr>
            <w:tcW w:w="5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Previously</w:t>
            </w: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 </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 </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 </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 </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 </w:t>
            </w:r>
          </w:p>
        </w:tc>
        <w:tc>
          <w:tcPr>
            <w:tcW w:w="580" w:type="dxa"/>
            <w:vAlign w:val="bottom"/>
          </w:tcPr>
          <w:p>
            <w:pPr>
              <w:jc w:val="right"/>
              <w:ind w:right="42"/>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22"/>
        </w:trPr>
        <w:tc>
          <w:tcPr>
            <w:tcW w:w="9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Paid</w:t>
            </w:r>
          </w:p>
        </w:tc>
        <w:tc>
          <w:tcPr>
            <w:tcW w:w="58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900" w:type="dxa"/>
            <w:vAlign w:val="bottom"/>
            <w:tcBorders>
              <w:left w:val="single" w:sz="8" w:color="auto"/>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2"/>
          </w:tcPr>
          <w:p>
            <w:pPr>
              <w:jc w:val="center"/>
              <w:ind w:left="122"/>
              <w:spacing w:after="0"/>
              <w:rPr>
                <w:sz w:val="20"/>
                <w:szCs w:val="20"/>
                <w:color w:val="auto"/>
              </w:rPr>
            </w:pPr>
            <w:r>
              <w:rPr>
                <w:rFonts w:ascii="Times New Roman" w:cs="Times New Roman" w:eastAsia="Times New Roman" w:hAnsi="Times New Roman"/>
                <w:sz w:val="17"/>
                <w:szCs w:val="17"/>
                <w:color w:val="auto"/>
              </w:rPr>
              <w:t>Carry Forward Securities</w:t>
            </w:r>
          </w:p>
        </w:tc>
        <w:tc>
          <w:tcPr>
            <w:tcW w:w="8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90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7"/>
                <w:szCs w:val="17"/>
                <w:color w:val="auto"/>
                <w:w w:val="98"/>
              </w:rPr>
              <w:t>Carry</w:t>
            </w:r>
          </w:p>
        </w:tc>
        <w:tc>
          <w:tcPr>
            <w:tcW w:w="5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Forward</w:t>
            </w: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 </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 </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 </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 </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 </w:t>
            </w:r>
          </w:p>
        </w:tc>
        <w:tc>
          <w:tcPr>
            <w:tcW w:w="580" w:type="dxa"/>
            <w:vAlign w:val="bottom"/>
          </w:tcPr>
          <w:p>
            <w:pPr>
              <w:jc w:val="right"/>
              <w:ind w:right="42"/>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22"/>
        </w:trPr>
        <w:tc>
          <w:tcPr>
            <w:tcW w:w="9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Securities</w:t>
            </w:r>
          </w:p>
        </w:tc>
        <w:tc>
          <w:tcPr>
            <w:tcW w:w="58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900" w:type="dxa"/>
            <w:vAlign w:val="bottom"/>
            <w:tcBorders>
              <w:left w:val="single" w:sz="8" w:color="auto"/>
              <w:bottom w:val="single" w:sz="8" w:color="auto"/>
              <w:right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940" w:type="dxa"/>
            <w:vAlign w:val="bottom"/>
            <w:tcBorders>
              <w:bottom w:val="single" w:sz="8" w:color="auto"/>
              <w:right w:val="single" w:sz="8" w:color="auto"/>
            </w:tcBorders>
            <w:gridSpan w:val="3"/>
          </w:tcPr>
          <w:p>
            <w:pPr>
              <w:jc w:val="center"/>
              <w:ind w:right="462"/>
              <w:spacing w:after="0"/>
              <w:rPr>
                <w:sz w:val="20"/>
                <w:szCs w:val="20"/>
                <w:color w:val="auto"/>
              </w:rPr>
            </w:pPr>
            <w:r>
              <w:rPr>
                <w:rFonts w:ascii="Times New Roman" w:cs="Times New Roman" w:eastAsia="Times New Roman" w:hAnsi="Times New Roman"/>
                <w:sz w:val="17"/>
                <w:szCs w:val="17"/>
                <w:color w:val="auto"/>
                <w:w w:val="99"/>
              </w:rPr>
              <w:t>Total Offering Amounts</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 </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$1,199,427,500 </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0.0001531 </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$183,632.35 </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 </w:t>
            </w:r>
          </w:p>
        </w:tc>
        <w:tc>
          <w:tcPr>
            <w:tcW w:w="5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23"/>
        </w:trPr>
        <w:tc>
          <w:tcPr>
            <w:tcW w:w="900" w:type="dxa"/>
            <w:vAlign w:val="bottom"/>
            <w:tcBorders>
              <w:left w:val="single" w:sz="8" w:color="auto"/>
              <w:bottom w:val="single" w:sz="8" w:color="auto"/>
              <w:right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940" w:type="dxa"/>
            <w:vAlign w:val="bottom"/>
            <w:tcBorders>
              <w:bottom w:val="single" w:sz="8" w:color="auto"/>
              <w:right w:val="single" w:sz="8" w:color="auto"/>
            </w:tcBorders>
            <w:gridSpan w:val="3"/>
          </w:tcPr>
          <w:p>
            <w:pPr>
              <w:jc w:val="center"/>
              <w:ind w:right="442"/>
              <w:spacing w:after="0"/>
              <w:rPr>
                <w:sz w:val="20"/>
                <w:szCs w:val="20"/>
                <w:color w:val="auto"/>
              </w:rPr>
            </w:pPr>
            <w:r>
              <w:rPr>
                <w:rFonts w:ascii="Times New Roman" w:cs="Times New Roman" w:eastAsia="Times New Roman" w:hAnsi="Times New Roman"/>
                <w:sz w:val="17"/>
                <w:szCs w:val="17"/>
                <w:color w:val="auto"/>
                <w:w w:val="99"/>
              </w:rPr>
              <w:t>Total Fees Previously Paid</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 </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 </w:t>
            </w:r>
          </w:p>
        </w:tc>
        <w:tc>
          <w:tcPr>
            <w:tcW w:w="5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23"/>
        </w:trPr>
        <w:tc>
          <w:tcPr>
            <w:tcW w:w="900" w:type="dxa"/>
            <w:vAlign w:val="bottom"/>
            <w:tcBorders>
              <w:left w:val="single" w:sz="8" w:color="auto"/>
              <w:bottom w:val="single" w:sz="8" w:color="auto"/>
              <w:right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2"/>
          </w:tcPr>
          <w:p>
            <w:pPr>
              <w:jc w:val="center"/>
              <w:ind w:left="478"/>
              <w:spacing w:after="0"/>
              <w:rPr>
                <w:sz w:val="20"/>
                <w:szCs w:val="20"/>
                <w:color w:val="auto"/>
              </w:rPr>
            </w:pPr>
            <w:r>
              <w:rPr>
                <w:rFonts w:ascii="Times New Roman" w:cs="Times New Roman" w:eastAsia="Times New Roman" w:hAnsi="Times New Roman"/>
                <w:sz w:val="17"/>
                <w:szCs w:val="17"/>
                <w:color w:val="auto"/>
                <w:w w:val="98"/>
              </w:rPr>
              <w:t>Total Fee Offsets</w:t>
            </w:r>
          </w:p>
        </w:tc>
        <w:tc>
          <w:tcPr>
            <w:tcW w:w="110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 </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 </w:t>
            </w:r>
          </w:p>
        </w:tc>
        <w:tc>
          <w:tcPr>
            <w:tcW w:w="5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23"/>
        </w:trPr>
        <w:tc>
          <w:tcPr>
            <w:tcW w:w="900" w:type="dxa"/>
            <w:vAlign w:val="bottom"/>
            <w:tcBorders>
              <w:left w:val="single" w:sz="8" w:color="auto"/>
              <w:bottom w:val="single" w:sz="8" w:color="auto"/>
              <w:right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2"/>
          </w:tcPr>
          <w:p>
            <w:pPr>
              <w:jc w:val="center"/>
              <w:ind w:left="498"/>
              <w:spacing w:after="0"/>
              <w:rPr>
                <w:sz w:val="20"/>
                <w:szCs w:val="20"/>
                <w:color w:val="auto"/>
              </w:rPr>
            </w:pPr>
            <w:r>
              <w:rPr>
                <w:rFonts w:ascii="Times New Roman" w:cs="Times New Roman" w:eastAsia="Times New Roman" w:hAnsi="Times New Roman"/>
                <w:sz w:val="17"/>
                <w:szCs w:val="17"/>
                <w:color w:val="auto"/>
              </w:rPr>
              <w:t>Net Fee Due</w:t>
            </w:r>
          </w:p>
        </w:tc>
        <w:tc>
          <w:tcPr>
            <w:tcW w:w="110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 </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$183,632.35 </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 </w:t>
            </w:r>
          </w:p>
        </w:tc>
        <w:tc>
          <w:tcPr>
            <w:tcW w:w="5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lvl w:ilvl="1">
      <w:lvlJc w:val="left"/>
      <w:lvlText w:val="(%2)"/>
      <w:numFmt w:val="decimal"/>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1)"/>
      <w:numFmt w:val="decimal"/>
      <w:start w:val="10"/>
    </w:lvl>
  </w:abstractNum>
  <w:abstractNum w:abstractNumId="17">
    <w:nsid w:val="2901D82"/>
    <w:multiLevelType w:val="hybridMultilevel"/>
    <w:lvl w:ilvl="0">
      <w:lvlJc w:val="left"/>
      <w:lvlText w:val="(%1)"/>
      <w:numFmt w:val="lowerRoman"/>
      <w:start w:val="3"/>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1)"/>
      <w:numFmt w:val="lowerLetter"/>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lvl w:ilvl="1">
      <w:lvlJc w:val="left"/>
      <w:lvlText w:val="•"/>
      <w:numFmt w:val="bullet"/>
      <w:start w:val="1"/>
    </w:lvl>
  </w:abstractNum>
  <w:abstractNum w:abstractNumId="32">
    <w:nsid w:val="3804823E"/>
    <w:multiLevelType w:val="hybridMultilevel"/>
    <w:lvl w:ilvl="0">
      <w:lvlJc w:val="left"/>
      <w:lvlText w:val="•"/>
      <w:numFmt w:val="bullet"/>
      <w:start w:val="1"/>
    </w:lvl>
    <w:lvl w:ilvl="1">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jpe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jpe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46" Type="http://schemas.openxmlformats.org/officeDocument/2006/relationships/hyperlink" Target="http://www.sec.gov/ix?doc=/Archives/edgar/data/97476/000009747625000007/txn-20241231.htm" TargetMode="External"/><Relationship Id="rId47" Type="http://schemas.openxmlformats.org/officeDocument/2006/relationships/hyperlink" Target="http://www.sec.gov/ix?doc=/Archives/edgar/data/97476/000009747625000017/txn-20250305.htm" TargetMode="External"/><Relationship Id="rId48" Type="http://schemas.openxmlformats.org/officeDocument/2006/relationships/hyperlink" Target="http://www.sec.gov/ix?doc=/Archives/edgar/data/97476/000009747625000027/txn-20250331.htm" TargetMode="External"/><Relationship Id="rId49" Type="http://schemas.openxmlformats.org/officeDocument/2006/relationships/hyperlink" Target="http://www.sec.gov/ix?doc=/Archives/edgar/data/97476/000009747625000022/txn-20250417.htm" TargetMode="External"/><Relationship Id="rId57" Type="http://schemas.openxmlformats.org/officeDocument/2006/relationships/hyperlink" Target="http://www.sec.gov/Archives/edgar/data/97476/000009747611000066/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2025-05-22T05:20:42Z</dcterms:created>
  <dcterms:modified xsi:type="dcterms:W3CDTF">2025-05-22T05:20:42Z</dcterms:modified>
</cp:coreProperties>
</file>