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65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65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02/05/2016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Sr. Vice President &amp; CFO</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jc w:val="right"/>
              <w:ind w:right="88"/>
              <w:spacing w:after="0"/>
              <w:rPr>
                <w:sz w:val="20"/>
                <w:szCs w:val="20"/>
                <w:color w:val="auto"/>
              </w:rPr>
            </w:pPr>
            <w:r>
              <w:rPr>
                <w:rFonts w:ascii="Arial" w:cs="Arial" w:eastAsia="Arial" w:hAnsi="Arial"/>
                <w:sz w:val="18"/>
                <w:szCs w:val="18"/>
                <w:color w:val="0000FF"/>
              </w:rPr>
              <w:t>02/05/2016</w:t>
            </w:r>
          </w:p>
        </w:tc>
        <w:tc>
          <w:tcPr>
            <w:tcW w:w="1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80" w:type="dxa"/>
            <w:vAlign w:val="bottom"/>
          </w:tcPr>
          <w:p>
            <w:pPr>
              <w:ind w:left="140"/>
              <w:spacing w:after="0"/>
              <w:rPr>
                <w:sz w:val="20"/>
                <w:szCs w:val="20"/>
                <w:color w:val="auto"/>
              </w:rPr>
            </w:pPr>
            <w:r>
              <w:rPr>
                <w:rFonts w:ascii="Arial" w:cs="Arial" w:eastAsia="Arial" w:hAnsi="Arial"/>
                <w:sz w:val="14"/>
                <w:szCs w:val="14"/>
                <w:color w:val="0000FF"/>
              </w:rPr>
              <w:t>V</w:t>
            </w:r>
          </w:p>
        </w:tc>
        <w:tc>
          <w:tcPr>
            <w:tcW w:w="780" w:type="dxa"/>
            <w:vAlign w:val="bottom"/>
          </w:tcPr>
          <w:p>
            <w:pPr>
              <w:ind w:left="180"/>
              <w:spacing w:after="0"/>
              <w:rPr>
                <w:sz w:val="20"/>
                <w:szCs w:val="20"/>
                <w:color w:val="auto"/>
              </w:rPr>
            </w:pPr>
            <w:r>
              <w:rPr>
                <w:rFonts w:ascii="Arial" w:cs="Arial" w:eastAsia="Arial" w:hAnsi="Arial"/>
                <w:sz w:val="18"/>
                <w:szCs w:val="18"/>
                <w:color w:val="0000FF"/>
              </w:rPr>
              <w:t>10,000</w:t>
            </w:r>
          </w:p>
        </w:tc>
        <w:tc>
          <w:tcPr>
            <w:tcW w:w="540" w:type="dxa"/>
            <w:vAlign w:val="bottom"/>
          </w:tcPr>
          <w:p>
            <w:pPr>
              <w:ind w:left="260"/>
              <w:spacing w:after="0"/>
              <w:rPr>
                <w:sz w:val="20"/>
                <w:szCs w:val="20"/>
                <w:color w:val="auto"/>
              </w:rPr>
            </w:pPr>
            <w:r>
              <w:rPr>
                <w:rFonts w:ascii="Arial" w:cs="Arial" w:eastAsia="Arial" w:hAnsi="Arial"/>
                <w:sz w:val="18"/>
                <w:szCs w:val="18"/>
                <w:color w:val="0000FF"/>
              </w:rPr>
              <w:t>D</w:t>
            </w:r>
          </w:p>
        </w:tc>
        <w:tc>
          <w:tcPr>
            <w:tcW w:w="660" w:type="dxa"/>
            <w:vAlign w:val="bottom"/>
          </w:tcPr>
          <w:p>
            <w:pPr>
              <w:jc w:val="right"/>
              <w:ind w:right="1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Pr>
          <w:p>
            <w:pPr>
              <w:jc w:val="center"/>
              <w:spacing w:after="0"/>
              <w:rPr>
                <w:sz w:val="20"/>
                <w:szCs w:val="20"/>
                <w:color w:val="auto"/>
              </w:rPr>
            </w:pPr>
            <w:r>
              <w:rPr>
                <w:rFonts w:ascii="Arial" w:cs="Arial" w:eastAsia="Arial" w:hAnsi="Arial"/>
                <w:sz w:val="18"/>
                <w:szCs w:val="18"/>
                <w:color w:val="0000FF"/>
                <w:w w:val="86"/>
              </w:rPr>
              <w:t>331,173</w:t>
            </w:r>
          </w:p>
        </w:tc>
        <w:tc>
          <w:tcPr>
            <w:tcW w:w="960" w:type="dxa"/>
            <w:vAlign w:val="bottom"/>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jc w:val="right"/>
              <w:ind w:right="88"/>
              <w:spacing w:after="0"/>
              <w:rPr>
                <w:sz w:val="20"/>
                <w:szCs w:val="20"/>
                <w:color w:val="auto"/>
              </w:rPr>
            </w:pPr>
            <w:r>
              <w:rPr>
                <w:rFonts w:ascii="Arial" w:cs="Arial" w:eastAsia="Arial" w:hAnsi="Arial"/>
                <w:sz w:val="18"/>
                <w:szCs w:val="18"/>
                <w:color w:val="0000FF"/>
              </w:rPr>
              <w:t>02/05/2016</w:t>
            </w:r>
          </w:p>
        </w:tc>
        <w:tc>
          <w:tcPr>
            <w:tcW w:w="11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80" w:type="dxa"/>
            <w:vAlign w:val="bottom"/>
          </w:tcPr>
          <w:p>
            <w:pPr>
              <w:ind w:left="140"/>
              <w:spacing w:after="0"/>
              <w:rPr>
                <w:sz w:val="20"/>
                <w:szCs w:val="20"/>
                <w:color w:val="auto"/>
              </w:rPr>
            </w:pPr>
            <w:r>
              <w:rPr>
                <w:rFonts w:ascii="Arial" w:cs="Arial" w:eastAsia="Arial" w:hAnsi="Arial"/>
                <w:sz w:val="14"/>
                <w:szCs w:val="14"/>
                <w:color w:val="0000FF"/>
              </w:rPr>
              <w:t>V</w:t>
            </w:r>
          </w:p>
        </w:tc>
        <w:tc>
          <w:tcPr>
            <w:tcW w:w="780" w:type="dxa"/>
            <w:vAlign w:val="bottom"/>
          </w:tcPr>
          <w:p>
            <w:pPr>
              <w:ind w:left="180"/>
              <w:spacing w:after="0"/>
              <w:rPr>
                <w:sz w:val="20"/>
                <w:szCs w:val="20"/>
                <w:color w:val="auto"/>
              </w:rPr>
            </w:pPr>
            <w:r>
              <w:rPr>
                <w:rFonts w:ascii="Arial" w:cs="Arial" w:eastAsia="Arial" w:hAnsi="Arial"/>
                <w:sz w:val="18"/>
                <w:szCs w:val="18"/>
                <w:color w:val="0000FF"/>
              </w:rPr>
              <w:t>10,000</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660" w:type="dxa"/>
            <w:vAlign w:val="bottom"/>
          </w:tcPr>
          <w:p>
            <w:pPr>
              <w:jc w:val="right"/>
              <w:ind w:right="1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20,000</w:t>
            </w:r>
            <w:r>
              <w:rPr>
                <w:rFonts w:ascii="Arial" w:cs="Arial" w:eastAsia="Arial" w:hAnsi="Arial"/>
                <w:sz w:val="22"/>
                <w:szCs w:val="22"/>
                <w:color w:val="008000"/>
                <w:w w:val="84"/>
                <w:vertAlign w:val="superscript"/>
              </w:rPr>
              <w:t>(1)</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2,069.46</w:t>
            </w:r>
            <w:r>
              <w:rPr>
                <w:rFonts w:ascii="Arial" w:cs="Arial" w:eastAsia="Arial" w:hAnsi="Arial"/>
                <w:sz w:val="22"/>
                <w:szCs w:val="22"/>
                <w:color w:val="008000"/>
                <w:w w:val="84"/>
                <w:vertAlign w:val="superscript"/>
              </w:rPr>
              <w:t>(2)</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2"/>
              </w:rPr>
              <w:t>44.18</w:t>
            </w:r>
            <w:r>
              <w:rPr>
                <w:rFonts w:ascii="Arial" w:cs="Arial" w:eastAsia="Arial" w:hAnsi="Arial"/>
                <w:sz w:val="22"/>
                <w:szCs w:val="22"/>
                <w:color w:val="008000"/>
                <w:w w:val="82"/>
                <w:vertAlign w:val="superscript"/>
              </w:rPr>
              <w:t>(3)</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Beneficial ownership by reporting person disclaimed. Due to administrative error, this indirect holding was omitted from the Form 4 filed on 2-2-2016. It was previously reported on the Form 4 filed on 11-</w:t>
      </w:r>
    </w:p>
    <w:p>
      <w:pPr>
        <w:spacing w:after="0" w:line="22" w:lineRule="exact"/>
        <w:rPr>
          <w:rFonts w:ascii="Arial" w:cs="Arial" w:eastAsia="Arial" w:hAnsi="Arial"/>
          <w:sz w:val="12"/>
          <w:szCs w:val="12"/>
          <w:color w:val="008000"/>
        </w:rPr>
      </w:pPr>
    </w:p>
    <w:p>
      <w:pPr>
        <w:ind w:left="40"/>
        <w:spacing w:after="0"/>
        <w:rPr>
          <w:rFonts w:ascii="Arial" w:cs="Arial" w:eastAsia="Arial" w:hAnsi="Arial"/>
          <w:sz w:val="12"/>
          <w:szCs w:val="12"/>
          <w:color w:val="008000"/>
        </w:rPr>
      </w:pPr>
      <w:r>
        <w:rPr>
          <w:rFonts w:ascii="Arial" w:cs="Arial" w:eastAsia="Arial" w:hAnsi="Arial"/>
          <w:sz w:val="14"/>
          <w:szCs w:val="14"/>
          <w:color w:val="008000"/>
        </w:rPr>
        <w:t>23-15.</w:t>
      </w:r>
    </w:p>
    <w:p>
      <w:pPr>
        <w:spacing w:after="0" w:line="29" w:lineRule="exact"/>
        <w:rPr>
          <w:rFonts w:ascii="Arial" w:cs="Arial" w:eastAsia="Arial" w:hAnsi="Arial"/>
          <w:sz w:val="12"/>
          <w:szCs w:val="12"/>
          <w:color w:val="008000"/>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12-31-2015. (Interests in this account are denominated in units. Consequently, share amount shown is an estimate.) This statement does not include changes in beneficial ownership of shares held in such account occurring after 12-31-2015 that are eligible for deferred reporting on Form 5.</w:t>
      </w: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12-31-2015. (Interests in this account are denominated in units. Consequently, share amount shown is an estimate.) This statement does not include changes in beneficial ownership of shares held in this account occurring after 12-31-2015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02/08/2016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2019-12-23T20:53:08Z</dcterms:created>
  <dcterms:modified xsi:type="dcterms:W3CDTF">2019-12-23T20:53:08Z</dcterms:modified>
</cp:coreProperties>
</file>