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17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AND EXCHANGE COMMISSION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17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Washington, D.C. 20549</w:t>
      </w:r>
    </w:p>
    <w:p>
      <w:pPr>
        <w:spacing w:after="0" w:line="372" w:lineRule="exact"/>
        <w:rPr>
          <w:sz w:val="24"/>
          <w:szCs w:val="24"/>
          <w:color w:val="auto"/>
        </w:rPr>
      </w:pPr>
    </w:p>
    <w:p>
      <w:pPr>
        <w:ind w:left="3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---------------------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8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8-K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jc w:val="center"/>
        <w:ind w:right="17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CURRENT REPORT PURSUANT TO SECTION 13 OR 15(d)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center"/>
        <w:ind w:right="17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THE SECURITIES EXCHANGE ACT OF 1934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640"/>
        <w:spacing w:after="0"/>
        <w:tabs>
          <w:tab w:leader="none" w:pos="60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DATE OF REPORT (DATE OF EARLIEST EVENT REPORTED):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November 12, 2001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jc w:val="center"/>
        <w:ind w:right="17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TEXAS INSTRUMENTS INCORPORATED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17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(Exact name of Registrant as specified in charter)</w:t>
      </w:r>
    </w:p>
    <w:p>
      <w:pPr>
        <w:sectPr>
          <w:pgSz w:w="11900" w:h="16838" w:orient="portrait"/>
          <w:cols w:equalWidth="0" w:num="1">
            <w:col w:w="10219"/>
          </w:cols>
          <w:pgMar w:left="240" w:top="420" w:right="1440" w:bottom="0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ind w:left="1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DELAWARE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(State or other jurisdiction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540"/>
        <w:spacing w:after="0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</w:t>
        <w:tab/>
        <w:t>incorporation)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4" w:lineRule="exact"/>
        <w:rPr>
          <w:sz w:val="24"/>
          <w:szCs w:val="24"/>
          <w:color w:val="auto"/>
        </w:rPr>
      </w:pPr>
    </w:p>
    <w:p>
      <w:pPr>
        <w:ind w:left="8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001-03761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(Commission file number)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4" w:lineRule="exact"/>
        <w:rPr>
          <w:sz w:val="24"/>
          <w:szCs w:val="24"/>
          <w:color w:val="auto"/>
        </w:rPr>
      </w:pPr>
    </w:p>
    <w:p>
      <w:pPr>
        <w:ind w:left="4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750289970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(I.R.S. employer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identification no.)</w:t>
      </w: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2960" w:space="320"/>
            <w:col w:w="2520" w:space="640"/>
            <w:col w:w="3779"/>
          </w:cols>
          <w:pgMar w:left="240" w:top="420" w:right="1440" w:bottom="0" w:gutter="0" w:footer="0" w:header="0"/>
          <w:type w:val="continuous"/>
        </w:sectPr>
      </w:pP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jc w:val="center"/>
        <w:ind w:right="17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12500 TI BOULEVARD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center"/>
        <w:ind w:right="165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P.O. BOX 660199</w:t>
      </w:r>
    </w:p>
    <w:p>
      <w:pPr>
        <w:jc w:val="center"/>
        <w:ind w:right="177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DALLAS, TEXAS 75266-0199</w:t>
      </w:r>
    </w:p>
    <w:p>
      <w:pPr>
        <w:jc w:val="center"/>
        <w:ind w:right="17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(Address of principal executive offices)</w:t>
      </w:r>
    </w:p>
    <w:p>
      <w:pPr>
        <w:spacing w:after="0" w:line="37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Registrant's telephone number, including area code: (972) 995-3773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---------------------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87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620" w:val="left"/>
          <w:tab w:leader="none" w:pos="1040" w:val="left"/>
          <w:tab w:leader="none" w:pos="2300" w:val="left"/>
          <w:tab w:leader="none" w:pos="27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</w:t>
        <w:tab/>
        <w:t>9.</w:t>
        <w:tab/>
        <w:t>REGULATION</w:t>
        <w:tab/>
        <w:t>FD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DISCLOSURE.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both"/>
        <w:ind w:right="1779"/>
        <w:spacing w:after="0" w:line="293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The Registrant ("TI") re-confirms its outlook for the fourth quarter of 2001 as set forth in the Outlook section included in Item 2 of its Form 10-Q for the quarter ended September 30, 2001, which was filed with the Commission on October 24, 2001. This re-confirmation is being made for purposes of Regulation FD only and is not an indication or assessment of materiality, nor is it intended to constitute a representation that the information is not otherwise publicly available. The full text of that Outlook section is as follows: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OUTLOOK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both"/>
        <w:ind w:right="1779"/>
        <w:spacing w:after="0" w:line="26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 appears that third quarter of 2001 will mark the bottom for semiconductor orders, and the floor for revenue should be set in the fourth quarter. Fourth-quarter TI revenue is expected to decline about 10 percent sequentially, mostly due to normal seasonal declines in Educational &amp; Productivity Solutions (E&amp;PS) as well as continued weakness in Semiconductor.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jc w:val="both"/>
        <w:ind w:right="1779"/>
        <w:spacing w:after="0" w:line="34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Specifically, TI expects the following for the fourth quarter compared to the third quarter: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220" w:right="2099" w:hanging="212"/>
        <w:spacing w:after="0" w:line="347" w:lineRule="auto"/>
        <w:tabs>
          <w:tab w:leader="none" w:pos="22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 In Semiconductor, revenue will decline about 5 percent as continued growth in DSP is more than offset by declines in other products.</w:t>
      </w:r>
    </w:p>
    <w:p>
      <w:pPr>
        <w:sectPr>
          <w:pgSz w:w="11900" w:h="16838" w:orient="portrait"/>
          <w:cols w:equalWidth="0" w:num="1">
            <w:col w:w="10219"/>
          </w:cols>
          <w:pgMar w:left="240" w:top="420" w:right="1440" w:bottom="0" w:gutter="0" w:footer="0" w:header="0"/>
          <w:type w:val="continuous"/>
        </w:sectPr>
      </w:pP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Sensors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jc w:val="center"/>
        <w:spacing w:after="0"/>
        <w:tabs>
          <w:tab w:leader="none" w:pos="2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&amp;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Controls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revenue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will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be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about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even.</w:t>
      </w: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8">
            <w:col w:w="320" w:space="220"/>
            <w:col w:w="740" w:space="200"/>
            <w:col w:w="1160" w:space="220"/>
            <w:col w:w="720" w:space="220"/>
            <w:col w:w="420" w:space="220"/>
            <w:col w:w="200" w:space="220"/>
            <w:col w:w="520" w:space="220"/>
            <w:col w:w="4619"/>
          </w:cols>
          <w:pgMar w:left="240" w:top="420" w:right="1440" w:bottom="0" w:gutter="0" w:footer="0" w:header="0"/>
          <w:type w:val="continuous"/>
        </w:sectPr>
      </w:pP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 -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600" w:val="left"/>
          <w:tab w:leader="none" w:pos="156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E&amp;PS</w:t>
        <w:tab/>
        <w:t>revenue</w:t>
        <w:tab/>
        <w:t>will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decline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200"/>
        <w:spacing w:after="0"/>
        <w:tabs>
          <w:tab w:leader="none" w:pos="1880" w:val="left"/>
          <w:tab w:leader="none" w:pos="27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back-to-school</w:t>
        <w:tab/>
        <w:t>season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for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jc w:val="right"/>
        <w:spacing w:after="0" w:line="402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by  about  $110  million,  or educational  products  ends.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jc w:val="center"/>
        <w:spacing w:after="0"/>
        <w:tabs>
          <w:tab w:leader="none" w:pos="1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60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percent,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as</w:t>
      </w:r>
    </w:p>
    <w:p>
      <w:pPr>
        <w:spacing w:after="0" w:line="42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5">
            <w:col w:w="540" w:space="0"/>
            <w:col w:w="3040" w:space="120"/>
            <w:col w:w="3040" w:space="220"/>
            <w:col w:w="1260" w:space="220"/>
            <w:col w:w="1779"/>
          </w:cols>
          <w:pgMar w:left="240" w:top="420" w:right="1440" w:bottom="0" w:gutter="0" w:footer="0" w:header="0"/>
          <w:type w:val="continuous"/>
        </w:sectPr>
      </w:pPr>
    </w:p>
    <w:p>
      <w:pPr>
        <w:ind w:left="220" w:right="1779" w:hanging="212"/>
        <w:spacing w:after="0" w:line="274" w:lineRule="auto"/>
        <w:tabs>
          <w:tab w:leader="none" w:pos="22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 Operating margin will decline about 9 percentage points before the effect of special charges and amortization of goodwill and other acquisition-related intangibles, reflecting the lower revenue level and further reductions in inventory.</w:t>
      </w:r>
    </w:p>
    <w:p>
      <w:pPr>
        <w:spacing w:after="0" w:line="8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 Non-operating  income  will  decline  about  $10  million  reflecting  lower</w:t>
      </w:r>
    </w:p>
    <w:p>
      <w:pPr>
        <w:sectPr>
          <w:pgSz w:w="11900" w:h="16838" w:orient="portrait"/>
          <w:cols w:equalWidth="0" w:num="1">
            <w:col w:w="10219"/>
          </w:cols>
          <w:pgMar w:left="240" w:top="420" w:right="1440" w:bottom="0" w:gutter="0" w:footer="0" w:header="0"/>
          <w:type w:val="continuous"/>
        </w:sectPr>
      </w:pPr>
    </w:p>
    <w:bookmarkStart w:id="1" w:name="page2"/>
    <w:bookmarkEnd w:id="1"/>
    <w:p>
      <w:pPr>
        <w:ind w:left="220"/>
        <w:spacing w:after="0"/>
        <w:tabs>
          <w:tab w:leader="none" w:pos="12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interest</w:t>
        <w:tab/>
        <w:t>rates.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520" w:val="left"/>
          <w:tab w:leader="none" w:pos="1140" w:val="left"/>
          <w:tab w:leader="none" w:pos="1680" w:val="left"/>
          <w:tab w:leader="none" w:pos="2420" w:val="left"/>
          <w:tab w:leader="none" w:pos="3040" w:val="left"/>
          <w:tab w:leader="none" w:pos="3460" w:val="left"/>
          <w:tab w:leader="none" w:pos="4200" w:val="left"/>
          <w:tab w:leader="none" w:pos="4520" w:val="left"/>
          <w:tab w:leader="none" w:pos="5260" w:val="left"/>
          <w:tab w:leader="none" w:pos="5880" w:val="left"/>
          <w:tab w:leader="none" w:pos="6300" w:val="left"/>
          <w:tab w:leader="none" w:pos="6840" w:val="left"/>
          <w:tab w:leader="none" w:pos="76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 -</w:t>
        <w:tab/>
        <w:t>Loss</w:t>
        <w:tab/>
        <w:t>per</w:t>
        <w:tab/>
        <w:t>share</w:t>
        <w:tab/>
        <w:t>will</w:t>
        <w:tab/>
        <w:t>be</w:t>
        <w:tab/>
        <w:t>about</w:t>
        <w:tab/>
        <w:t>6</w:t>
        <w:tab/>
        <w:t>cents</w:t>
        <w:tab/>
        <w:t>more</w:t>
        <w:tab/>
        <w:t>in</w:t>
        <w:tab/>
        <w:t>the</w:t>
        <w:tab/>
        <w:t>fourth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quarter,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220"/>
        <w:spacing w:after="0"/>
        <w:tabs>
          <w:tab w:leader="none" w:pos="1260" w:val="left"/>
          <w:tab w:leader="none" w:pos="1880" w:val="left"/>
          <w:tab w:leader="none" w:pos="2420" w:val="left"/>
          <w:tab w:leader="none" w:pos="3140" w:val="left"/>
          <w:tab w:leader="none" w:pos="4200" w:val="left"/>
          <w:tab w:leader="none" w:pos="5040" w:val="left"/>
          <w:tab w:leader="none" w:pos="5580" w:val="left"/>
          <w:tab w:leader="none" w:pos="6420" w:val="left"/>
          <w:tab w:leader="none" w:pos="68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compared</w:t>
        <w:tab/>
        <w:t>with</w:t>
        <w:tab/>
        <w:t>the</w:t>
        <w:tab/>
        <w:t>third</w:t>
        <w:tab/>
        <w:t>quarter,</w:t>
        <w:tab/>
        <w:t>before</w:t>
        <w:tab/>
        <w:t>the</w:t>
        <w:tab/>
        <w:t>effect</w:t>
        <w:tab/>
        <w:t>of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special charges</w:t>
      </w:r>
    </w:p>
    <w:p>
      <w:pPr>
        <w:ind w:left="220"/>
        <w:spacing w:after="0"/>
        <w:tabs>
          <w:tab w:leader="none" w:pos="720" w:val="left"/>
          <w:tab w:leader="none" w:pos="2200" w:val="left"/>
          <w:tab w:leader="none" w:pos="2620" w:val="left"/>
          <w:tab w:leader="none" w:pos="3680" w:val="left"/>
          <w:tab w:leader="none" w:pos="4200" w:val="left"/>
          <w:tab w:leader="none" w:pos="4940" w:val="left"/>
          <w:tab w:leader="none" w:pos="71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</w:t>
        <w:tab/>
        <w:t>amortization</w:t>
        <w:tab/>
        <w:t>of</w:t>
        <w:tab/>
        <w:t>goodwill</w:t>
        <w:tab/>
        <w:t>and</w:t>
        <w:tab/>
        <w:t>other</w:t>
        <w:tab/>
        <w:t>acquisition-related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intangibles.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520" w:val="left"/>
          <w:tab w:leader="none" w:pos="1260" w:val="left"/>
          <w:tab w:leader="none" w:pos="1680" w:val="left"/>
          <w:tab w:leader="none" w:pos="2620" w:val="left"/>
          <w:tab w:leader="none" w:pos="3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</w:t>
        <w:tab/>
        <w:t>2001,</w:t>
        <w:tab/>
        <w:t>TI</w:t>
        <w:tab/>
        <w:t>expects</w:t>
        <w:tab/>
        <w:t>the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following: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220" w:right="1779" w:hanging="212"/>
        <w:spacing w:after="0" w:line="257" w:lineRule="auto"/>
        <w:tabs>
          <w:tab w:leader="none" w:pos="22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 R&amp;D of $1.5 billion, excluding acquisition-related amortization and purchased in-process R&amp;D, compared with the company's prior estimate of</w:t>
      </w:r>
    </w:p>
    <w:p>
      <w:pPr>
        <w:ind w:left="220"/>
        <w:spacing w:after="0"/>
        <w:tabs>
          <w:tab w:leader="none" w:pos="840" w:val="left"/>
          <w:tab w:leader="none" w:pos="1780" w:val="left"/>
          <w:tab w:leader="none" w:pos="2300" w:val="left"/>
          <w:tab w:leader="none" w:pos="2940" w:val="left"/>
          <w:tab w:leader="none" w:pos="3780" w:val="left"/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$1.6</w:t>
        <w:tab/>
        <w:t>billion</w:t>
        <w:tab/>
        <w:t>and</w:t>
        <w:tab/>
        <w:t>last</w:t>
        <w:tab/>
        <w:t>year's</w:t>
        <w:tab/>
        <w:t>$1.6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billion.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left="220" w:right="1579" w:hanging="219"/>
        <w:spacing w:after="0" w:line="347" w:lineRule="auto"/>
        <w:tabs>
          <w:tab w:leader="none" w:pos="2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</w:t>
        <w:tab/>
        <w:t>- Capital expenditures of $1.8 billion, unchanged from the prior estimate and down about 35 percent from last year.</w:t>
      </w:r>
    </w:p>
    <w:p>
      <w:pPr>
        <w:sectPr>
          <w:pgSz w:w="11900" w:h="16838" w:orient="portrait"/>
          <w:cols w:equalWidth="0" w:num="1">
            <w:col w:w="10219"/>
          </w:cols>
          <w:pgMar w:left="240" w:top="110" w:right="1440" w:bottom="1440" w:gutter="0" w:footer="0" w:header="0"/>
        </w:sectPr>
      </w:pPr>
    </w:p>
    <w:bookmarkStart w:id="2" w:name="page3"/>
    <w:bookmarkEnd w:id="2"/>
    <w:p>
      <w:pPr>
        <w:ind w:left="220" w:right="1579" w:hanging="212"/>
        <w:spacing w:after="0" w:line="347" w:lineRule="auto"/>
        <w:tabs>
          <w:tab w:leader="none" w:pos="22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 Depreciation of $1.6 billion, compared with the prior estimate of $1.5 billion and up about 30 percent from last year.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both"/>
        <w:ind w:right="1779"/>
        <w:spacing w:after="0" w:line="26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"Safe Harbor" Statement under the Private Securities Litigation Reform Act of 1995: The statements contained in this report on Form 8-K are "forward-looking statements" intended to qualify for the safe harbor from liability established by the Private Securities Litigation Reform Act of 1995. These forward-looking statements are subject to certain risks and uncertainties that could cause actual results to differ materially from those in forward-looking statements.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jc w:val="both"/>
        <w:ind w:right="1779"/>
        <w:spacing w:after="0" w:line="292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urge you to carefully consider the following important factors that could cause actual results to differ materially from the expectations of the company or its management:</w:t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ind w:left="420" w:hanging="307"/>
        <w:spacing w:after="0"/>
        <w:tabs>
          <w:tab w:leader="none" w:pos="42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Market demand for semiconductors, particularly for digital signal processors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220"/>
        <w:spacing w:after="0"/>
        <w:tabs>
          <w:tab w:leader="none" w:pos="2100" w:val="left"/>
          <w:tab w:leader="none" w:pos="2520" w:val="left"/>
          <w:tab w:leader="none" w:pos="3040" w:val="left"/>
          <w:tab w:leader="none" w:pos="41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analog chips</w:t>
        <w:tab/>
        <w:t>in</w:t>
        <w:tab/>
        <w:t>key</w:t>
        <w:tab/>
        <w:t>markets,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such as telecommunications and computers;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left="220" w:right="1779" w:hanging="107"/>
        <w:spacing w:after="0" w:line="347" w:lineRule="auto"/>
        <w:tabs>
          <w:tab w:leader="none" w:pos="431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TI's ability to develop, manufacture and market innovative products in a rapidly changing technological environment;</w:t>
      </w:r>
    </w:p>
    <w:p>
      <w:pPr>
        <w:spacing w:after="0" w:line="1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220" w:right="1779" w:hanging="107"/>
        <w:spacing w:after="0" w:line="347" w:lineRule="auto"/>
        <w:tabs>
          <w:tab w:leader="none" w:pos="431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TI's ability to compete in products and prices in an intensely competitive industry;</w:t>
      </w:r>
    </w:p>
    <w:p>
      <w:pPr>
        <w:spacing w:after="0" w:line="1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320" w:hanging="207"/>
        <w:spacing w:after="0"/>
        <w:tabs>
          <w:tab w:leader="none" w:pos="320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TI's ability to maintain and enforce a strong intellectual property portfolio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220"/>
        <w:spacing w:after="0"/>
        <w:tabs>
          <w:tab w:leader="none" w:pos="720" w:val="left"/>
          <w:tab w:leader="none" w:pos="1560" w:val="left"/>
          <w:tab w:leader="none" w:pos="2420" w:val="left"/>
          <w:tab w:leader="none" w:pos="3460" w:val="left"/>
          <w:tab w:leader="none" w:pos="4100" w:val="left"/>
          <w:tab w:leader="none" w:pos="48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</w:t>
        <w:tab/>
        <w:t>obtain</w:t>
        <w:tab/>
        <w:t>needed</w:t>
        <w:tab/>
        <w:t>licenses</w:t>
        <w:tab/>
        <w:t>from</w:t>
        <w:tab/>
        <w:t>third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parties;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left="120"/>
        <w:spacing w:after="0"/>
        <w:tabs>
          <w:tab w:leader="none" w:pos="400" w:val="left"/>
          <w:tab w:leader="none" w:pos="1260" w:val="left"/>
          <w:tab w:leader="none" w:pos="2520" w:val="left"/>
          <w:tab w:leader="none" w:pos="3040" w:val="left"/>
          <w:tab w:leader="none" w:pos="4300" w:val="left"/>
          <w:tab w:leader="none" w:pos="56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</w:t>
        <w:tab/>
        <w:t>Timely</w:t>
        <w:tab/>
        <w:t>completion</w:t>
        <w:tab/>
        <w:t>and</w:t>
        <w:tab/>
        <w:t>successful</w:t>
        <w:tab/>
        <w:t>integration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of announced acquisitions;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jc w:val="both"/>
        <w:ind w:left="220" w:right="1779" w:hanging="107"/>
        <w:spacing w:after="0" w:line="289" w:lineRule="auto"/>
        <w:tabs>
          <w:tab w:leader="none" w:pos="325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Global economic, social and political conditions in the countries in which TI and its customers and suppliers operate, including fluctuations in foreign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220"/>
        <w:spacing w:after="0"/>
        <w:tabs>
          <w:tab w:leader="none" w:pos="1260" w:val="left"/>
          <w:tab w:leader="none" w:pos="23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currency</w:t>
        <w:tab/>
        <w:t>exchange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rates;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6"/>
        </w:trPr>
        <w:tc>
          <w:tcPr>
            <w:tcW w:w="200" w:type="dxa"/>
            <w:vAlign w:val="bottom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73"/>
              </w:rPr>
              <w:t>-</w:t>
            </w:r>
          </w:p>
        </w:tc>
        <w:tc>
          <w:tcPr>
            <w:tcW w:w="42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Losses  or  curtailments  of  purchases</w:t>
            </w:r>
          </w:p>
        </w:tc>
        <w:tc>
          <w:tcPr>
            <w:tcW w:w="24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from  key  customers;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05"/>
        </w:trPr>
        <w:tc>
          <w:tcPr>
            <w:tcW w:w="200" w:type="dxa"/>
            <w:vAlign w:val="bottom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73"/>
              </w:rPr>
              <w:t>-</w:t>
            </w:r>
          </w:p>
        </w:tc>
        <w:tc>
          <w:tcPr>
            <w:tcW w:w="42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TI's  ability  to  recruit  and  retain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skilled</w:t>
            </w:r>
          </w:p>
        </w:tc>
        <w:tc>
          <w:tcPr>
            <w:tcW w:w="14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personnel;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and</w:t>
            </w:r>
          </w:p>
        </w:tc>
      </w:tr>
      <w:tr>
        <w:trPr>
          <w:trHeight w:val="405"/>
        </w:trPr>
        <w:tc>
          <w:tcPr>
            <w:tcW w:w="200" w:type="dxa"/>
            <w:vAlign w:val="bottom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73"/>
              </w:rPr>
              <w:t>-</w:t>
            </w:r>
          </w:p>
        </w:tc>
        <w:tc>
          <w:tcPr>
            <w:tcW w:w="42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Availability  of  raw  materials  and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critical</w:t>
            </w:r>
          </w:p>
        </w:tc>
        <w:tc>
          <w:tcPr>
            <w:tcW w:w="1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5"/>
              </w:rPr>
              <w:t>manufacturing</w:t>
            </w:r>
          </w:p>
        </w:tc>
        <w:tc>
          <w:tcPr>
            <w:tcW w:w="12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4"/>
              </w:rPr>
              <w:t>equipment.</w:t>
            </w:r>
          </w:p>
        </w:tc>
      </w:tr>
    </w:tbl>
    <w:p>
      <w:pPr>
        <w:spacing w:after="0" w:line="109" w:lineRule="exact"/>
        <w:rPr>
          <w:sz w:val="20"/>
          <w:szCs w:val="20"/>
          <w:color w:val="auto"/>
        </w:rPr>
      </w:pPr>
    </w:p>
    <w:p>
      <w:pPr>
        <w:jc w:val="both"/>
        <w:ind w:right="1779"/>
        <w:spacing w:after="0" w:line="26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a more detailed discussion of these and other factors, see the text under the heading "Cautionary Statements Regarding Future Results of Operations" in Item 1 of TI's most recent Form 10-K. The forward-looking statements included in this Form 8-K are made only as of the date of this Form 8-K and TI undertakes no obligation to update the forward-looking statements to reflect subsequent events or circumstances.</w:t>
      </w:r>
    </w:p>
    <w:p>
      <w:pPr>
        <w:sectPr>
          <w:pgSz w:w="11900" w:h="16838" w:orient="portrait"/>
          <w:cols w:equalWidth="0" w:num="1">
            <w:col w:w="10219"/>
          </w:cols>
          <w:pgMar w:left="240" w:top="691" w:right="1440" w:bottom="1440" w:gutter="0" w:footer="0" w:header="0"/>
        </w:sectPr>
      </w:pPr>
    </w:p>
    <w:bookmarkStart w:id="3" w:name="page4"/>
    <w:bookmarkEnd w:id="3"/>
    <w:p>
      <w:pPr>
        <w:ind w:left="37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SIGNATURES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jc w:val="both"/>
        <w:ind w:right="1779" w:firstLine="527"/>
        <w:spacing w:after="0" w:line="292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hereunto duly authorized.</w:t>
      </w:r>
    </w:p>
    <w:p>
      <w:pPr>
        <w:spacing w:after="0" w:line="269" w:lineRule="exact"/>
        <w:rPr>
          <w:sz w:val="20"/>
          <w:szCs w:val="20"/>
          <w:color w:val="auto"/>
        </w:rPr>
      </w:pPr>
    </w:p>
    <w:p>
      <w:pPr>
        <w:ind w:left="4320"/>
        <w:spacing w:after="0"/>
        <w:tabs>
          <w:tab w:leader="none" w:pos="5040" w:val="left"/>
          <w:tab w:leader="none" w:pos="64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TEXAS</w:t>
        <w:tab/>
        <w:t>INSTRUMENTS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INCORPORATED</w:t>
      </w:r>
    </w:p>
    <w:p>
      <w:pPr>
        <w:sectPr>
          <w:pgSz w:w="11900" w:h="16838" w:orient="portrait"/>
          <w:cols w:equalWidth="0" w:num="1">
            <w:col w:w="10219"/>
          </w:cols>
          <w:pgMar w:left="240" w:top="1096" w:right="1440" w:bottom="144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720" w:val="left"/>
          <w:tab w:leader="none" w:pos="1780" w:val="left"/>
          <w:tab w:leader="none" w:pos="23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Date:</w:t>
        <w:tab/>
        <w:t>November</w:t>
        <w:tab/>
        <w:t>12,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2001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8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By: /s/ WILLIAM A. AYLESWORTH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3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300"/>
        <w:spacing w:after="0"/>
        <w:tabs>
          <w:tab w:leader="none" w:pos="1240" w:val="left"/>
          <w:tab w:leader="none" w:pos="16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William</w:t>
        <w:tab/>
        <w:t>A.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Aylesworth</w:t>
      </w:r>
    </w:p>
    <w:p>
      <w:pPr>
        <w:ind w:left="300"/>
        <w:spacing w:after="0"/>
        <w:tabs>
          <w:tab w:leader="none" w:pos="1140" w:val="left"/>
          <w:tab w:leader="none" w:pos="17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Senior</w:t>
        <w:tab/>
        <w:t>Vice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President,</w:t>
      </w:r>
    </w:p>
    <w:p>
      <w:pPr>
        <w:ind w:left="300"/>
        <w:spacing w:after="0"/>
        <w:tabs>
          <w:tab w:leader="none" w:pos="14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Treasurer</w:t>
        <w:tab/>
        <w:t>and</w:t>
      </w:r>
    </w:p>
    <w:p>
      <w:pPr>
        <w:ind w:left="300"/>
        <w:spacing w:after="0"/>
        <w:tabs>
          <w:tab w:leader="none" w:pos="102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</w:t>
        <w:tab/>
        <w:t>Financial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Officer</w:t>
      </w:r>
    </w:p>
    <w:sectPr>
      <w:pgSz w:w="11900" w:h="16838" w:orient="portrait"/>
      <w:cols w:equalWidth="0" w:num="2">
        <w:col w:w="3720" w:space="720"/>
        <w:col w:w="5779"/>
      </w:cols>
      <w:pgMar w:left="240" w:top="1096" w:right="1440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25558EC"/>
    <w:multiLevelType w:val="hybridMultilevel"/>
    <w:lvl w:ilvl="0">
      <w:lvlJc w:val="left"/>
      <w:lvlText w:val="-"/>
      <w:numFmt w:val="bullet"/>
      <w:start w:val="1"/>
    </w:lvl>
  </w:abstractNum>
  <w:abstractNum w:abstractNumId="1">
    <w:nsid w:val="238E1F29"/>
    <w:multiLevelType w:val="hybridMultilevel"/>
    <w:lvl w:ilvl="0">
      <w:lvlJc w:val="left"/>
      <w:lvlText w:val="-"/>
      <w:numFmt w:val="bullet"/>
      <w:start w:val="1"/>
    </w:lvl>
  </w:abstractNum>
  <w:abstractNum w:abstractNumId="2">
    <w:nsid w:val="46E87CCD"/>
    <w:multiLevelType w:val="hybridMultilevel"/>
    <w:lvl w:ilvl="0">
      <w:lvlJc w:val="left"/>
      <w:lvlText w:val="-"/>
      <w:numFmt w:val="bullet"/>
      <w:start w:val="1"/>
    </w:lvl>
  </w:abstractNum>
  <w:abstractNum w:abstractNumId="3">
    <w:nsid w:val="3D1B58BA"/>
    <w:multiLevelType w:val="hybridMultilevel"/>
    <w:lvl w:ilvl="0">
      <w:lvlJc w:val="left"/>
      <w:lvlText w:val="-"/>
      <w:numFmt w:val="bullet"/>
      <w:start w:val="1"/>
    </w:lvl>
  </w:abstractNum>
  <w:abstractNum w:abstractNumId="4">
    <w:nsid w:val="507ED7AB"/>
    <w:multiLevelType w:val="hybridMultilevel"/>
    <w:lvl w:ilvl="0">
      <w:lvlJc w:val="left"/>
      <w:lvlText w:val="-"/>
      <w:numFmt w:val="bullet"/>
      <w:start w:val="1"/>
    </w:lvl>
  </w:abstractNum>
  <w:abstractNum w:abstractNumId="5">
    <w:nsid w:val="2EB141F2"/>
    <w:multiLevelType w:val="hybridMultilevel"/>
    <w:lvl w:ilvl="0">
      <w:lvlJc w:val="left"/>
      <w:lvlText w:val="-"/>
      <w:numFmt w:val="bullet"/>
      <w:start w:val="1"/>
    </w:lvl>
  </w:abstractNum>
  <w:abstractNum w:abstractNumId="6">
    <w:nsid w:val="41B71EFB"/>
    <w:multiLevelType w:val="hybridMultilevel"/>
    <w:lvl w:ilvl="0">
      <w:lvlJc w:val="left"/>
      <w:lvlText w:val="-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2019-12-11T18:58:21Z</dcterms:created>
  <dcterms:modified xsi:type="dcterms:W3CDTF">2019-12-11T18:58:21Z</dcterms:modified>
</cp:coreProperties>
</file>