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36"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32" w:lineRule="exact"/>
        <w:rPr>
          <w:sz w:val="24"/>
          <w:szCs w:val="24"/>
          <w:color w:val="auto"/>
        </w:rPr>
      </w:pPr>
    </w:p>
    <w:p>
      <w:pPr>
        <w:ind w:left="660" w:right="2360" w:hanging="652"/>
        <w:spacing w:after="0" w:line="53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June 30, 2010</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306" w:right="239" w:bottom="1440" w:gutter="0" w:footer="0" w:header="0"/>
        </w:sectPr>
      </w:pPr>
    </w:p>
    <w:p>
      <w:pPr>
        <w:spacing w:after="0" w:line="264" w:lineRule="exact"/>
        <w:rPr>
          <w:sz w:val="24"/>
          <w:szCs w:val="24"/>
          <w:color w:val="auto"/>
        </w:rPr>
      </w:pPr>
    </w:p>
    <w:p>
      <w:pPr>
        <w:jc w:val="center"/>
        <w:ind w:left="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2980" w:space="720"/>
            <w:col w:w="7720"/>
          </w:cols>
          <w:pgMar w:left="240" w:top="306" w:right="239" w:bottom="1440" w:gutter="0" w:footer="0" w:header="0"/>
          <w:type w:val="continuous"/>
        </w:sectPr>
      </w:pP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001-03761</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_______________</w:t>
      </w:r>
    </w:p>
    <w:p>
      <w:pPr>
        <w:sectPr>
          <w:pgSz w:w="11900" w:h="16838" w:orient="portrait"/>
          <w:cols w:equalWidth="0" w:num="1">
            <w:col w:w="11420"/>
          </w:cols>
          <w:pgMar w:left="240" w:top="306" w:right="239" w:bottom="1440" w:gutter="0" w:footer="0" w:header="0"/>
          <w:type w:val="continuous"/>
        </w:sect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34"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75-0289970</w:t>
            </w:r>
          </w:p>
        </w:tc>
      </w:t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41"/>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75266-0199</w:t>
            </w:r>
          </w:p>
        </w:tc>
      </w:tr>
      <w:tr>
        <w:trPr>
          <w:trHeight w:val="234"/>
        </w:trPr>
        <w:tc>
          <w:tcPr>
            <w:tcW w:w="5140" w:type="dxa"/>
            <w:vAlign w:val="bottom"/>
          </w:tcPr>
          <w:p>
            <w:pPr>
              <w:jc w:val="center"/>
              <w:ind w:right="10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7"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38" w:lineRule="exact"/>
        <w:rPr>
          <w:sz w:val="24"/>
          <w:szCs w:val="24"/>
          <w:color w:val="auto"/>
        </w:rPr>
      </w:pPr>
    </w:p>
    <w:p>
      <w:pPr>
        <w:ind w:right="42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460"/>
        <w:spacing w:after="0"/>
        <w:rPr>
          <w:sz w:val="20"/>
          <w:szCs w:val="20"/>
          <w:color w:val="auto"/>
        </w:rPr>
      </w:pPr>
      <w:r>
        <w:rPr>
          <w:rFonts w:ascii="Arial" w:cs="Arial" w:eastAsia="Arial" w:hAnsi="Arial"/>
          <w:sz w:val="18"/>
          <w:szCs w:val="18"/>
          <w:color w:val="auto"/>
        </w:rPr>
        <w:t>Yes T  No o</w:t>
      </w:r>
    </w:p>
    <w:p>
      <w:pPr>
        <w:spacing w:after="0" w:line="23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8" w:lineRule="exact"/>
        <w:rPr>
          <w:sz w:val="24"/>
          <w:szCs w:val="24"/>
          <w:color w:val="auto"/>
        </w:rPr>
      </w:pPr>
    </w:p>
    <w:p>
      <w:pPr>
        <w:ind w:left="10460"/>
        <w:spacing w:after="0"/>
        <w:rPr>
          <w:sz w:val="20"/>
          <w:szCs w:val="20"/>
          <w:color w:val="auto"/>
        </w:rPr>
      </w:pPr>
      <w:r>
        <w:rPr>
          <w:rFonts w:ascii="Arial" w:cs="Arial" w:eastAsia="Arial" w:hAnsi="Arial"/>
          <w:sz w:val="18"/>
          <w:szCs w:val="18"/>
          <w:color w:val="auto"/>
        </w:rPr>
        <w:t>Yes T  No o</w:t>
      </w:r>
    </w:p>
    <w:p>
      <w:pPr>
        <w:spacing w:after="0" w:line="252"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80" w:type="dxa"/>
            <w:vAlign w:val="bottom"/>
          </w:tcPr>
          <w:p>
            <w:pPr>
              <w:ind w:left="340"/>
              <w:spacing w:after="0"/>
              <w:rPr>
                <w:sz w:val="20"/>
                <w:szCs w:val="20"/>
                <w:color w:val="auto"/>
              </w:rPr>
            </w:pPr>
            <w:r>
              <w:rPr>
                <w:rFonts w:ascii="Arial" w:cs="Arial" w:eastAsia="Arial" w:hAnsi="Arial"/>
                <w:sz w:val="18"/>
                <w:szCs w:val="18"/>
                <w:color w:val="auto"/>
              </w:rPr>
              <w:t>T</w:t>
            </w:r>
          </w:p>
        </w:tc>
        <w:tc>
          <w:tcPr>
            <w:tcW w:w="5740" w:type="dxa"/>
            <w:vAlign w:val="bottom"/>
          </w:tcPr>
          <w:p>
            <w:pPr>
              <w:spacing w:after="0"/>
              <w:rPr>
                <w:sz w:val="20"/>
                <w:szCs w:val="20"/>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Accelerated filer</w:t>
            </w:r>
          </w:p>
        </w:tc>
        <w:tc>
          <w:tcPr>
            <w:tcW w:w="440" w:type="dxa"/>
            <w:vAlign w:val="bottom"/>
          </w:tcPr>
          <w:p>
            <w:pPr>
              <w:jc w:val="right"/>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680" w:type="dxa"/>
            <w:vAlign w:val="bottom"/>
          </w:tcPr>
          <w:p>
            <w:pPr>
              <w:ind w:left="340"/>
              <w:spacing w:after="0"/>
              <w:rPr>
                <w:sz w:val="20"/>
                <w:szCs w:val="20"/>
                <w:color w:val="auto"/>
              </w:rPr>
            </w:pPr>
            <w:r>
              <w:rPr>
                <w:rFonts w:ascii="Arial" w:cs="Arial" w:eastAsia="Arial" w:hAnsi="Arial"/>
                <w:sz w:val="18"/>
                <w:szCs w:val="18"/>
                <w:color w:val="auto"/>
              </w:rPr>
              <w:t>o</w:t>
            </w:r>
          </w:p>
        </w:tc>
        <w:tc>
          <w:tcPr>
            <w:tcW w:w="5740" w:type="dxa"/>
            <w:vAlign w:val="bottom"/>
          </w:tcPr>
          <w:p>
            <w:pPr>
              <w:ind w:left="240"/>
              <w:spacing w:after="0"/>
              <w:rPr>
                <w:sz w:val="20"/>
                <w:szCs w:val="20"/>
                <w:color w:val="auto"/>
              </w:rPr>
            </w:pPr>
            <w:r>
              <w:rPr>
                <w:rFonts w:ascii="Arial" w:cs="Arial" w:eastAsia="Arial" w:hAnsi="Arial"/>
                <w:sz w:val="18"/>
                <w:szCs w:val="18"/>
                <w:color w:val="auto"/>
              </w:rPr>
              <w:t>(Do not check if a smaller reporting company)</w:t>
            </w:r>
          </w:p>
        </w:tc>
        <w:tc>
          <w:tcPr>
            <w:tcW w:w="2600" w:type="dxa"/>
            <w:vAlign w:val="bottom"/>
          </w:tcPr>
          <w:p>
            <w:pPr>
              <w:ind w:left="20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jc w:val="right"/>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59"/>
        </w:trPr>
        <w:tc>
          <w:tcPr>
            <w:tcW w:w="8380" w:type="dxa"/>
            <w:vAlign w:val="bottom"/>
            <w:gridSpan w:val="3"/>
          </w:tcPr>
          <w:p>
            <w:pPr>
              <w:spacing w:after="0"/>
              <w:rPr>
                <w:sz w:val="20"/>
                <w:szCs w:val="20"/>
                <w:color w:val="auto"/>
              </w:rPr>
            </w:pPr>
            <w:r>
              <w:rPr>
                <w:rFonts w:ascii="Arial" w:cs="Arial" w:eastAsia="Arial" w:hAnsi="Arial"/>
                <w:sz w:val="18"/>
                <w:szCs w:val="18"/>
                <w:color w:val="auto"/>
                <w:w w:val="92"/>
              </w:rPr>
              <w:t>Indicate by check mark whether the registrant is a shell company (as defined in Rule 12b-2 of the Exchange Act).</w:t>
            </w:r>
          </w:p>
        </w:tc>
        <w:tc>
          <w:tcPr>
            <w:tcW w:w="2600" w:type="dxa"/>
            <w:vAlign w:val="bottom"/>
            <w:vMerge w:val="restart"/>
          </w:tcPr>
          <w:p>
            <w:pPr>
              <w:ind w:left="2140"/>
              <w:spacing w:after="0"/>
              <w:rPr>
                <w:sz w:val="20"/>
                <w:szCs w:val="20"/>
                <w:color w:val="auto"/>
              </w:rPr>
            </w:pPr>
            <w:r>
              <w:rPr>
                <w:rFonts w:ascii="Arial" w:cs="Arial" w:eastAsia="Arial" w:hAnsi="Arial"/>
                <w:sz w:val="18"/>
                <w:szCs w:val="18"/>
                <w:color w:val="auto"/>
                <w:w w:val="95"/>
              </w:rPr>
              <w:t>Yes o</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No 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40" w:type="dxa"/>
            <w:vAlign w:val="bottom"/>
            <w:vMerge w:val="restart"/>
          </w:tcPr>
          <w:p>
            <w:pPr>
              <w:jc w:val="center"/>
              <w:ind w:left="330"/>
              <w:spacing w:after="0"/>
              <w:rPr>
                <w:sz w:val="20"/>
                <w:szCs w:val="20"/>
                <w:color w:val="auto"/>
              </w:rPr>
            </w:pPr>
            <w:r>
              <w:rPr>
                <w:rFonts w:ascii="Arial" w:cs="Arial" w:eastAsia="Arial" w:hAnsi="Arial"/>
                <w:sz w:val="18"/>
                <w:szCs w:val="18"/>
                <w:color w:val="auto"/>
                <w:w w:val="90"/>
              </w:rPr>
              <w:t>1,195,195,435</w:t>
            </w:r>
          </w:p>
        </w:tc>
        <w:tc>
          <w:tcPr>
            <w:tcW w:w="260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740" w:type="dxa"/>
            <w:vAlign w:val="bottom"/>
            <w:vMerge w:val="continue"/>
          </w:tcPr>
          <w:p>
            <w:pPr>
              <w:spacing w:after="0"/>
              <w:rPr>
                <w:sz w:val="17"/>
                <w:szCs w:val="17"/>
                <w:color w:val="auto"/>
              </w:rPr>
            </w:pPr>
          </w:p>
        </w:tc>
        <w:tc>
          <w:tcPr>
            <w:tcW w:w="2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40" w:type="dxa"/>
            <w:vAlign w:val="bottom"/>
          </w:tcPr>
          <w:p>
            <w:pPr>
              <w:jc w:val="center"/>
              <w:ind w:left="330"/>
              <w:spacing w:after="0"/>
              <w:rPr>
                <w:sz w:val="20"/>
                <w:szCs w:val="20"/>
                <w:color w:val="auto"/>
              </w:rPr>
            </w:pPr>
            <w:r>
              <w:rPr>
                <w:rFonts w:ascii="Arial" w:cs="Arial" w:eastAsia="Arial" w:hAnsi="Arial"/>
                <w:sz w:val="18"/>
                <w:szCs w:val="18"/>
                <w:color w:val="auto"/>
                <w:w w:val="90"/>
              </w:rPr>
              <w:t>Number of shares of Registrant’s common stock outstanding as of</w:t>
            </w:r>
          </w:p>
        </w:tc>
        <w:tc>
          <w:tcPr>
            <w:tcW w:w="2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740" w:type="dxa"/>
            <w:vAlign w:val="bottom"/>
          </w:tcPr>
          <w:p>
            <w:pPr>
              <w:jc w:val="center"/>
              <w:ind w:left="330"/>
              <w:spacing w:after="0"/>
              <w:rPr>
                <w:sz w:val="20"/>
                <w:szCs w:val="20"/>
                <w:color w:val="auto"/>
              </w:rPr>
            </w:pPr>
            <w:r>
              <w:rPr>
                <w:rFonts w:ascii="Arial" w:cs="Arial" w:eastAsia="Arial" w:hAnsi="Arial"/>
                <w:sz w:val="18"/>
                <w:szCs w:val="18"/>
                <w:color w:val="auto"/>
                <w:w w:val="87"/>
              </w:rPr>
              <w:t>June 30, 2010</w:t>
            </w:r>
          </w:p>
        </w:tc>
        <w:tc>
          <w:tcPr>
            <w:tcW w:w="2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1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960" w:type="dxa"/>
            <w:vAlign w:val="bottom"/>
            <w:shd w:val="clear" w:color="auto" w:fill="808080"/>
          </w:tcPr>
          <w:p>
            <w:pPr>
              <w:spacing w:after="0"/>
              <w:rPr>
                <w:sz w:val="6"/>
                <w:szCs w:val="6"/>
                <w:color w:val="auto"/>
              </w:rPr>
            </w:pPr>
          </w:p>
        </w:tc>
        <w:tc>
          <w:tcPr>
            <w:tcW w:w="680" w:type="dxa"/>
            <w:vAlign w:val="bottom"/>
            <w:shd w:val="clear" w:color="auto" w:fill="808080"/>
          </w:tcPr>
          <w:p>
            <w:pPr>
              <w:spacing w:after="0"/>
              <w:rPr>
                <w:sz w:val="6"/>
                <w:szCs w:val="6"/>
                <w:color w:val="auto"/>
              </w:rPr>
            </w:pPr>
          </w:p>
        </w:tc>
        <w:tc>
          <w:tcPr>
            <w:tcW w:w="5740" w:type="dxa"/>
            <w:vAlign w:val="bottom"/>
            <w:shd w:val="clear" w:color="auto" w:fill="808080"/>
          </w:tcPr>
          <w:p>
            <w:pPr>
              <w:spacing w:after="0"/>
              <w:rPr>
                <w:sz w:val="6"/>
                <w:szCs w:val="6"/>
                <w:color w:val="auto"/>
              </w:rPr>
            </w:pPr>
          </w:p>
        </w:tc>
        <w:tc>
          <w:tcPr>
            <w:tcW w:w="2600" w:type="dxa"/>
            <w:vAlign w:val="bottom"/>
            <w:shd w:val="clear" w:color="auto" w:fill="808080"/>
          </w:tcPr>
          <w:p>
            <w:pPr>
              <w:spacing w:after="0"/>
              <w:rPr>
                <w:sz w:val="6"/>
                <w:szCs w:val="6"/>
                <w:color w:val="auto"/>
              </w:rPr>
            </w:pPr>
          </w:p>
        </w:tc>
        <w:tc>
          <w:tcPr>
            <w:tcW w:w="44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510"/>
        </w:trPr>
        <w:tc>
          <w:tcPr>
            <w:tcW w:w="19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Three Months Ended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For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3,496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Cost of revenue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Restructuring expense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769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1,427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Basic</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Basic</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1,267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1,221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1,272</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1,234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See accompanying notes.</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360" w:type="dxa"/>
            <w:vAlign w:val="bottom"/>
          </w:tcPr>
          <w:p>
            <w:pPr>
              <w:jc w:val="right"/>
              <w:ind w:right="253"/>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7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6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For Three Months Ended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91"/>
              </w:rPr>
              <w:t>For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769</w:t>
            </w:r>
          </w:p>
        </w:tc>
        <w:tc>
          <w:tcPr>
            <w:tcW w:w="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1,427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investments:</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Unrealized gains, net of taxes</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Reclassification of recognized transactions, net of taxes</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Net actuarial gains (losses) of defined benefit plans:</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 net of taxes</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Reclassification of recognized transactions, net of taxes</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Prior service cost of defined benefit plans:</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Adjustment, net of taxes</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Reclassification of recognized transactions, net of taxes</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7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742</w:t>
            </w:r>
          </w:p>
        </w:tc>
        <w:tc>
          <w:tcPr>
            <w:tcW w:w="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1,394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1,138</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($21) and ($23)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6,130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12,164</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542</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Accrued profit sharing and retirement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2,409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Preferred stock, $25 par value. Authorized – 10,000,000 shares. Participating cumulative preferred. None issued.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$1 par value. Authorized – 2,400,000,000 shares. Shares issued: June 30, 2010 -- 1,739,888,675;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1,740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320"/>
              <w:spacing w:after="0"/>
              <w:rPr>
                <w:sz w:val="20"/>
                <w:szCs w:val="20"/>
                <w:color w:val="auto"/>
              </w:rPr>
            </w:pPr>
            <w:r>
              <w:rPr>
                <w:rFonts w:ascii="Arial" w:cs="Arial" w:eastAsia="Arial" w:hAnsi="Arial"/>
                <w:sz w:val="18"/>
                <w:szCs w:val="18"/>
                <w:color w:val="auto"/>
              </w:rPr>
              <w:t>December 31, 2009 -- 1,739,811,721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23,194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treasury common stock at cost.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20"/>
              <w:spacing w:after="0"/>
              <w:rPr>
                <w:sz w:val="20"/>
                <w:szCs w:val="20"/>
                <w:color w:val="auto"/>
              </w:rPr>
            </w:pPr>
            <w:r>
              <w:rPr>
                <w:rFonts w:ascii="Arial" w:cs="Arial" w:eastAsia="Arial" w:hAnsi="Arial"/>
                <w:sz w:val="18"/>
                <w:szCs w:val="18"/>
                <w:color w:val="auto"/>
              </w:rPr>
              <w:t>Shares: June 30, 2010 -- 544,693,240; December 31, 2009 -- 499,693,704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(15,652)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9,755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12,164</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60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91"/>
              </w:rPr>
              <w:t>For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1,427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Adjustments to net income:</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from changes in:</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profit sharing and retirement</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Other</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Redemptions and sales of long-term investments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1,138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ind w:right="-11"/>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332" w:hanging="332"/>
        <w:spacing w:after="0" w:line="277" w:lineRule="auto"/>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Description of business and significant accounting policies and practices</w:t>
      </w:r>
      <w:r>
        <w:rPr>
          <w:rFonts w:ascii="Arial" w:cs="Arial" w:eastAsia="Arial" w:hAnsi="Arial"/>
          <w:sz w:val="18"/>
          <w:szCs w:val="18"/>
          <w:color w:val="auto"/>
        </w:rPr>
        <w:t>. Texas Instruments (TI) designs and makes semiconductors that we sell to electronics designers and manufacturers; about 80,000 customers all over the world buy our products.</w:t>
      </w:r>
    </w:p>
    <w:p>
      <w:pPr>
        <w:spacing w:after="0" w:line="197" w:lineRule="exact"/>
        <w:rPr>
          <w:rFonts w:ascii="Arial" w:cs="Arial" w:eastAsia="Arial" w:hAnsi="Arial"/>
          <w:sz w:val="18"/>
          <w:szCs w:val="18"/>
          <w:color w:val="auto"/>
        </w:rPr>
      </w:pPr>
    </w:p>
    <w:p>
      <w:pPr>
        <w:ind w:left="332"/>
        <w:spacing w:after="0" w:line="287" w:lineRule="auto"/>
        <w:rPr>
          <w:rFonts w:ascii="Arial" w:cs="Arial" w:eastAsia="Arial" w:hAnsi="Arial"/>
          <w:sz w:val="18"/>
          <w:szCs w:val="18"/>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 The consolidated financial statements have been prepared in accordance with accounting principles generally accepted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(U.S. GAAP) and on the same basis as the audited financial statements included in our annual report on Form 10-K for the year ended December 31, 2009. The consolidated statements of income, statements of comprehensive income and statements of cash flows for the periods ended June 30, 2010 and 2009, and the balance sheet as of June 30, 2010, are not audited but reflect all adjustments that are of a normal recurring nature and are necessary for a fair statement of the results of the periods shown. The consolidated balance sheet as of December 31, 2009, presented herein is derived from the audited consolidated b alance sheet presented in our annual report on Form 10-K at that date.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2009. The results for the three-month and six-month periods are not necessarily indicative of a full year’s results.</w:t>
      </w:r>
    </w:p>
    <w:p>
      <w:pPr>
        <w:spacing w:after="0" w:line="199" w:lineRule="exact"/>
        <w:rPr>
          <w:rFonts w:ascii="Arial" w:cs="Arial" w:eastAsia="Arial" w:hAnsi="Arial"/>
          <w:sz w:val="18"/>
          <w:szCs w:val="18"/>
          <w:color w:val="auto"/>
        </w:rPr>
      </w:pPr>
    </w:p>
    <w:p>
      <w:pPr>
        <w:ind w:left="332" w:right="520"/>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w:t>
      </w:r>
    </w:p>
    <w:p>
      <w:pPr>
        <w:spacing w:after="0" w:line="197" w:lineRule="exact"/>
        <w:rPr>
          <w:rFonts w:ascii="Arial" w:cs="Arial" w:eastAsia="Arial" w:hAnsi="Arial"/>
          <w:sz w:val="18"/>
          <w:szCs w:val="18"/>
          <w:color w:val="auto"/>
        </w:rPr>
      </w:pPr>
    </w:p>
    <w:p>
      <w:pPr>
        <w:ind w:left="332" w:right="320"/>
        <w:spacing w:after="0" w:line="277" w:lineRule="auto"/>
        <w:rPr>
          <w:rFonts w:ascii="Arial" w:cs="Arial" w:eastAsia="Arial" w:hAnsi="Arial"/>
          <w:sz w:val="18"/>
          <w:szCs w:val="18"/>
          <w:color w:val="auto"/>
        </w:rPr>
      </w:pPr>
      <w:r>
        <w:rPr>
          <w:rFonts w:ascii="Arial" w:cs="Arial" w:eastAsia="Arial" w:hAnsi="Arial"/>
          <w:sz w:val="18"/>
          <w:szCs w:val="18"/>
          <w:color w:val="auto"/>
        </w:rPr>
        <w:t>All dollar amounts in the financial statements and tables in the notes, except share and per-share amounts, are stated in millions of U.S. dollars unless otherwise indicated.</w:t>
      </w:r>
    </w:p>
    <w:p>
      <w:pPr>
        <w:spacing w:after="0" w:line="197" w:lineRule="exact"/>
        <w:rPr>
          <w:rFonts w:ascii="Arial" w:cs="Arial" w:eastAsia="Arial" w:hAnsi="Arial"/>
          <w:sz w:val="18"/>
          <w:szCs w:val="18"/>
          <w:color w:val="auto"/>
        </w:rPr>
      </w:pPr>
    </w:p>
    <w:p>
      <w:pPr>
        <w:ind w:left="332" w:right="50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In the second quarter of 2009, we acquired Luminary Micro for net cash of $51 million and other consideration of $7 million. These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were integrated into our Embedded Processing segment.</w:t>
      </w:r>
    </w:p>
    <w:p>
      <w:pPr>
        <w:spacing w:after="0" w:line="197" w:lineRule="exact"/>
        <w:rPr>
          <w:rFonts w:ascii="Arial" w:cs="Arial" w:eastAsia="Arial" w:hAnsi="Arial"/>
          <w:sz w:val="18"/>
          <w:szCs w:val="18"/>
          <w:color w:val="auto"/>
        </w:rPr>
      </w:pPr>
    </w:p>
    <w:p>
      <w:pPr>
        <w:ind w:left="332" w:right="700"/>
        <w:spacing w:after="0" w:line="277" w:lineRule="auto"/>
        <w:rPr>
          <w:rFonts w:ascii="Arial" w:cs="Arial" w:eastAsia="Arial" w:hAnsi="Arial"/>
          <w:sz w:val="18"/>
          <w:szCs w:val="18"/>
          <w:color w:val="auto"/>
        </w:rPr>
      </w:pPr>
      <w:r>
        <w:rPr>
          <w:rFonts w:ascii="Arial" w:cs="Arial" w:eastAsia="Arial" w:hAnsi="Arial"/>
          <w:sz w:val="18"/>
          <w:szCs w:val="18"/>
          <w:color w:val="auto"/>
        </w:rPr>
        <w:t>In the first quarter of 2009, we acquired CICLON Semiconductor Device Corporation for net cash of $104 million and other consideration of $7 million. These operations were integrated into our Analog segment.</w:t>
      </w:r>
    </w:p>
    <w:p>
      <w:pPr>
        <w:spacing w:after="0" w:line="197"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The results of operations of these acquisitions have been included in our financial statements from their respective acquisition dates.</w:t>
      </w:r>
    </w:p>
    <w:p>
      <w:pPr>
        <w:spacing w:after="0" w:line="252" w:lineRule="exact"/>
        <w:rPr>
          <w:rFonts w:ascii="Arial" w:cs="Arial" w:eastAsia="Arial" w:hAnsi="Arial"/>
          <w:sz w:val="18"/>
          <w:szCs w:val="18"/>
          <w:color w:val="auto"/>
        </w:rPr>
      </w:pPr>
    </w:p>
    <w:p>
      <w:pPr>
        <w:ind w:left="332" w:right="40"/>
        <w:spacing w:after="0" w:line="276" w:lineRule="auto"/>
        <w:rPr>
          <w:rFonts w:ascii="Arial" w:cs="Arial" w:eastAsia="Arial" w:hAnsi="Arial"/>
          <w:sz w:val="18"/>
          <w:szCs w:val="18"/>
          <w:color w:val="auto"/>
        </w:rPr>
      </w:pPr>
      <w:r>
        <w:rPr>
          <w:rFonts w:ascii="Arial" w:cs="Arial" w:eastAsia="Arial" w:hAnsi="Arial"/>
          <w:sz w:val="17"/>
          <w:szCs w:val="17"/>
          <w:i w:val="1"/>
          <w:iCs w:val="1"/>
          <w:color w:val="auto"/>
        </w:rPr>
        <w:t xml:space="preserve">Use of Derivatives and Hedging </w:t>
      </w:r>
      <w:r>
        <w:rPr>
          <w:rFonts w:ascii="Arial" w:cs="Arial" w:eastAsia="Arial" w:hAnsi="Arial"/>
          <w:sz w:val="17"/>
          <w:szCs w:val="17"/>
          <w:color w:val="auto"/>
        </w:rPr>
        <w:t>– We use derivative financial instruments to manage exposure to foreign exchange risk. These instruments are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forward foreign currency exchange contracts that are used as economic hedges to reduce the earnings impact exchange rate fluctuations may have on our non-U.S. dollar net balance sheet exposures or for specified non-U.S. dollar forecasted transactions. Gains and losses from changes in the fair value of these forward foreign currency exchange contracts are credited or charged to other income (expense) net (OI&amp;E). We do not use derivatives for speculative or trading purposes. We do not apply hedge accounting to our foreign currency derivative instruments.</w:t>
      </w:r>
    </w:p>
    <w:p>
      <w:pPr>
        <w:spacing w:after="0" w:line="199" w:lineRule="exact"/>
        <w:rPr>
          <w:rFonts w:ascii="Arial" w:cs="Arial" w:eastAsia="Arial" w:hAnsi="Arial"/>
          <w:sz w:val="18"/>
          <w:szCs w:val="18"/>
          <w:color w:val="auto"/>
        </w:rPr>
      </w:pPr>
    </w:p>
    <w:p>
      <w:pPr>
        <w:ind w:left="332" w:right="10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Fair Values of Financial Instruments </w:t>
      </w:r>
      <w:r>
        <w:rPr>
          <w:rFonts w:ascii="Arial" w:cs="Arial" w:eastAsia="Arial" w:hAnsi="Arial"/>
          <w:sz w:val="18"/>
          <w:szCs w:val="18"/>
          <w:color w:val="auto"/>
        </w:rPr>
        <w:t>– The fair values of our derivative financial instruments were not significant at June 30, 2010. Our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short-term investments and certain long-term investments are carried at fair value and are discussed in Note 5. The carrying values for other current financial assets and liabilities, such as accounts receivable and accounts payable, approximate fair value due to the short maturity of such instruments.</w:t>
      </w:r>
    </w:p>
    <w:p>
      <w:pPr>
        <w:spacing w:after="0" w:line="358"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6" w:name="page7"/>
    <w:bookmarkEnd w:id="6"/>
    <w:p>
      <w:pPr>
        <w:ind w:left="340" w:right="20"/>
        <w:spacing w:after="0" w:line="271" w:lineRule="auto"/>
        <w:rPr>
          <w:sz w:val="20"/>
          <w:szCs w:val="20"/>
          <w:color w:val="auto"/>
        </w:rPr>
      </w:pPr>
      <w:r>
        <w:rPr>
          <w:rFonts w:ascii="Arial" w:cs="Arial" w:eastAsia="Arial" w:hAnsi="Arial"/>
          <w:sz w:val="17"/>
          <w:szCs w:val="17"/>
          <w:i w:val="1"/>
          <w:iCs w:val="1"/>
          <w:color w:val="auto"/>
        </w:rPr>
        <w:t xml:space="preserve">Changes in Accounting Standards </w:t>
      </w:r>
      <w:r>
        <w:rPr>
          <w:rFonts w:ascii="Arial" w:cs="Arial" w:eastAsia="Arial" w:hAnsi="Arial"/>
          <w:sz w:val="17"/>
          <w:szCs w:val="17"/>
          <w:color w:val="auto"/>
        </w:rPr>
        <w:t>– In January 2010, the Financial Accounting Standards Board (FASB) issued Accounting Standards Update (ASU) No.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2010 - 06 – </w:t>
      </w:r>
      <w:r>
        <w:rPr>
          <w:rFonts w:ascii="Arial" w:cs="Arial" w:eastAsia="Arial" w:hAnsi="Arial"/>
          <w:sz w:val="17"/>
          <w:szCs w:val="17"/>
          <w:i w:val="1"/>
          <w:iCs w:val="1"/>
          <w:color w:val="auto"/>
        </w:rPr>
        <w:t>Fair Value Measurements and Disclosures (Topic 820): Improving Disclosures about Fair Value Measurements</w:t>
      </w:r>
      <w:r>
        <w:rPr>
          <w:rFonts w:ascii="Arial" w:cs="Arial" w:eastAsia="Arial" w:hAnsi="Arial"/>
          <w:sz w:val="17"/>
          <w:szCs w:val="17"/>
          <w:color w:val="auto"/>
        </w:rPr>
        <w:t>. This standard amends the disclosure guidance with respect to fair value measurements for both interim and annual reporting periods. Specifically, this standard requires new disclosures for significant transfers of assets or liabilities between Level 1 and Level 2 in the fair value hierarchy; separate disclosures for purchases, sales, issuance and settlements of Level 3 fair value items on a gross, rather than net basis; and more robust disclosure of the valuation techniques and inputs used to measure Level 2 and Level 3 assets and liabilities. Except for the detailed disclosures of changes in Level 3 items, which will be effective for us as of January 1, 2011, the remaining new disclosure requirements were effective for us as of January 1, 2010. We have included these new disclosures, as applicable, in Note 5.</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April 2010, the FASB issued ASU No. 2010 - 17 – </w:t>
      </w:r>
      <w:r>
        <w:rPr>
          <w:rFonts w:ascii="Arial" w:cs="Arial" w:eastAsia="Arial" w:hAnsi="Arial"/>
          <w:sz w:val="16"/>
          <w:szCs w:val="16"/>
          <w:i w:val="1"/>
          <w:iCs w:val="1"/>
          <w:color w:val="auto"/>
        </w:rPr>
        <w:t>Revenue Recognition - Milestone Method (Topic 605): Milestone Method of Revenue Recognition</w:t>
      </w:r>
      <w:r>
        <w:rPr>
          <w:rFonts w:ascii="Arial" w:cs="Arial" w:eastAsia="Arial" w:hAnsi="Arial"/>
          <w:sz w:val="16"/>
          <w:szCs w:val="16"/>
          <w:color w:val="auto"/>
        </w:rPr>
        <w: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standard provides guidance on defining a milestone and determining when it may be appropriate to apply the milestone method of revenue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recognition for certain research and development transactions. Under this new standard, a company can recognize as revenue consideration that is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contingent upon achievement of a milestone in the period in which it is achieved, only if the milestone meets all criteria to be considered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substantive. This standard will be effective for us on a prospective basis for periods beginning after January 1, 2011. We have evaluated the potential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impact of this standard and expect it will have no significant impact on our financial position or results of operations.</w:t>
      </w:r>
    </w:p>
    <w:p>
      <w:pPr>
        <w:spacing w:after="0" w:line="200" w:lineRule="exact"/>
        <w:rPr>
          <w:sz w:val="20"/>
          <w:szCs w:val="20"/>
          <w:color w:val="auto"/>
        </w:rPr>
      </w:pPr>
    </w:p>
    <w:p>
      <w:pPr>
        <w:spacing w:after="0" w:line="281" w:lineRule="exact"/>
        <w:rPr>
          <w:sz w:val="20"/>
          <w:szCs w:val="20"/>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Restructuring activities</w:t>
      </w:r>
      <w:r>
        <w:rPr>
          <w:rFonts w:ascii="Arial" w:cs="Arial" w:eastAsia="Arial" w:hAnsi="Arial"/>
          <w:sz w:val="18"/>
          <w:szCs w:val="18"/>
          <w:color w:val="auto"/>
        </w:rPr>
        <w:t>. In October 2008, we announced actions to reduce expenses in our Wireless segment, especially our baseband operation. In January 2009, we announced actions that included broad-based employment reductions to align our spending with weakened demand. Combined, these actions eliminated about 3,900 jobs; they were completed in 2009.</w:t>
      </w:r>
    </w:p>
    <w:p>
      <w:pPr>
        <w:spacing w:after="0" w:line="20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table below reflects the changes in accrued restructuring balances associated with these actions: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Impairments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Severance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and Other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Benefits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Charges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Remaining accrual at December 31, 2009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Non-cash charges</w:t>
            </w: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Remaining accrual at June 30, 2010</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Reflects postretirement benefit plan settlement charges.</w:t>
      </w:r>
    </w:p>
    <w:p>
      <w:pPr>
        <w:spacing w:after="0" w:line="252" w:lineRule="exact"/>
        <w:rPr>
          <w:sz w:val="20"/>
          <w:szCs w:val="20"/>
          <w:color w:val="auto"/>
        </w:rPr>
      </w:pPr>
    </w:p>
    <w:p>
      <w:pPr>
        <w:ind w:left="340" w:right="420"/>
        <w:spacing w:after="0" w:line="277" w:lineRule="auto"/>
        <w:rPr>
          <w:sz w:val="20"/>
          <w:szCs w:val="20"/>
          <w:color w:val="auto"/>
        </w:rPr>
      </w:pPr>
      <w:r>
        <w:rPr>
          <w:rFonts w:ascii="Arial" w:cs="Arial" w:eastAsia="Arial" w:hAnsi="Arial"/>
          <w:sz w:val="18"/>
          <w:szCs w:val="18"/>
          <w:color w:val="auto"/>
        </w:rPr>
        <w:t>The accrual balances above are a component of Accrued expenses and other liabilities or Deferred credits and other liabilities on our balance sheets, depending on the expected timing of payment.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Restructuring expense recognized by segment from the actions above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0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For Three Months Ended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6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w w:val="99"/>
              </w:rPr>
              <w:t>June 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For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32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w:t>
            </w:r>
          </w:p>
        </w:tc>
        <w:tc>
          <w:tcPr>
            <w:tcW w:w="1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Embedded Processing</w:t>
            </w:r>
          </w:p>
        </w:tc>
        <w:tc>
          <w:tcPr>
            <w:tcW w:w="2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2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w:t>
            </w:r>
          </w:p>
        </w:tc>
        <w:tc>
          <w:tcPr>
            <w:tcW w:w="2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1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3620" w:type="dxa"/>
            <w:vAlign w:val="bottom"/>
            <w:tcBorders>
              <w:top w:val="single" w:sz="8" w:color="CCEEFF"/>
            </w:tcBorders>
          </w:tcPr>
          <w:p>
            <w:pPr>
              <w:spacing w:after="0"/>
              <w:rPr>
                <w:sz w:val="24"/>
                <w:szCs w:val="24"/>
                <w:color w:val="auto"/>
              </w:rPr>
            </w:pPr>
          </w:p>
        </w:tc>
        <w:tc>
          <w:tcPr>
            <w:tcW w:w="2440" w:type="dxa"/>
            <w:vAlign w:val="bottom"/>
            <w:tcBorders>
              <w:top w:val="single" w:sz="8" w:color="CCEEFF"/>
            </w:tcBorders>
          </w:tcPr>
          <w:p>
            <w:pPr>
              <w:jc w:val="right"/>
              <w:ind w:right="256"/>
              <w:spacing w:after="0"/>
              <w:rPr>
                <w:sz w:val="20"/>
                <w:szCs w:val="20"/>
                <w:color w:val="auto"/>
              </w:rPr>
            </w:pPr>
            <w:r>
              <w:rPr>
                <w:rFonts w:ascii="Arial" w:cs="Arial" w:eastAsia="Arial" w:hAnsi="Arial"/>
                <w:sz w:val="14"/>
                <w:szCs w:val="14"/>
                <w:color w:val="auto"/>
              </w:rPr>
              <w:t>7</w:t>
            </w:r>
          </w:p>
        </w:tc>
        <w:tc>
          <w:tcPr>
            <w:tcW w:w="8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20" w:type="dxa"/>
            <w:vAlign w:val="bottom"/>
            <w:tcBorders>
              <w:bottom w:val="single" w:sz="8" w:color="808080"/>
            </w:tcBorders>
          </w:tcPr>
          <w:p>
            <w:pPr>
              <w:spacing w:after="0"/>
              <w:rPr>
                <w:sz w:val="8"/>
                <w:szCs w:val="8"/>
                <w:color w:val="auto"/>
              </w:rPr>
            </w:pPr>
          </w:p>
        </w:tc>
        <w:tc>
          <w:tcPr>
            <w:tcW w:w="24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both"/>
        <w:ind w:left="340" w:right="30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Federal income taxes for the interim periods presented have been included in the accompanying financial statements on the basis of an estimated annual effective tax rate. The rate is based on current tax law and for 2010 does not assume reinstatement of the federal research tax credit, which expired at the end of 2009. As of June 30, 2010, the estimated annual effective tax rate for 2010 is about 31 percent, which differs from the 35 percent statutory corporate tax rate primarily due to the effects of non-U.S. tax rates.</w:t>
      </w: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340" w:right="18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Unvested awards of share-based payments with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21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Computation and reconciliation of earnings per common share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w w:val="92"/>
              </w:rPr>
              <w:t>For Three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2"/>
              </w:rPr>
              <w:t>For 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 2010</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 2009</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Income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9"/>
                <w:szCs w:val="19"/>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Income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3340" w:type="dxa"/>
            <w:vAlign w:val="bottom"/>
            <w:gridSpan w:val="4"/>
          </w:tcPr>
          <w:p>
            <w:pPr>
              <w:spacing w:after="0"/>
              <w:rPr>
                <w:sz w:val="20"/>
                <w:szCs w:val="20"/>
                <w:color w:val="auto"/>
              </w:rPr>
            </w:pPr>
            <w:r>
              <w:rPr>
                <w:rFonts w:ascii="Arial" w:cs="Arial" w:eastAsia="Arial" w:hAnsi="Arial"/>
                <w:sz w:val="18"/>
                <w:szCs w:val="18"/>
                <w:i w:val="1"/>
                <w:iCs w:val="1"/>
                <w:color w:val="auto"/>
              </w:rPr>
              <w:t>Basic EPS:</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769</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Less income allocated to RSUs</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Income allocated to common stock for basic</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758</w:t>
            </w:r>
          </w:p>
        </w:tc>
        <w:tc>
          <w:tcPr>
            <w:tcW w:w="240" w:type="dxa"/>
            <w:vAlign w:val="bottom"/>
            <w:vMerge w:val="restart"/>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1,208</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EPS calculation</w:t>
            </w:r>
          </w:p>
        </w:tc>
        <w:tc>
          <w:tcPr>
            <w:tcW w:w="180" w:type="dxa"/>
            <w:vAlign w:val="bottom"/>
            <w:vMerge w:val="continue"/>
            <w:shd w:val="clear" w:color="auto" w:fill="CCEEFF"/>
          </w:tcPr>
          <w:p>
            <w:pPr>
              <w:spacing w:after="0"/>
              <w:rPr>
                <w:sz w:val="23"/>
                <w:szCs w:val="23"/>
                <w:color w:val="auto"/>
              </w:rPr>
            </w:pPr>
          </w:p>
        </w:tc>
        <w:tc>
          <w:tcPr>
            <w:tcW w:w="980" w:type="dxa"/>
            <w:vAlign w:val="bottom"/>
            <w:vMerge w:val="continue"/>
            <w:shd w:val="clear" w:color="auto" w:fill="CCEEFF"/>
          </w:tcPr>
          <w:p>
            <w:pPr>
              <w:spacing w:after="0"/>
              <w:rPr>
                <w:sz w:val="23"/>
                <w:szCs w:val="23"/>
                <w:color w:val="auto"/>
              </w:rPr>
            </w:pPr>
          </w:p>
        </w:tc>
        <w:tc>
          <w:tcPr>
            <w:tcW w:w="240" w:type="dxa"/>
            <w:vAlign w:val="bottom"/>
            <w:vMerge w:val="continue"/>
            <w:shd w:val="clear" w:color="auto" w:fill="CCEEFF"/>
          </w:tcPr>
          <w:p>
            <w:pPr>
              <w:spacing w:after="0"/>
              <w:rPr>
                <w:sz w:val="23"/>
                <w:szCs w:val="23"/>
                <w:color w:val="auto"/>
              </w:rPr>
            </w:pPr>
          </w:p>
        </w:tc>
        <w:tc>
          <w:tcPr>
            <w:tcW w:w="1380" w:type="dxa"/>
            <w:vAlign w:val="bottom"/>
            <w:gridSpan w:val="2"/>
            <w:vMerge w:val="continue"/>
            <w:shd w:val="clear" w:color="auto" w:fill="CCEEFF"/>
          </w:tcPr>
          <w:p>
            <w:pPr>
              <w:spacing w:after="0"/>
              <w:rPr>
                <w:sz w:val="23"/>
                <w:szCs w:val="23"/>
                <w:color w:val="auto"/>
              </w:rPr>
            </w:pPr>
          </w:p>
        </w:tc>
        <w:tc>
          <w:tcPr>
            <w:tcW w:w="280" w:type="dxa"/>
            <w:vAlign w:val="bottom"/>
            <w:vMerge w:val="continue"/>
            <w:shd w:val="clear" w:color="auto" w:fill="CCEEFF"/>
          </w:tcPr>
          <w:p>
            <w:pPr>
              <w:spacing w:after="0"/>
              <w:rPr>
                <w:sz w:val="23"/>
                <w:szCs w:val="23"/>
                <w:color w:val="auto"/>
              </w:rPr>
            </w:pPr>
          </w:p>
        </w:tc>
        <w:tc>
          <w:tcPr>
            <w:tcW w:w="960" w:type="dxa"/>
            <w:vAlign w:val="bottom"/>
            <w:gridSpan w:val="2"/>
            <w:vMerge w:val="continue"/>
            <w:shd w:val="clear" w:color="auto" w:fill="CCEEFF"/>
          </w:tcPr>
          <w:p>
            <w:pPr>
              <w:spacing w:after="0"/>
              <w:rPr>
                <w:sz w:val="23"/>
                <w:szCs w:val="2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 for dilutive shares: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Stock-based compensation plans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Arial" w:cs="Arial" w:eastAsia="Arial" w:hAnsi="Arial"/>
                <w:sz w:val="18"/>
                <w:szCs w:val="18"/>
                <w:i w:val="1"/>
                <w:iCs w:val="1"/>
                <w:color w:val="auto"/>
              </w:rPr>
              <w:t>Diluted EPS: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769</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Less income allocated to RSUs</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Income allocated to common stock for</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758</w:t>
            </w:r>
          </w:p>
        </w:tc>
        <w:tc>
          <w:tcPr>
            <w:tcW w:w="240" w:type="dxa"/>
            <w:vAlign w:val="bottom"/>
            <w:vMerge w:val="restart"/>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1,221</w:t>
            </w:r>
          </w:p>
        </w:tc>
        <w:tc>
          <w:tcPr>
            <w:tcW w:w="220" w:type="dxa"/>
            <w:vAlign w:val="bottom"/>
            <w:vMerge w:val="restart"/>
            <w:shd w:val="clear" w:color="auto" w:fill="CCEEFF"/>
          </w:tcPr>
          <w:p>
            <w:pPr>
              <w:spacing w:after="0"/>
              <w:rPr>
                <w:sz w:val="17"/>
                <w:szCs w:val="17"/>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diluted EPS calculation</w:t>
            </w:r>
          </w:p>
        </w:tc>
        <w:tc>
          <w:tcPr>
            <w:tcW w:w="18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5"/>
          </w:tcPr>
          <w:p>
            <w:pPr>
              <w:jc w:val="center"/>
              <w:ind w:left="570"/>
              <w:spacing w:after="0"/>
              <w:rPr>
                <w:sz w:val="20"/>
                <w:szCs w:val="20"/>
                <w:color w:val="auto"/>
              </w:rPr>
            </w:pPr>
            <w:r>
              <w:rPr>
                <w:rFonts w:ascii="Arial" w:cs="Arial" w:eastAsia="Arial" w:hAnsi="Arial"/>
                <w:sz w:val="18"/>
                <w:szCs w:val="18"/>
                <w:b w:val="1"/>
                <w:bCs w:val="1"/>
                <w:color w:val="auto"/>
                <w:w w:val="91"/>
              </w:rPr>
              <w:t>For Six Months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1"/>
              </w:rPr>
              <w:t>For Six Months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 2010</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 2009</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Income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9"/>
                <w:szCs w:val="19"/>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Income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3340" w:type="dxa"/>
            <w:vAlign w:val="bottom"/>
            <w:gridSpan w:val="4"/>
          </w:tcPr>
          <w:p>
            <w:pPr>
              <w:spacing w:after="0"/>
              <w:rPr>
                <w:sz w:val="20"/>
                <w:szCs w:val="20"/>
                <w:color w:val="auto"/>
              </w:rPr>
            </w:pPr>
            <w:r>
              <w:rPr>
                <w:rFonts w:ascii="Arial" w:cs="Arial" w:eastAsia="Arial" w:hAnsi="Arial"/>
                <w:sz w:val="18"/>
                <w:szCs w:val="18"/>
                <w:i w:val="1"/>
                <w:iCs w:val="1"/>
                <w:color w:val="auto"/>
              </w:rPr>
              <w:t>Basic EPS:</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1,427</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Less income allocated to RSUs</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Income allocated to common stock for basic</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1,408</w:t>
            </w:r>
          </w:p>
        </w:tc>
        <w:tc>
          <w:tcPr>
            <w:tcW w:w="240" w:type="dxa"/>
            <w:vAlign w:val="bottom"/>
            <w:vMerge w:val="restart"/>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1,221</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EPS calculation</w:t>
            </w:r>
          </w:p>
        </w:tc>
        <w:tc>
          <w:tcPr>
            <w:tcW w:w="180" w:type="dxa"/>
            <w:vAlign w:val="bottom"/>
            <w:vMerge w:val="continue"/>
            <w:shd w:val="clear" w:color="auto" w:fill="CCEEFF"/>
          </w:tcPr>
          <w:p>
            <w:pPr>
              <w:spacing w:after="0"/>
              <w:rPr>
                <w:sz w:val="23"/>
                <w:szCs w:val="23"/>
                <w:color w:val="auto"/>
              </w:rPr>
            </w:pPr>
          </w:p>
        </w:tc>
        <w:tc>
          <w:tcPr>
            <w:tcW w:w="980" w:type="dxa"/>
            <w:vAlign w:val="bottom"/>
            <w:vMerge w:val="continue"/>
            <w:shd w:val="clear" w:color="auto" w:fill="CCEEFF"/>
          </w:tcPr>
          <w:p>
            <w:pPr>
              <w:spacing w:after="0"/>
              <w:rPr>
                <w:sz w:val="23"/>
                <w:szCs w:val="23"/>
                <w:color w:val="auto"/>
              </w:rPr>
            </w:pPr>
          </w:p>
        </w:tc>
        <w:tc>
          <w:tcPr>
            <w:tcW w:w="240" w:type="dxa"/>
            <w:vAlign w:val="bottom"/>
            <w:vMerge w:val="continue"/>
            <w:shd w:val="clear" w:color="auto" w:fill="CCEEFF"/>
          </w:tcPr>
          <w:p>
            <w:pPr>
              <w:spacing w:after="0"/>
              <w:rPr>
                <w:sz w:val="23"/>
                <w:szCs w:val="23"/>
                <w:color w:val="auto"/>
              </w:rPr>
            </w:pPr>
          </w:p>
        </w:tc>
        <w:tc>
          <w:tcPr>
            <w:tcW w:w="1380" w:type="dxa"/>
            <w:vAlign w:val="bottom"/>
            <w:gridSpan w:val="2"/>
            <w:vMerge w:val="continue"/>
            <w:shd w:val="clear" w:color="auto" w:fill="CCEEFF"/>
          </w:tcPr>
          <w:p>
            <w:pPr>
              <w:spacing w:after="0"/>
              <w:rPr>
                <w:sz w:val="23"/>
                <w:szCs w:val="23"/>
                <w:color w:val="auto"/>
              </w:rPr>
            </w:pPr>
          </w:p>
        </w:tc>
        <w:tc>
          <w:tcPr>
            <w:tcW w:w="280" w:type="dxa"/>
            <w:vAlign w:val="bottom"/>
            <w:vMerge w:val="continue"/>
            <w:shd w:val="clear" w:color="auto" w:fill="CCEEFF"/>
          </w:tcPr>
          <w:p>
            <w:pPr>
              <w:spacing w:after="0"/>
              <w:rPr>
                <w:sz w:val="23"/>
                <w:szCs w:val="23"/>
                <w:color w:val="auto"/>
              </w:rPr>
            </w:pPr>
          </w:p>
        </w:tc>
        <w:tc>
          <w:tcPr>
            <w:tcW w:w="960" w:type="dxa"/>
            <w:vAlign w:val="bottom"/>
            <w:gridSpan w:val="2"/>
            <w:vMerge w:val="continue"/>
            <w:shd w:val="clear" w:color="auto" w:fill="CCEEFF"/>
          </w:tcPr>
          <w:p>
            <w:pPr>
              <w:spacing w:after="0"/>
              <w:rPr>
                <w:sz w:val="23"/>
                <w:szCs w:val="2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 for dilutive shares: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Stock-based compensation plans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Arial" w:cs="Arial" w:eastAsia="Arial" w:hAnsi="Arial"/>
                <w:sz w:val="18"/>
                <w:szCs w:val="18"/>
                <w:i w:val="1"/>
                <w:iCs w:val="1"/>
                <w:color w:val="auto"/>
              </w:rPr>
              <w:t>Diluted EPS: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1,427</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Less income allocated to RSUs</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Income allocated to common stock for</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1,408</w:t>
            </w:r>
          </w:p>
        </w:tc>
        <w:tc>
          <w:tcPr>
            <w:tcW w:w="240" w:type="dxa"/>
            <w:vAlign w:val="bottom"/>
            <w:vMerge w:val="restart"/>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1,234</w:t>
            </w:r>
          </w:p>
        </w:tc>
        <w:tc>
          <w:tcPr>
            <w:tcW w:w="220" w:type="dxa"/>
            <w:vAlign w:val="bottom"/>
            <w:vMerge w:val="restart"/>
            <w:shd w:val="clear" w:color="auto" w:fill="CCEEFF"/>
          </w:tcPr>
          <w:p>
            <w:pPr>
              <w:spacing w:after="0"/>
              <w:rPr>
                <w:sz w:val="17"/>
                <w:szCs w:val="17"/>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diluted EPS calculation</w:t>
            </w:r>
          </w:p>
        </w:tc>
        <w:tc>
          <w:tcPr>
            <w:tcW w:w="18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180"/>
        <w:spacing w:after="0" w:line="259" w:lineRule="auto"/>
        <w:rPr>
          <w:sz w:val="20"/>
          <w:szCs w:val="20"/>
          <w:color w:val="auto"/>
        </w:rPr>
      </w:pPr>
      <w:r>
        <w:rPr>
          <w:rFonts w:ascii="Arial" w:cs="Arial" w:eastAsia="Arial" w:hAnsi="Arial"/>
          <w:sz w:val="18"/>
          <w:szCs w:val="18"/>
          <w:color w:val="auto"/>
        </w:rPr>
        <w:t>Options to purchase 97 million and 139 million shares of common stock that were outstanding during the second quarters of 2010 and 2009, and 97 million and 140 million shares outstanding during the six months of 2010 and 2009, respectively, were not included in the computation of diluted earnings per share because their exercise price was greater than the average market price of the common shares and, therefore, the effect would be anti-dilutive.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ind w:left="332" w:right="6480" w:hanging="332"/>
        <w:spacing w:after="0" w:line="532"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Debt and equity investments</w:t>
      </w:r>
    </w:p>
    <w:p>
      <w:pPr>
        <w:ind w:left="332"/>
        <w:spacing w:after="0"/>
        <w:rPr>
          <w:rFonts w:ascii="Arial" w:cs="Arial" w:eastAsia="Arial" w:hAnsi="Arial"/>
          <w:sz w:val="18"/>
          <w:szCs w:val="18"/>
          <w:color w:val="auto"/>
        </w:rPr>
      </w:pPr>
      <w:r>
        <w:rPr>
          <w:rFonts w:ascii="Arial" w:cs="Arial" w:eastAsia="Arial" w:hAnsi="Arial"/>
          <w:sz w:val="16"/>
          <w:szCs w:val="16"/>
          <w:color w:val="auto"/>
        </w:rPr>
        <w:t>We classify our investments as available-for-sale, trading, equity method or cost method. Most of our investments are classified as available-for-sale.</w:t>
      </w:r>
    </w:p>
    <w:p>
      <w:pPr>
        <w:spacing w:after="0" w:line="275" w:lineRule="exact"/>
        <w:rPr>
          <w:rFonts w:ascii="Arial" w:cs="Arial" w:eastAsia="Arial" w:hAnsi="Arial"/>
          <w:sz w:val="18"/>
          <w:szCs w:val="18"/>
          <w:color w:val="auto"/>
        </w:rPr>
      </w:pPr>
    </w:p>
    <w:p>
      <w:pPr>
        <w:ind w:left="332" w:right="40"/>
        <w:spacing w:after="0" w:line="259" w:lineRule="auto"/>
        <w:rPr>
          <w:rFonts w:ascii="Arial" w:cs="Arial" w:eastAsia="Arial" w:hAnsi="Arial"/>
          <w:sz w:val="18"/>
          <w:szCs w:val="18"/>
          <w:color w:val="auto"/>
        </w:rPr>
      </w:pPr>
      <w:r>
        <w:rPr>
          <w:rFonts w:ascii="Arial" w:cs="Arial" w:eastAsia="Arial" w:hAnsi="Arial"/>
          <w:sz w:val="18"/>
          <w:szCs w:val="18"/>
          <w:color w:val="auto"/>
        </w:rPr>
        <w:t>Available-for-sale securities consist primarily of money market funds and debt securities. Available-for-sale securities are stated at fair value, which is generally based on market prices, broker quotes or, when necessary, financial models (see fair value discussion below). We record other-than-temporary losses (impairments) on these securities in OI&amp;E, and all other unrealized gains and losses as an increase or decrease, net of taxes, in accumulated other comprehensive income (AOCI).</w:t>
      </w:r>
    </w:p>
    <w:p>
      <w:pPr>
        <w:spacing w:after="0" w:line="213" w:lineRule="exact"/>
        <w:rPr>
          <w:rFonts w:ascii="Arial" w:cs="Arial" w:eastAsia="Arial" w:hAnsi="Arial"/>
          <w:sz w:val="18"/>
          <w:szCs w:val="18"/>
          <w:color w:val="auto"/>
        </w:rPr>
      </w:pPr>
    </w:p>
    <w:p>
      <w:pPr>
        <w:ind w:left="332" w:right="120"/>
        <w:spacing w:after="0" w:line="286" w:lineRule="auto"/>
        <w:rPr>
          <w:rFonts w:ascii="Arial" w:cs="Arial" w:eastAsia="Arial" w:hAnsi="Arial"/>
          <w:sz w:val="18"/>
          <w:szCs w:val="18"/>
          <w:color w:val="auto"/>
        </w:rPr>
      </w:pPr>
      <w:r>
        <w:rPr>
          <w:rFonts w:ascii="Arial" w:cs="Arial" w:eastAsia="Arial" w:hAnsi="Arial"/>
          <w:sz w:val="17"/>
          <w:szCs w:val="17"/>
          <w:color w:val="auto"/>
        </w:rPr>
        <w:t>Trading securities are stated at fair value based on market prices. Our trading securities consist exclusively of mutual funds that hold a variety of debt and equity investments intended to generate returns that offset changes in certain deferred compensation liabilities. We record changes in the fair value of our trading securities and the related deferred compensation liabilities in selling, general and administrative expense.</w:t>
      </w:r>
    </w:p>
    <w:p>
      <w:pPr>
        <w:spacing w:after="0" w:line="192" w:lineRule="exact"/>
        <w:rPr>
          <w:rFonts w:ascii="Arial" w:cs="Arial" w:eastAsia="Arial" w:hAnsi="Arial"/>
          <w:sz w:val="18"/>
          <w:szCs w:val="18"/>
          <w:color w:val="auto"/>
        </w:rPr>
      </w:pPr>
    </w:p>
    <w:p>
      <w:pPr>
        <w:ind w:left="332" w:right="120"/>
        <w:spacing w:after="0" w:line="276" w:lineRule="auto"/>
        <w:rPr>
          <w:rFonts w:ascii="Arial" w:cs="Arial" w:eastAsia="Arial" w:hAnsi="Arial"/>
          <w:sz w:val="18"/>
          <w:szCs w:val="18"/>
          <w:color w:val="auto"/>
        </w:rPr>
      </w:pPr>
      <w:r>
        <w:rPr>
          <w:rFonts w:ascii="Arial" w:cs="Arial" w:eastAsia="Arial" w:hAnsi="Arial"/>
          <w:sz w:val="17"/>
          <w:szCs w:val="17"/>
          <w:color w:val="auto"/>
        </w:rPr>
        <w:t>Our other investments are not measured at fair value but are accounted for using either the equity method or cost method. These investments consist of interests in venture capital funds and other non-marketable equity securities. Gains or losses from equity method investments are reflected in OI&amp;E based on our ownership share of the investee’s financial results. Gains and losses on cost method investments are recorded in OI&amp;E when realized or when an impairment of the investment’s value is warranted based on our assessment of the recoverability of each investment. We determine cost or amortized cost, as appropriate, on a specific identification basis.</w:t>
      </w:r>
    </w:p>
    <w:p>
      <w:pPr>
        <w:spacing w:after="0" w:line="199" w:lineRule="exact"/>
        <w:rPr>
          <w:rFonts w:ascii="Arial" w:cs="Arial" w:eastAsia="Arial" w:hAnsi="Arial"/>
          <w:sz w:val="18"/>
          <w:szCs w:val="18"/>
          <w:color w:val="auto"/>
        </w:rPr>
      </w:pPr>
    </w:p>
    <w:p>
      <w:pPr>
        <w:ind w:left="332"/>
        <w:spacing w:after="0" w:line="264" w:lineRule="auto"/>
        <w:rPr>
          <w:rFonts w:ascii="Arial" w:cs="Arial" w:eastAsia="Arial" w:hAnsi="Arial"/>
          <w:sz w:val="18"/>
          <w:szCs w:val="18"/>
          <w:color w:val="auto"/>
        </w:rPr>
      </w:pPr>
      <w:r>
        <w:rPr>
          <w:rFonts w:ascii="Arial" w:cs="Arial" w:eastAsia="Arial" w:hAnsi="Arial"/>
          <w:sz w:val="18"/>
          <w:szCs w:val="18"/>
          <w:color w:val="auto"/>
        </w:rPr>
        <w:t>In the quarter ending June 30, 2010, $66 million of auction-rate securities were redeemed at par and $13 million of auction-rate securities were called for redemption at par in July 2010. The auction-rate securities that have been called have been reclassified from long-term to short-term investments on the balance sheet.</w:t>
      </w:r>
    </w:p>
    <w:p>
      <w:pPr>
        <w:spacing w:after="0" w:line="352" w:lineRule="exact"/>
        <w:rPr>
          <w:sz w:val="20"/>
          <w:szCs w:val="20"/>
          <w:color w:val="auto"/>
        </w:rPr>
      </w:pPr>
    </w:p>
    <w:p>
      <w:pPr>
        <w:jc w:val="center"/>
        <w:ind w:right="-51"/>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517" w:right="29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Details of our investments by class and related unrealized gains and losses included in AOCI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 2010</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2009</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8"/>
              </w:rPr>
              <w:t>Cash and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6"/>
              </w:rPr>
              <w:t>Cash and Cash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Short-Term</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Long-Term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Cash</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Short-Term</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Long-Term</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Equivalents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Equivalents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Investments</w:t>
            </w: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Investments</w:t>
            </w:r>
          </w:p>
        </w:tc>
        <w:tc>
          <w:tcPr>
            <w:tcW w:w="0" w:type="dxa"/>
            <w:vAlign w:val="bottom"/>
          </w:tcPr>
          <w:p>
            <w:pPr>
              <w:spacing w:after="0"/>
              <w:rPr>
                <w:sz w:val="1"/>
                <w:szCs w:val="1"/>
                <w:color w:val="auto"/>
              </w:rPr>
            </w:pPr>
          </w:p>
        </w:tc>
      </w:tr>
      <w:tr>
        <w:trPr>
          <w:trHeight w:val="41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Measured at fair value:</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Available-for-sale</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Corporate obligations</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U.S. government agency and Treasury</w:t>
            </w: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571</w:t>
            </w: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Auction-rate securities</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Trading</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940</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1,167</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measurement basis: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Equity method investments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method investments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Cash on hand</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1,138</w:t>
            </w:r>
          </w:p>
        </w:tc>
        <w:tc>
          <w:tcPr>
            <w:tcW w:w="1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tcPr>
          <w:p>
            <w:pPr>
              <w:spacing w:after="0" w:line="198" w:lineRule="exact"/>
              <w:rPr>
                <w:sz w:val="20"/>
                <w:szCs w:val="20"/>
                <w:color w:val="auto"/>
              </w:rPr>
            </w:pPr>
            <w:r>
              <w:rPr>
                <w:rFonts w:ascii="Arial" w:cs="Arial" w:eastAsia="Arial" w:hAnsi="Arial"/>
                <w:sz w:val="18"/>
                <w:szCs w:val="18"/>
                <w:b w:val="1"/>
                <w:bCs w:val="1"/>
                <w:color w:val="auto"/>
              </w:rPr>
              <w:t>Amounts included in AOCI from</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b w:val="1"/>
                <w:bCs w:val="1"/>
                <w:color w:val="auto"/>
              </w:rPr>
              <w:t>available-for-sale securities: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(pre-tax)</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Unrealized losses (pre-tax)</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color w:val="auto"/>
        </w:rPr>
        <w:t>As of June 30, 2010, about 70 percent of our investments in the corporate obligations shown above are insured by either the Federal Deposit Insurance Corporation (FDIC) or the U.K. government.</w:t>
      </w:r>
    </w:p>
    <w:p>
      <w:pPr>
        <w:spacing w:after="0" w:line="197" w:lineRule="exact"/>
        <w:rPr>
          <w:sz w:val="20"/>
          <w:szCs w:val="20"/>
          <w:color w:val="auto"/>
        </w:rPr>
      </w:pPr>
    </w:p>
    <w:p>
      <w:pPr>
        <w:ind w:left="340" w:right="140"/>
        <w:spacing w:after="0" w:line="302" w:lineRule="auto"/>
        <w:rPr>
          <w:sz w:val="20"/>
          <w:szCs w:val="20"/>
          <w:color w:val="auto"/>
        </w:rPr>
      </w:pPr>
      <w:r>
        <w:rPr>
          <w:rFonts w:ascii="Arial" w:cs="Arial" w:eastAsia="Arial" w:hAnsi="Arial"/>
          <w:sz w:val="16"/>
          <w:szCs w:val="16"/>
          <w:color w:val="auto"/>
        </w:rPr>
        <w:t>As of June 30, 2010 and December 31, 2009, unrealized losses included in AOCI were associated with auction-rate securities. We have determined that our available-for-sale investments with unrealized losses are not other-than-temporarily impaired. We expect to recover the entire cost basis of these securities. We do not intend to sell these investments, nor do we expect to be required to sell these investments before a recovery of the cost basis. For the six months ended June 30, 2010 and 2009, we did not recognize in earnings any credit losses related to these investments.</w:t>
      </w:r>
    </w:p>
    <w:p>
      <w:pPr>
        <w:spacing w:after="0" w:line="181"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For the six months ended June 30, 2010 and 2009, the proceeds from sales of available-for-sale securities prior to their scheduled maturities were $2.78 billion and $740 million, respectively. Gross realized gains and losses from these sales were not significant.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aggregate maturities of investments in money market funds and other debt securities classified as available-for-sale at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30, 2010:</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4800" w:type="dxa"/>
            <w:vAlign w:val="bottom"/>
          </w:tcPr>
          <w:p>
            <w:pPr>
              <w:ind w:left="4220"/>
              <w:spacing w:after="0"/>
              <w:rPr>
                <w:sz w:val="20"/>
                <w:szCs w:val="20"/>
                <w:color w:val="auto"/>
              </w:rPr>
            </w:pPr>
            <w:r>
              <w:rPr>
                <w:rFonts w:ascii="Arial" w:cs="Arial" w:eastAsia="Arial" w:hAnsi="Arial"/>
                <w:sz w:val="18"/>
                <w:szCs w:val="18"/>
                <w:b w:val="1"/>
                <w:bCs w:val="1"/>
                <w:color w:val="auto"/>
              </w:rPr>
              <w:t>Due</w:t>
            </w:r>
          </w:p>
        </w:tc>
        <w:tc>
          <w:tcPr>
            <w:tcW w:w="4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800" w:type="dxa"/>
            <w:vAlign w:val="bottom"/>
            <w:tcBorders>
              <w:top w:val="single" w:sz="8" w:color="auto"/>
            </w:tcBorders>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4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One to three years</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Greater than three years (auction-rate securities)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5"/>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120" w:type="dxa"/>
            <w:vAlign w:val="bottom"/>
          </w:tcPr>
          <w:p>
            <w:pPr>
              <w:jc w:val="right"/>
              <w:ind w:right="363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80" w:type="dxa"/>
            <w:vAlign w:val="bottom"/>
            <w:tcBorders>
              <w:bottom w:val="single" w:sz="8" w:color="808080"/>
            </w:tcBorders>
          </w:tcPr>
          <w:p>
            <w:pPr>
              <w:spacing w:after="0"/>
              <w:rPr>
                <w:sz w:val="8"/>
                <w:szCs w:val="8"/>
                <w:color w:val="auto"/>
              </w:rPr>
            </w:pPr>
          </w:p>
        </w:tc>
        <w:tc>
          <w:tcPr>
            <w:tcW w:w="4800" w:type="dxa"/>
            <w:vAlign w:val="bottom"/>
            <w:tcBorders>
              <w:bottom w:val="single" w:sz="8" w:color="808080"/>
            </w:tcBorders>
          </w:tcPr>
          <w:p>
            <w:pPr>
              <w:spacing w:after="0"/>
              <w:rPr>
                <w:sz w:val="8"/>
                <w:szCs w:val="8"/>
                <w:color w:val="auto"/>
              </w:rPr>
            </w:pPr>
          </w:p>
        </w:tc>
        <w:tc>
          <w:tcPr>
            <w:tcW w:w="4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Fair value</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measure and report our financial assets and liabilities at fair value.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Level 1 – Uses unadjusted quoted prices that are available in active markets for identical assets or liabilities as of the reporting date.</w:t>
      </w:r>
    </w:p>
    <w:p>
      <w:pPr>
        <w:spacing w:after="0" w:line="252"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w:t>
      </w:r>
    </w:p>
    <w:p>
      <w:pPr>
        <w:spacing w:after="0" w:line="19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Level 2 assets consist of corporate obligations, some U.S. government agency securities and auction-rate securities that have been called for redemption at par. We use a market approach to determine the fair value, primarily utilizing unadjusted quotes obtained from brokers or dealers based on observable prices for similar assets in active markets.</w:t>
      </w:r>
    </w:p>
    <w:p>
      <w:pPr>
        <w:spacing w:after="0" w:line="20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17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own auction-rate securities that are primarily classified as Level 3 assets. Auction-rate securities are debt instruments with variable interest rates that historically would periodically reset through an auction process. There is currently no active market for auction-rate securities, so we use a discounted cash flow (DCF) model to determine the estimated fair value of these investments as of each quarter end. The assumptions used in preparing the DCF model include estimates for the amount and timing of future interest and principal payments and the rate of return required by investors to own these securities in the current environment. In making these assumptions we consider relevant factors including: the formula for each security that defines the interest rate paid to investors in the ev ent of a failed auction; forward projections of the interest rate benchmarks specified in such formulas; the likely timing of principal repayments; the probability of full repayment considering the guarantees by the U.S. Department of Education of the underlying student loans and additional credit enhancements provided through other means; and, publicly available pricing data for student loan asset-backed securities that are not subject to auctions. Our estimate of the rate of return required by investors to own these securities also considers the reduced liquidity for auction-rate securities.</w:t>
      </w:r>
    </w:p>
    <w:p>
      <w:pPr>
        <w:spacing w:after="0" w:line="2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To date, we have collected all interest on all of our auction-rate securities when due and expect to continue to do so in the future. The principal associated with failed auctions will not be accessible until successful auctions resume, a buyer is found outside of the auction process, or issuers use a different form of financing to replace these securities. Meanwhile, issuers continue to repay principal over time from cash flows prior to final maturity, or make final payments when they come due according to contractual maturities ranging from 13 to 37 years. All of our auction-rate securities are backed by pools of student loans substantially guaranteed by the U.S. Department of Education and we continue to believe that the credit quality of these securities is high based on this guarantee. As of June 30, 2010, all of these securities were rated AAA or Aaa by at least one of the major rating agencies. Although most of these securities are dual rated AAA/Aaa, one ($25 million par value) is rated AAA/B3 and one ($12 million par value) is rated AAA/Baa1. While our ability to liquidate auction-rate investments is likely to be limited for some period of time, we do not believe this will materially impact our ability to fund our working capital needs, capital expenditures, dividend payments or other business requirements.</w:t>
      </w:r>
    </w:p>
    <w:p>
      <w:pPr>
        <w:spacing w:after="0" w:line="338"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580" w:top="517" w:right="299" w:bottom="1440" w:gutter="0" w:footer="0" w:header="0"/>
        </w:sectPr>
      </w:pPr>
    </w:p>
    <w:bookmarkStart w:id="11" w:name="page12"/>
    <w:bookmarkEnd w:id="11"/>
    <w:p>
      <w:pPr>
        <w:jc w:val="both"/>
        <w:ind w:left="340" w:right="160"/>
        <w:spacing w:after="0" w:line="264"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as of June 30, 2010 and December 31, 2009. These tables do not include cash on hand, assets held by our postretirement plans or assets and liabilities that are measured at historical cost or any basis other than fair value.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Level</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Level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79"/>
              </w:rPr>
              <w:t>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79"/>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funds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Corporate obligations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agency and Treasury securities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739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Auction–rate securities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Mutual funds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2,607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1,266</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Contingent consideration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Deferred compensation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677"/>
        </w:trPr>
        <w:tc>
          <w:tcPr>
            <w:tcW w:w="20" w:type="dxa"/>
            <w:vAlign w:val="bottom"/>
          </w:tcPr>
          <w:p>
            <w:pPr>
              <w:spacing w:after="0"/>
              <w:rPr>
                <w:sz w:val="24"/>
                <w:szCs w:val="24"/>
                <w:color w:val="auto"/>
              </w:rPr>
            </w:pPr>
          </w:p>
        </w:tc>
        <w:tc>
          <w:tcPr>
            <w:tcW w:w="49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Level</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Level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79"/>
              </w:rPr>
              <w:t>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79"/>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funds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Corporate obligations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agency and Treasury securities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Auction–rate securities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Mutual funds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3,347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Contingent consideration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Deferred compensation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The liabilities in the tables above are a component of Accrued expenses and other liabilities or Deferred credits and other liabilities on our balance sheets, depending on the expected timing of payment.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ind w:left="340" w:right="60"/>
        <w:spacing w:after="0" w:line="286" w:lineRule="auto"/>
        <w:rPr>
          <w:sz w:val="20"/>
          <w:szCs w:val="20"/>
          <w:color w:val="auto"/>
        </w:rPr>
      </w:pPr>
      <w:r>
        <w:rPr>
          <w:rFonts w:ascii="Arial" w:cs="Arial" w:eastAsia="Arial" w:hAnsi="Arial"/>
          <w:sz w:val="17"/>
          <w:szCs w:val="17"/>
          <w:color w:val="auto"/>
        </w:rPr>
        <w:t>The following table provides a reconciliation of changes in the fair values for Level 3 assets and liabilities. In the quarter ending June 30, 2010, we were notified that $13 million of our auction-rate securities were called for redemption at par in the third quarter of 2010. As a result, we transferred these assets from Level 3 to Level 2 as of the end of the second quarter. These securities were redeemed at par in July 2010.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8"/>
              </w:rPr>
              <w:t>Auction-rate</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Contingent</w:t>
            </w: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Changes in fair value during the period (pre-tax):</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securities</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consideration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Balance, December 31, 2008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New contingent consideration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Reduction in unrealized loss - included in AOCI</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Redemptions at par</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Ending Balance, June 30, 2009</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Increase in unrealized loss - included in AOCI</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Redemptions at par</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Ending Balance, December 31, 2009</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Reduction in unrealized loss - included in AOCI</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Redemptions at par</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into Level 2</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Ending Balance, June 30, 2010</w:t>
            </w: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381</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700" w:type="dxa"/>
            <w:vAlign w:val="bottom"/>
            <w:vMerge w:val="restart"/>
          </w:tcPr>
          <w:p>
            <w:pPr>
              <w:ind w:left="4480"/>
              <w:spacing w:after="0"/>
              <w:rPr>
                <w:sz w:val="20"/>
                <w:szCs w:val="20"/>
                <w:color w:val="auto"/>
              </w:rPr>
            </w:pPr>
            <w:r>
              <w:rPr>
                <w:rFonts w:ascii="Arial" w:cs="Arial" w:eastAsia="Arial" w:hAnsi="Arial"/>
                <w:sz w:val="14"/>
                <w:szCs w:val="14"/>
                <w:color w:val="auto"/>
              </w:rPr>
              <w:t>13</w:t>
            </w: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116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60" w:type="dxa"/>
            <w:vAlign w:val="bottom"/>
            <w:tcBorders>
              <w:bottom w:val="single" w:sz="8" w:color="808080"/>
            </w:tcBorders>
          </w:tcPr>
          <w:p>
            <w:pPr>
              <w:spacing w:after="0"/>
              <w:rPr>
                <w:sz w:val="8"/>
                <w:szCs w:val="8"/>
                <w:color w:val="auto"/>
              </w:rPr>
            </w:pPr>
          </w:p>
        </w:tc>
        <w:tc>
          <w:tcPr>
            <w:tcW w:w="67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r>
        <w:rPr>
          <w:rFonts w:ascii="Arial" w:cs="Arial" w:eastAsia="Arial" w:hAnsi="Arial"/>
          <w:sz w:val="18"/>
          <w:szCs w:val="18"/>
          <w:color w:val="auto"/>
        </w:rPr>
        <w:t>. Components of net periodic employee benefit cost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1"/>
              </w:rPr>
              <w:t>U.S.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1"/>
              </w:rPr>
              <w:t>U.S.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2"/>
              </w:rPr>
              <w:t>Non-U.S.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40" w:type="dxa"/>
            <w:vAlign w:val="bottom"/>
            <w:tcBorders>
              <w:bottom w:val="single" w:sz="8" w:color="auto"/>
            </w:tcBorders>
            <w:gridSpan w:val="5"/>
          </w:tcPr>
          <w:p>
            <w:pPr>
              <w:jc w:val="center"/>
              <w:ind w:left="239"/>
              <w:spacing w:after="0"/>
              <w:rPr>
                <w:sz w:val="20"/>
                <w:szCs w:val="20"/>
                <w:color w:val="auto"/>
              </w:rPr>
            </w:pPr>
            <w:r>
              <w:rPr>
                <w:rFonts w:ascii="Arial" w:cs="Arial" w:eastAsia="Arial" w:hAnsi="Arial"/>
                <w:sz w:val="18"/>
                <w:szCs w:val="18"/>
                <w:b w:val="1"/>
                <w:bCs w:val="1"/>
                <w:color w:val="auto"/>
                <w:w w:val="90"/>
              </w:rPr>
              <w:t>Defined Benefit</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Borders>
              <w:bottom w:val="single" w:sz="8" w:color="auto"/>
            </w:tcBorders>
            <w:gridSpan w:val="5"/>
          </w:tcPr>
          <w:p>
            <w:pPr>
              <w:jc w:val="center"/>
              <w:ind w:left="230"/>
              <w:spacing w:after="0"/>
              <w:rPr>
                <w:sz w:val="20"/>
                <w:szCs w:val="20"/>
                <w:color w:val="auto"/>
              </w:rPr>
            </w:pPr>
            <w:r>
              <w:rPr>
                <w:rFonts w:ascii="Arial" w:cs="Arial" w:eastAsia="Arial" w:hAnsi="Arial"/>
                <w:sz w:val="18"/>
                <w:szCs w:val="18"/>
                <w:b w:val="1"/>
                <w:bCs w:val="1"/>
                <w:color w:val="auto"/>
                <w:w w:val="92"/>
              </w:rPr>
              <w:t>Retiree Health Care</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Borders>
              <w:bottom w:val="single" w:sz="8" w:color="auto"/>
            </w:tcBorders>
            <w:gridSpan w:val="5"/>
          </w:tcPr>
          <w:p>
            <w:pPr>
              <w:jc w:val="center"/>
              <w:ind w:left="230"/>
              <w:spacing w:after="0"/>
              <w:rPr>
                <w:sz w:val="20"/>
                <w:szCs w:val="20"/>
                <w:color w:val="auto"/>
              </w:rPr>
            </w:pPr>
            <w:r>
              <w:rPr>
                <w:rFonts w:ascii="Arial" w:cs="Arial" w:eastAsia="Arial" w:hAnsi="Arial"/>
                <w:sz w:val="18"/>
                <w:szCs w:val="18"/>
                <w:b w:val="1"/>
                <w:bCs w:val="1"/>
                <w:color w:val="auto"/>
                <w:w w:val="89"/>
              </w:rPr>
              <w:t>Defined Benefit</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For three months ended June 30,</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840" w:type="dxa"/>
            <w:vAlign w:val="bottom"/>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40" w:type="dxa"/>
            <w:vAlign w:val="bottom"/>
          </w:tcPr>
          <w:p>
            <w:pPr>
              <w:spacing w:after="0"/>
              <w:rPr>
                <w:sz w:val="19"/>
                <w:szCs w:val="19"/>
                <w:color w:val="auto"/>
              </w:rPr>
            </w:pPr>
          </w:p>
        </w:tc>
        <w:tc>
          <w:tcPr>
            <w:tcW w:w="9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Settlement charges *</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Curtailment gains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including charges and (gains)</w:t>
            </w:r>
          </w:p>
        </w:tc>
        <w:tc>
          <w:tcPr>
            <w:tcW w:w="840" w:type="dxa"/>
            <w:vAlign w:val="bottom"/>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40" w:type="dxa"/>
            <w:vAlign w:val="bottom"/>
          </w:tcPr>
          <w:p>
            <w:pPr>
              <w:spacing w:after="0"/>
              <w:rPr>
                <w:sz w:val="18"/>
                <w:szCs w:val="18"/>
                <w:color w:val="auto"/>
              </w:rPr>
            </w:pPr>
          </w:p>
        </w:tc>
        <w:tc>
          <w:tcPr>
            <w:tcW w:w="9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1"/>
              </w:rPr>
              <w:t>U.S.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1"/>
              </w:rPr>
              <w:t>U.S.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2"/>
              </w:rPr>
              <w:t>Non-U.S.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40" w:type="dxa"/>
            <w:vAlign w:val="bottom"/>
            <w:tcBorders>
              <w:bottom w:val="single" w:sz="8" w:color="auto"/>
            </w:tcBorders>
            <w:gridSpan w:val="5"/>
          </w:tcPr>
          <w:p>
            <w:pPr>
              <w:jc w:val="center"/>
              <w:ind w:left="239"/>
              <w:spacing w:after="0"/>
              <w:rPr>
                <w:sz w:val="20"/>
                <w:szCs w:val="20"/>
                <w:color w:val="auto"/>
              </w:rPr>
            </w:pPr>
            <w:r>
              <w:rPr>
                <w:rFonts w:ascii="Arial" w:cs="Arial" w:eastAsia="Arial" w:hAnsi="Arial"/>
                <w:sz w:val="18"/>
                <w:szCs w:val="18"/>
                <w:b w:val="1"/>
                <w:bCs w:val="1"/>
                <w:color w:val="auto"/>
                <w:w w:val="90"/>
              </w:rPr>
              <w:t>Defined Benefit</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Borders>
              <w:bottom w:val="single" w:sz="8" w:color="auto"/>
            </w:tcBorders>
            <w:gridSpan w:val="5"/>
          </w:tcPr>
          <w:p>
            <w:pPr>
              <w:jc w:val="center"/>
              <w:ind w:left="230"/>
              <w:spacing w:after="0"/>
              <w:rPr>
                <w:sz w:val="20"/>
                <w:szCs w:val="20"/>
                <w:color w:val="auto"/>
              </w:rPr>
            </w:pPr>
            <w:r>
              <w:rPr>
                <w:rFonts w:ascii="Arial" w:cs="Arial" w:eastAsia="Arial" w:hAnsi="Arial"/>
                <w:sz w:val="18"/>
                <w:szCs w:val="18"/>
                <w:b w:val="1"/>
                <w:bCs w:val="1"/>
                <w:color w:val="auto"/>
                <w:w w:val="92"/>
              </w:rPr>
              <w:t>Retiree Health Care</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Borders>
              <w:bottom w:val="single" w:sz="8" w:color="auto"/>
            </w:tcBorders>
            <w:gridSpan w:val="5"/>
          </w:tcPr>
          <w:p>
            <w:pPr>
              <w:jc w:val="center"/>
              <w:ind w:left="230"/>
              <w:spacing w:after="0"/>
              <w:rPr>
                <w:sz w:val="20"/>
                <w:szCs w:val="20"/>
                <w:color w:val="auto"/>
              </w:rPr>
            </w:pPr>
            <w:r>
              <w:rPr>
                <w:rFonts w:ascii="Arial" w:cs="Arial" w:eastAsia="Arial" w:hAnsi="Arial"/>
                <w:sz w:val="18"/>
                <w:szCs w:val="18"/>
                <w:b w:val="1"/>
                <w:bCs w:val="1"/>
                <w:color w:val="auto"/>
                <w:w w:val="89"/>
              </w:rPr>
              <w:t>Defined Benefit</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For six months ended June 30,</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4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840" w:type="dxa"/>
            <w:vAlign w:val="bottom"/>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40" w:type="dxa"/>
            <w:vAlign w:val="bottom"/>
          </w:tcPr>
          <w:p>
            <w:pPr>
              <w:spacing w:after="0"/>
              <w:rPr>
                <w:sz w:val="19"/>
                <w:szCs w:val="19"/>
                <w:color w:val="auto"/>
              </w:rPr>
            </w:pPr>
          </w:p>
        </w:tc>
        <w:tc>
          <w:tcPr>
            <w:tcW w:w="9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Settlement charges *</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Curtailment charges (gains)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Special termination benefit charges</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including charges and (gains)</w:t>
            </w: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40" w:type="dxa"/>
            <w:vAlign w:val="bottom"/>
            <w:tcBorders>
              <w:left w:val="single" w:sz="8" w:color="CCEEFF"/>
            </w:tcBorders>
            <w:shd w:val="clear" w:color="auto" w:fill="CCEEFF"/>
          </w:tcPr>
          <w:p>
            <w:pPr>
              <w:spacing w:after="0"/>
              <w:rPr>
                <w:sz w:val="20"/>
                <w:szCs w:val="20"/>
                <w:color w:val="auto"/>
              </w:rPr>
            </w:pPr>
          </w:p>
        </w:tc>
        <w:tc>
          <w:tcPr>
            <w:tcW w:w="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Includes restructuring and non-restructuring related settlement charges.</w:t>
      </w:r>
    </w:p>
    <w:p>
      <w:pPr>
        <w:spacing w:after="0" w:line="252" w:lineRule="exact"/>
        <w:rPr>
          <w:sz w:val="20"/>
          <w:szCs w:val="20"/>
          <w:color w:val="auto"/>
        </w:rPr>
      </w:pPr>
    </w:p>
    <w:p>
      <w:pPr>
        <w:jc w:val="both"/>
        <w:ind w:left="34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208" w:lineRule="exact"/>
        <w:rPr>
          <w:rFonts w:ascii="Arial" w:cs="Arial" w:eastAsia="Arial" w:hAnsi="Arial"/>
          <w:sz w:val="18"/>
          <w:szCs w:val="18"/>
          <w:color w:val="auto"/>
        </w:rPr>
      </w:pPr>
    </w:p>
    <w:p>
      <w:pPr>
        <w:ind w:left="340" w:right="20"/>
        <w:spacing w:after="0" w:line="254" w:lineRule="auto"/>
        <w:rPr>
          <w:rFonts w:ascii="Arial" w:cs="Arial" w:eastAsia="Arial" w:hAnsi="Arial"/>
          <w:sz w:val="18"/>
          <w:szCs w:val="18"/>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coverage; an obligation to repair, replace or r efund; and a maximum payment obligation tied to the price paid for our products. In some cases, product claims may exceed the price of our products. From time to time, we also negotiate contingent consideration payment arrangements associated with certain acquisitions, which are recorded at fair value.</w:t>
      </w:r>
    </w:p>
    <w:p>
      <w:pPr>
        <w:spacing w:after="0" w:line="219" w:lineRule="exact"/>
        <w:rPr>
          <w:rFonts w:ascii="Arial" w:cs="Arial" w:eastAsia="Arial" w:hAnsi="Arial"/>
          <w:sz w:val="18"/>
          <w:szCs w:val="18"/>
          <w:color w:val="auto"/>
        </w:rPr>
      </w:pPr>
    </w:p>
    <w:p>
      <w:pPr>
        <w:ind w:left="340" w:right="280"/>
        <w:spacing w:after="0" w:line="308" w:lineRule="auto"/>
        <w:rPr>
          <w:rFonts w:ascii="Arial" w:cs="Arial" w:eastAsia="Arial" w:hAnsi="Arial"/>
          <w:sz w:val="18"/>
          <w:szCs w:val="18"/>
          <w:color w:val="auto"/>
        </w:rPr>
      </w:pPr>
      <w:r>
        <w:rPr>
          <w:rFonts w:ascii="Arial" w:cs="Arial" w:eastAsia="Arial" w:hAnsi="Arial"/>
          <w:sz w:val="17"/>
          <w:szCs w:val="17"/>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ind w:left="340" w:right="20"/>
        <w:spacing w:after="0" w:line="255" w:lineRule="auto"/>
        <w:rPr>
          <w:sz w:val="20"/>
          <w:szCs w:val="20"/>
          <w:color w:val="auto"/>
        </w:rPr>
      </w:pPr>
      <w:r>
        <w:rPr>
          <w:rFonts w:ascii="Arial" w:cs="Arial" w:eastAsia="Arial" w:hAnsi="Arial"/>
          <w:sz w:val="18"/>
          <w:szCs w:val="18"/>
          <w:i w:val="1"/>
          <w:iCs w:val="1"/>
          <w:color w:val="auto"/>
        </w:rPr>
        <w:t xml:space="preserve">Discontinued Operations Indemnity – </w:t>
      </w:r>
      <w:r>
        <w:rPr>
          <w:rFonts w:ascii="Arial" w:cs="Arial" w:eastAsia="Arial" w:hAnsi="Arial"/>
          <w:sz w:val="18"/>
          <w:szCs w:val="18"/>
          <w:color w:val="auto"/>
        </w:rPr>
        <w:t>In connection with the 2006 sale of the former Sensors &amp; Controls business, we have agreed to indemnify Sensata</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Inc., for specified litigation matters and certain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 We have not made any indemnity payments related to this matter and do not expect that any potential payments related to this indemnity obligation would have a material adverse effect on our financial condition, results of operations or liquidity in future pe riods.</w:t>
      </w:r>
    </w:p>
    <w:p>
      <w:pPr>
        <w:spacing w:after="0" w:line="220" w:lineRule="exact"/>
        <w:rPr>
          <w:sz w:val="20"/>
          <w:szCs w:val="20"/>
          <w:color w:val="auto"/>
        </w:rPr>
      </w:pPr>
    </w:p>
    <w:p>
      <w:pPr>
        <w:ind w:left="340" w:right="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Segment data</w:t>
      </w:r>
      <w:r>
        <w:rPr>
          <w:rFonts w:ascii="Arial" w:cs="Arial" w:eastAsia="Arial" w:hAnsi="Arial"/>
          <w:sz w:val="18"/>
          <w:szCs w:val="18"/>
          <w:color w:val="auto"/>
        </w:rPr>
        <w:t>. In the first quarter of 2010, we transferred a low-power wireless product line from the Analog segment to the Wireless segment. All segment results for prior periods have been restated to conform to this new presentation.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For Three Months Ended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For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Segment Revenue</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1,512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2,880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Embedded Processing</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3,496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For Three Months Ended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For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Segment Operating Profit</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2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472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Embedded Processing</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profit</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1,107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2,057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for restructuring expenses impacting segment results for the three and six months ended June 30, 2010 and 2009.</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w:t>
      </w:r>
    </w:p>
    <w:p>
      <w:pPr>
        <w:spacing w:after="0" w:line="21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were the world’s fourth largest semiconductor company in 2009 as measured by revenue, according to an external source. Additionally, we sell calculators and related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semiconductors are used to accomplish many different things, such as converting and amplifying signals, interfacing with other devices, managing and distributing power, processing data, canceling noise and improving signal resolution. Our portfolio includes products that are integral to almost all electronic equipment.</w:t>
      </w:r>
    </w:p>
    <w:p>
      <w:pPr>
        <w:spacing w:after="0" w:line="2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sell custom and standard semiconductor products.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 Standard products are designed for use by many customers and/or many applications and are generally sold through both distribution and direct channels. They include both proprietary and commodity products. The life cycles of standard products are generally longer than for custom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each segment’s products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distribution and consumption. Sales to our Analog segment’s nearly 80,000 customers generated about 40 percent of our revenue in 2009. According to external sources, the worldwide market for analog semiconductors was about $32 billion in 2009. Our Analog segment’s revenue in 2009 was $4.2 billion, or about 13 percent of this market, the leading position. We believe that we are well-positioned to increase our market share over time.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Analog product lines are: high-volume analog &amp; logic, high-performance analog and power management.</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High-volume analog &amp; logic products: High-volume analog includes products for specific applications, including custom products. The life cycles of our high-volume analog products are generally shorter than those of our high-performance analog products. End markets for high-volume analog products include communications, automotive, computing and many consumer electronics products. Logic and standard linear includes commodity products marketed to many different customers for many different applications.</w:t>
      </w:r>
    </w:p>
    <w:p>
      <w:pPr>
        <w:spacing w:after="0" w:line="21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High-performance analog products: These include standard analog semiconductors, such as amplifiers, data converters and interface semiconductors (our portfolio includes more than 15,000 products), that we market to many different customers who use them in manufacturing a wide range of products sold in many end markets, including the industrial, communications, computing and consumer electronics markets. High-performance analog products generally have long life cycles, often more than 10 years.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ind w:right="360"/>
        <w:spacing w:after="0" w:line="259" w:lineRule="auto"/>
        <w:rPr>
          <w:sz w:val="20"/>
          <w:szCs w:val="20"/>
          <w:color w:val="auto"/>
        </w:rPr>
      </w:pPr>
      <w:r>
        <w:rPr>
          <w:rFonts w:ascii="Arial" w:cs="Arial" w:eastAsia="Arial" w:hAnsi="Arial"/>
          <w:sz w:val="18"/>
          <w:szCs w:val="18"/>
          <w:color w:val="auto"/>
        </w:rPr>
        <w:t>Power management products: These include both standard and custom semiconductors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 stations and high-voltage industrial equipment).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Embedded Processing products include our DSPs (other than DSPs specific to our Wireless segment) and microcontrollers. DSPs perform mathematical computations almost instantaneously to process or improve digital data. Microcontrollers are designed to control a set of specific tasks for electronic equipment. Sales of Embedded Processing products generated about 15 percent of our revenue in 2009. The worldwide market for embedded processors was about $14 billion in 2009. According to external sources, we have about 11 percent share in this fragmented market, and we believe we are well-positioned to increase our market share over time.</w:t>
      </w:r>
    </w:p>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standard, or catalog, Embedded Processing products used in many different applications and custom Embedded Processing products used in specific applications, such as communications infrastructure equipment and automotive.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25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Smart phones (phones which contain computing capability) are a rapidly growing portion of the cell phone market. These devices require an applications processor to run the phone’s software and services, and other semiconductors to enable connectivity through means other than the cellular network (for example, Bluetooth® devices, WiFi networks or GPS location services).</w:t>
      </w:r>
    </w:p>
    <w:p>
      <w:pPr>
        <w:spacing w:after="0" w:line="208"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We concentrate our Wireless investments on our OMAP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applications processors and connectivity products. These products are central to smart phones and offer growth opportunities with a broad set of customers.</w:t>
      </w:r>
    </w:p>
    <w:p>
      <w:pPr>
        <w:spacing w:after="0" w:line="2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discontinued investment in baseband chips, a market with shrinking competitive barriers and slowing growth rates. We expect substantially all of our baseband revenue, which was $1.73 billion in 2009, to cease by the end of 2012.</w:t>
      </w:r>
    </w:p>
    <w:p>
      <w:pPr>
        <w:spacing w:after="0" w:line="19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Wireless products are typically sold in high volumes, and our Wireless portfolio includes both standard products and custom products. Sales of Wireless products generated about 25 percent of our revenue in 2009, and a significant portion of our Wireless sales were to a single customer.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Our Other segment includes revenue from sales from our smaller semiconductor product lines and of our handheld graphing and scientific calculators, as well as royalties received for our patented technology that we license to other electronics companies. The semiconductor products in our Other segment include DLP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(primarily used in projectors to create high-definition images) and custom semiconductors known as application-specific integrated circuits (ASICs). This segment generated about 20 percent of our revenue in 2009.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standard products and their inherently lower risk of obsolescence, we generally carry more of those products than custom products. Additionally, we sometimes maintain standard-product inventory in unfinished wafer form, allowing greater flexibility to meet final package and test configurations.</w:t>
      </w:r>
    </w:p>
    <w:p>
      <w:pPr>
        <w:spacing w:after="0" w:line="21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a result of two multi-year trends, in general we expect to carry higher levels of inventory relative to our revenue expectations (commonly viewed by investors as days of inventory) than in past years. First, standard products have become a larger part of our portfolio. Second, we have increased consignment programs for our largest customers and some distributors and, as a result, we now carry more inventory on average than in the past in order to service the needs of these customers.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Manufacturing</w:t>
      </w:r>
    </w:p>
    <w:p>
      <w:pPr>
        <w:spacing w:after="0" w:line="25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Semiconductor manufacturing begins with a sequence of photo-lithographic and chemical processing steps that fabricate a number of semiconductor devices on a thin silicon wafer. Each device on the wafer is tested and the wafer is cut into pieces called chips. Each chip is assembled into a package that then may be retested. The entire process typically requires between 12 and 18 weeks and takes place in highly specialized facilities.</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own and operate semiconductor manufacturing facilities in North America, Asia and Europe. These include both high-volume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cost and lifespan of the equipment and processes we use to manufacture semiconductors varies by product. Our Analog products and most of our Embedded Processing products can be manufactured using older, less expensive equipment than is needed for manufacturing advanced logic products, such as our Wireless products. Advanced logic wafer manufacturing continually requires new and expensive processes and equipment. In contrast, the processes and equipment required for manufacturing our Analog products and most of our Embedded Processing products do not have this requirement.</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To supplement our internal wafer fabrication capacity and maximize our responsiveness to customer demand and return on capital expenditures, our wafer manufacturing strategy utilizes the capacity of outside suppliers, commonly known as foundries. Our strategy involves installing internal wafer fabrication capacity to a level we believe will remain fully utilized over the equipment’s useful lifetime and then outsourcing remaining capacity needs to foundries. In 2009, external foundries provided about 55 percent of the fabricated wafers for our advanced logic manufacturing needs. We expect the proportion of our advanced logic wafers provided by foundries will increase over time. We expect to maintain sufficient internal wafer fabrication capacity to meet the vast majority of our analog produ ction needs.</w:t>
      </w:r>
    </w:p>
    <w:p>
      <w:pPr>
        <w:spacing w:after="0" w:line="2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when demand temporarily exceeds our internal capacity. We believe we often have a cost advantage in maintaining internal assembly/test capacity.</w:t>
      </w:r>
    </w:p>
    <w:p>
      <w:pPr>
        <w:spacing w:after="0" w:line="21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internal/external manufacturing strategy reduces the level of our required capital expenditures, and thereby reduces our subsequent levels of depreciation below what it would be if we sourced all manufacturing internally. Consequently, we experience less fluctuation in our profit margins due to changing product demand, and lower cash requirements for expanding and updating our manufacturing capabilities.</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2009, to expand our existing wafer fabrication capacity, we began installing equipment in the industry’s first 300-millimeter analog wafer factory, located in Richardson, Texas, and are currently qualifying for production. We also opened a new assembly/test facility in the Philippines to significantly increase our assembly/test capacity.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w:t>
      </w:r>
    </w:p>
    <w:p>
      <w:pPr>
        <w:spacing w:after="0" w:line="2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processes. Semiconductor prices and manufacturing costs tend to decline over time as manufacturing processes and product life cycles mature. Typically, new chips are produced in limited quantities at first and then ramp to high-volume production over time. Consequently, new products tend not to have a significant revenue impact for one or more quarters after their introduction. In the results discussions below, changes in our shipments are caused by changing demand for our products unless otherwise noted.</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Market cycle</w:t>
      </w: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“semiconductor cycle” is an important concept that refers to the ebb and flow of supply. The semiconductor market historically has been characterized by periods of tight supply caused by strengthening demand and/or insufficient manufacturing capacity, followed by periods of surplus inventory caused by weakening demand and/or excess manufacturing capacity. This cycle is affected by the significant time and money required to build and maintain semiconductor manufacturing facilities.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quarter than in other quarters, particularly for products sold into cell phones and other consumer electronics devices, which have stronger sales later in the year as manufacturers prepare for the major holiday selling seasons. Calculator revenue is tied to the U.S. back-to-school season and is therefore at its highest in the second and third quarters. Royalty revenue is not always uniform or predictable, in part due to the performance of our licensees and in part due to the timing of new license agreements or the expiration and renewal of existing agreements.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might reflect in our financial statements one or more tax refunds or assessments, or changes to tax liabilities, involving one or more taxing authorities.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Second-Quarter 2010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second-quarter revenue was $3.50 billion, net income was $769 million and earnings per share were 62 cents.</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Analog and Embedded Processing businesses turned in double-digit sequential growth, outpacing their respective markets and again confirming their ability to positively impact our financial performance. As a result, we delivered our highest-ever quarterly operating profit.</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Orders were strong in the quarter, backlog increased and we expect to grow revenue again in the third quarter. Our steady investments in production capacity, even through last year’s downturn, are now allowing us to meet higher demand levels from customers and simultaneously reduce lead times, which we believe is not only in the best interest of our customers, but will also help us gain share.</w:t>
      </w:r>
    </w:p>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we continue our transition to an Analog and Embedded Processing company, we believe we can significantly outgrow these markets by offering products that are optimized to the needs of our customers and by putting manufacturing capacity in place before it’s needed.</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jc w:val="right"/>
              <w:ind w:right="210"/>
              <w:spacing w:after="0"/>
              <w:rPr>
                <w:sz w:val="20"/>
                <w:szCs w:val="20"/>
                <w:color w:val="auto"/>
              </w:rPr>
            </w:pPr>
            <w:r>
              <w:rPr>
                <w:rFonts w:ascii="Arial" w:cs="Arial" w:eastAsia="Arial" w:hAnsi="Arial"/>
                <w:sz w:val="18"/>
                <w:szCs w:val="18"/>
                <w:b w:val="1"/>
                <w:bCs w:val="1"/>
                <w:color w:val="auto"/>
              </w:rPr>
              <w:t>For Three Months Ended</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June 30, 2010</w:t>
            </w:r>
          </w:p>
        </w:tc>
        <w:tc>
          <w:tcPr>
            <w:tcW w:w="60" w:type="dxa"/>
            <w:vAlign w:val="bottom"/>
          </w:tcPr>
          <w:p>
            <w:pPr>
              <w:spacing w:after="0"/>
              <w:rPr>
                <w:sz w:val="24"/>
                <w:szCs w:val="24"/>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June 30, 2009</w:t>
            </w:r>
          </w:p>
        </w:tc>
        <w:tc>
          <w:tcPr>
            <w:tcW w:w="60" w:type="dxa"/>
            <w:vAlign w:val="bottom"/>
          </w:tcPr>
          <w:p>
            <w:pPr>
              <w:spacing w:after="0"/>
              <w:rPr>
                <w:sz w:val="24"/>
                <w:szCs w:val="24"/>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Mar. 31,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3,496</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Cost of revenue</w:t>
            </w:r>
          </w:p>
        </w:tc>
        <w:tc>
          <w:tcPr>
            <w:tcW w:w="1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392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Restructuring expense</w:t>
            </w:r>
          </w:p>
        </w:tc>
        <w:tc>
          <w:tcPr>
            <w:tcW w:w="1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769</w:t>
            </w:r>
          </w:p>
        </w:tc>
        <w:tc>
          <w:tcPr>
            <w:tcW w:w="2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Basic</w:t>
            </w:r>
          </w:p>
        </w:tc>
        <w:tc>
          <w:tcPr>
            <w:tcW w:w="16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220" w:type="dxa"/>
            <w:vAlign w:val="bottom"/>
          </w:tcPr>
          <w:p>
            <w:pPr>
              <w:spacing w:after="0"/>
              <w:rPr>
                <w:sz w:val="18"/>
                <w:szCs w:val="18"/>
                <w:color w:val="auto"/>
              </w:rPr>
            </w:pPr>
          </w:p>
        </w:tc>
        <w:tc>
          <w:tcPr>
            <w:tcW w:w="4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Basic</w:t>
            </w:r>
          </w:p>
        </w:tc>
        <w:tc>
          <w:tcPr>
            <w:tcW w:w="1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1,221</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Gross profit</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54.2%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SG&amp;A</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31.7%</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for the second quarter of 2010 was $3.50 billion, an increase of $1.04 billion, or 42 percent, from the year-ago quarter, and $291 million, or 9 percent from the prior quarter. Revenue in all segments increased over both the year-ago quarter and the prior quarter primarily due to increased shipments across a broad range of products, with particular strength in analog and embedded processing. Also contributing to the increase from the prior quarter was the seasonal increase in calculator sales as retailers prepare for the back-to-school selling season.</w:t>
      </w:r>
    </w:p>
    <w:p>
      <w:pPr>
        <w:spacing w:after="0" w:line="21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Gross profit for the second quarter of 2010 was $1.89 billion, or 54.2 percent of revenue, an increase of $770 million, or 69 percent, from the year-ago quarter and $205 million, or 12 percent, from the prior quarter. The increase in gross profit in both comparisons was primarily due to higher revenue. The comparison with the year-ago quarter also benefited from a $93 million favorable impact from higher utilization of our fixed-cost manufacturing assets.</w:t>
      </w:r>
    </w:p>
    <w:p>
      <w:pPr>
        <w:spacing w:after="0" w:line="17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Operating expenses for the second quarter of 2010 were $392 million for R&amp;D and $378 million for SG&amp;A. R&amp;D expense increased $23 million, or 6 percent, from the year-ago quarter due to higher compensation-related costs. Compared with the prior quarter, R&amp;D expense increased $22 million, or 6 percent, primarily due to higher product development costs. SG&amp;A expense increased $51 million, or 16 percent, from the year-ago quarter, primarily due to higher compensation-related costs, and to a lesser extent, higher sales and marketing costs. Compared with the prior quarter, SG&amp;A expense increased $19 million, or 5 percent, primarily due to the combination of higher compensation-related costs and, to a lesser extent, higher sales and marketing costs.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Restructuring costs in the second quarter of 2010 were $17 million compared with $10 million in the prior quarter, reflecting settlements of U.S. pension plan benefits for employees affected by actions taken in 2008 and 2009. This compares with $85 million of restructuring costs in the year-ago quarter for severance and benefits costs. All of these actions were completed in 2009 (see Note 2 to the Financial Statements for a detailed discussion of these charges and payments made during the quarter).</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0" w:name="page21"/>
    <w:bookmarkEnd w:id="20"/>
    <w:p>
      <w:pPr>
        <w:ind w:right="20"/>
        <w:spacing w:after="0" w:line="342" w:lineRule="auto"/>
        <w:rPr>
          <w:sz w:val="20"/>
          <w:szCs w:val="20"/>
          <w:color w:val="auto"/>
        </w:rPr>
      </w:pPr>
      <w:r>
        <w:rPr>
          <w:rFonts w:ascii="Arial" w:cs="Arial" w:eastAsia="Arial" w:hAnsi="Arial"/>
          <w:sz w:val="16"/>
          <w:szCs w:val="16"/>
          <w:color w:val="auto"/>
        </w:rPr>
        <w:t>For the second quarter of 2010, our operating profit was $1.11 billion, or 31.7 percent of revenue, compared with $343 million, or 14.0 percent of revenue, for the year-ago quarter and $950 million, or 29.7 percent of revenue, for the prior quarter. The increase in both comparisons was due to higher gross profit.</w:t>
      </w:r>
    </w:p>
    <w:p>
      <w:pPr>
        <w:spacing w:after="0" w:line="15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As of June 30, 2010, the estimated annual effective tax rate is expected to be about 31 percent (see Note 3 to the Financial Statements for additional information). The tax rate is based on current tax law and does not assume reinstatement of the federal research tax credit, which expired at the end of 2009.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Quarterly income taxes are calculated using the estimated annual effective tax rate.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For the second quarter of 2010 our tax provision was $342 million, compared with $96 million in the year-ago quarter and $299 million in the prior quarter.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the tax provision from both periods was due to higher income before income taxes.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In the second quarter of 2010, our net income was $769 million, compared with $260 million for the year-ago quarter and $658 million for the prior quarter.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were $0.62, compared with $0.20 per share for the year-ago quarter and $0.52 per share for the prior quarter.</w:t>
      </w:r>
    </w:p>
    <w:p>
      <w:pPr>
        <w:spacing w:after="0" w:line="2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Orders in the second quarter were $3.73 billion, an increase of 33 percent from the year-ago quarter when orders were unusually weak as customers reduced their inventory in response to the slowing global economy. Compared with the prior quarter, orders increased 2 percent.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25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Information regarding the second quarter of 2009 has been restated to reflect the transfer of a low-power wireless product line from our Analog segment to our Wireless segment in the first quarter of 2010. During all of 2009, revenue from this product line was $68 million, and it operated at a loss of $17 million.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2Q10</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2Q10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2Q10</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2Q09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vs. 2Q09</w:t>
            </w: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1Q10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vs. 1Q10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1,512</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472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358%</w:t>
            </w: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398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380"/>
        <w:spacing w:after="0" w:line="279" w:lineRule="auto"/>
        <w:rPr>
          <w:sz w:val="20"/>
          <w:szCs w:val="20"/>
          <w:color w:val="auto"/>
        </w:rPr>
      </w:pPr>
      <w:r>
        <w:rPr>
          <w:rFonts w:ascii="Arial" w:cs="Arial" w:eastAsia="Arial" w:hAnsi="Arial"/>
          <w:sz w:val="17"/>
          <w:szCs w:val="17"/>
          <w:color w:val="auto"/>
        </w:rPr>
        <w:t>Analog revenue increased 56 percent from the year-ago quarter due to increased shipments of, in decreasing order, high-volume analog &amp; logic products, power management products and high-performance analog products. Revenue increased 11 percent from the prior quarter due to higher shipments of, in decreasing order, high-performance analog products, power management products and high-volume analog &amp; logic products. Operating profit increased compared with both the year-ago quarter and the prior quarter due to higher revenue and associated gross profit.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2Q10</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2Q10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2Q10</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2Q09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vs. 2Q09</w:t>
            </w: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1Q10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vs. 1Q10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516</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Embedded Processing revenue increased 47 percent from the year-ago quarter and 17 percent from the prior quarter. These increases were primarily due to increased shipments of catalog products. Shipments of automotive products and communications infrastructure products also increased in each comparison. Operating profit increased compared with both the year-ago quarter and the prior quarter due to higher revenue and associated gross profit.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Wireless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2Q10</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2Q10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2Q10</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2Q09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vs. 2Q09</w:t>
            </w: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1Q10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vs. 1Q10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727</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224%</w:t>
            </w: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158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22.7%</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Wireless revenue increased 18 percent from the year-ago quarter and was about even with the prior quarter. The increase from the year-ago quarter was primarily due to increased shipments of connectivity products, and to a lesser extent, applications processor products. Baseband revenue for the second quarter of 2010 was $416 million, an increase of $6 million, or 1 percent, from the year-ago quarter and a decrease of $8 million, or 2 percent, compared with the prior quarter. The increase in Wireless operating profit compared with the year-ago quarter was primarily due to higher revenue and associated gross profit, and to a lesser extent, lower restructuring costs and lower operating expenses. Compared with the prior quarter, operating profit increased due to higher revenue and associated gross profit.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2Q10</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2Q10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2Q10</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2Q09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vs. 2Q09</w:t>
            </w: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1Q10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vs. 1Q10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741</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355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321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47.9%</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Other revenue increased 42 percent from the year-ago quarter, primarily due to, in decreasing order, higher shipments of DLP products, higher royalties, and higher shipments of custom ASIC products and calculators. Compared with the prior quarter, revenue increased 9 percent due to increased shipments of calculators, partially offset by lower royalties. Calculator shipments increased seasonally as retailers prepare for the back-to-school selling season. Operating profit for the second quarter of 2010 increased from both the year-ago quarter and the prior quarter due to higher revenue and associated gross profit.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six months of 2010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2010, we report the following:</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Revenue was $6.70 billion, an increase of $2.16 billion, or 48 percent, compared with the year-ago period due to increased shipments across a broad range of products. Every segment experienced double-digit revenue growth.</w:t>
      </w:r>
    </w:p>
    <w:p>
      <w:pPr>
        <w:spacing w:after="0" w:line="19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Gross profit was $3.58 billion, an increase of $1.65 billion, or 86 percent, from the year-ago period primarily due to higher revenue, and to a lesser extent, the impact of improved factory utilization. Improved factory utilization increased our gross profit by $267 million from the year-ago period. Gross profit margin was 53.5 percent of revenue compared with 42.5 percent in the year-ago period.</w:t>
      </w:r>
    </w:p>
    <w:p>
      <w:pPr>
        <w:spacing w:after="0" w:line="20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R&amp;D expense of $761 million was about even with the year-ago period as higher compensation-related costs were partially offset by lower Wireless product development costs. R&amp;D expense as a percent of revenue was 11.4 percent, compared with 16.6 percent in the year-ago period.</w:t>
      </w:r>
    </w:p>
    <w:p>
      <w:pPr>
        <w:spacing w:after="0" w:line="17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SG&amp;A expense was $737 million, an increase of 17 percent from the year-ago period, primarily due to higher compensation-related costs, and to a lesser extent, higher sales and marketing costs. SG&amp;A expense as a percent of revenue was 11.0 percent, compared with 13.9 percent in the year-ago period.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expenses were $28 million compared to $190 million for the year-ago period.</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Operating profit was $2.06 billion, or 30.7 percent of revenue, compared with $353 million, or 7.8 percent of revenue, in the year-ago period. The increase was due to higher gross profit, and to a lesser extent, lower restructuring expenses.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tax provision was $641 million, compared with $95 million in the year-ago period. The increase was due to higher income before income taxes.</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income was $1.43 billion, compared with $277 million in the year-ago period. Earnings per share were $1.14 per share, compared with $0.22 per share in the year-ago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Orders were $7.37 billion, an increase of 48 percent from the year-ago period.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Segment results</w:t>
      </w:r>
    </w:p>
    <w:p>
      <w:pPr>
        <w:spacing w:after="0" w:line="2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Information regarding 2009 has been restated to reflect the transfer of a low-power wireless product line from our Analog segment to our Wireless segment in the first quarter of 2010. During 2009, revenue from this product line was $68 million, and it operated at a loss of $17 million.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YTD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YTD</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YTD</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vs.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YTD 2009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2,880</w:t>
            </w: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1,772</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profit*</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871</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1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2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w:t>
            </w: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Analog revenue increased 63 percent from the year-ago period, due to increased shipments of, in decreasing order, high-volume analog &amp; logic products, power management products and high-performance analog products. For the first six months of 2010, operating profit increased compared to the year-ago period due to higher revenue and associated gross profit.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w:t>
            </w:r>
          </w:p>
        </w:tc>
        <w:tc>
          <w:tcPr>
            <w:tcW w:w="1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YTD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YTD</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YTD</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vs.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YTD 2009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956</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666</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profit*</w:t>
            </w: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188</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1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2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Embedded Processing revenue increased 44 percent from the year-ago period, primarily due to increased shipments of catalog products. Compared to the year ago-period, operating profit increased 527 percent due to higher revenue and associated gross profit.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Wireless</w:t>
            </w:r>
          </w:p>
        </w:tc>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YTD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YTD</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YTD</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vs.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YTD 2009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1,444</w:t>
            </w: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1,177</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profit*</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1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2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w:t>
            </w: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Wireless revenue increased 23 percent from the year-ago period primarily due to increased shipments of connectivity products, and to a lesser extent, applications processor products. Shipments of baseband products declined, but baseband revenue of $840 million increased 4 percent from a year ago, as we shipped a greater proportion of higher-priced products. Compared with the year-ago period, operating profit increased due to higher revenue and associated gross profit.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YTD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YTD</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YTD</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vs.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YTD 2009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1,421</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927</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profit*</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218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1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47.5%</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2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Other revenue increased 53 percent from the year-ago period due to, in decreasing order, higher shipments of DLP products, higher royalties and higher shipments of custom ASIC products and calculators. Operating profit was higher than the year-ago period due to higher revenue and associated gross profit.</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136"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the end of the second quarter of 2010, total cash (cash and cash equivalents plus short-term investments) was $2.30 billion. This was $620 million lower than at the end of 2009.</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Accounts receivable were $1.72 billion at the end of the quarter. This was an increase of $438 million from the end of 2009. Days sales outstanding were 44 at the end of the quarter compared with 38 at the end of 2009. The increase in accounts receivable was primarily the result of seasonally lower shipments in December, and to a lesser extent, higher revenue at the end of the second quarter.</w:t>
      </w:r>
    </w:p>
    <w:p>
      <w:pPr>
        <w:spacing w:after="0" w:line="20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Inventory was $1.35 billion at the end of the quarter. This was an increase of $147 million from the end of 2009. Days of inventory at the end of the second quarter were 76, unchanged from the end of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Our sources of liquidity are our cash flows from operations, cash and cash equivalents, short-term investments and revolving credit facilities. Our primary source of liquidity is cash flow from operations. Cash flow from operations for the first six months of 2010 was $1.27 billion, an increase of $464 million from the year-ago period due to the increase in net income, which were partially offset by changes in working capital.</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$1.14 billion of cash and cash equivalents and $1.17 billion of short-term investments as of June 30, 2010. We have a multi-year $1 billion revolving credit facility. We also have a non-U.S. revolving credit facility of $175 million that expires in November 2010. As of June 30, 2010, these credit facilities were not being utilized.</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first six months of 2010, investing activities provided cash of $153 million, compared with $505 million in the year-ago period. Capital expenditures in the first six months of 2010 totaled $502 million. This was an increase of $411 million from a year ago due to increased expenditures for both assembly/test manufacturing equipment and analog wafer manufacturing equipment. Net sales and maturities of short-term investments provided cash of $589 million in the first six months of 2010, compared with $710 million in the same period a year ago. In addition, in the year-ago period we used $155 million for acquisitions.</w:t>
      </w:r>
    </w:p>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first six months of 2010, net cash used in financing activities was $1.47 billion, compared with $594 million in the year-ago period. We used $1.25 billion of cash in the first half of 2010 to repurchase 50 million shares of our common stock and paid dividends of $296 million. In the same period last year we used $351 million of cash to repurchase 20 million shares of common stock and paid $280 million in dividends.</w:t>
      </w:r>
    </w:p>
    <w:p>
      <w:pPr>
        <w:spacing w:after="0" w:line="20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2010, we expect: an annual effective tax rate of about 31 percent; R&amp;D expense of $1.5 billion; capital expenditures of $1.2 billion; and depreciation of $0.9 billion. The tax rate is based on current tax law and does not assume reinstatement of the federal research tax credit, which expired at the end of 2009.</w:t>
      </w:r>
    </w:p>
    <w:p>
      <w:pPr>
        <w:spacing w:after="0" w:line="15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dividend payments and other business requirements for at least the next 12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See Note 1 to the Financial Statements for detailed information regarding the status of new accounting standards that are not yet effective for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concerning market risk is contained on page 45 of Exhibit 13 to our Form 10-K for the year ended December 31, 2009, and is incorporated by reference to such exhibit.</w:t>
      </w: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 ly to materially affect, our internal control over financial reporting.</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5" w:name="page26"/>
    <w:bookmarkEnd w:id="25"/>
    <w:p>
      <w:pPr>
        <w:ind w:left="4280"/>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Total Number of</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 Purchased as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Part of Publicly</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120" w:type="dxa"/>
            <w:vAlign w:val="bottom"/>
          </w:tcPr>
          <w:p>
            <w:pPr>
              <w:spacing w:after="0"/>
              <w:rPr>
                <w:sz w:val="18"/>
                <w:szCs w:val="18"/>
                <w:color w:val="auto"/>
              </w:rPr>
            </w:pPr>
          </w:p>
        </w:tc>
        <w:tc>
          <w:tcPr>
            <w:tcW w:w="18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Average Price Paid</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Announced Plans or</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Plans or</w:t>
            </w:r>
          </w:p>
        </w:tc>
        <w:tc>
          <w:tcPr>
            <w:tcW w:w="0" w:type="dxa"/>
            <w:vAlign w:val="bottom"/>
          </w:tcPr>
          <w:p>
            <w:pPr>
              <w:spacing w:after="0"/>
              <w:rPr>
                <w:sz w:val="1"/>
                <w:szCs w:val="1"/>
                <w:color w:val="auto"/>
              </w:rPr>
            </w:pPr>
          </w:p>
        </w:tc>
      </w:t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Shares Purchased</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per Share</w:t>
            </w:r>
          </w:p>
        </w:tc>
        <w:tc>
          <w:tcPr>
            <w:tcW w:w="1720" w:type="dxa"/>
            <w:vAlign w:val="bottom"/>
            <w:gridSpan w:val="2"/>
          </w:tcPr>
          <w:p>
            <w:pPr>
              <w:jc w:val="center"/>
              <w:ind w:right="140"/>
              <w:spacing w:after="0" w:line="234"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1480" w:type="dxa"/>
            <w:vAlign w:val="bottom"/>
          </w:tcPr>
          <w:p>
            <w:pPr>
              <w:jc w:val="center"/>
              <w:spacing w:after="0" w:line="234"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April 1 through April 30, 2010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2,788,255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26.58</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2,788,255</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$ 2,021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May 1 through May 31, 2010</w:t>
            </w:r>
          </w:p>
        </w:tc>
        <w:tc>
          <w:tcPr>
            <w:tcW w:w="1840" w:type="dxa"/>
            <w:vAlign w:val="bottom"/>
            <w:gridSpan w:val="3"/>
          </w:tcPr>
          <w:p>
            <w:pPr>
              <w:jc w:val="right"/>
              <w:ind w:right="100"/>
              <w:spacing w:after="0"/>
              <w:rPr>
                <w:sz w:val="20"/>
                <w:szCs w:val="20"/>
                <w:color w:val="auto"/>
              </w:rPr>
            </w:pPr>
            <w:r>
              <w:rPr>
                <w:rFonts w:ascii="Arial" w:cs="Arial" w:eastAsia="Arial" w:hAnsi="Arial"/>
                <w:sz w:val="18"/>
                <w:szCs w:val="18"/>
                <w:color w:val="auto"/>
              </w:rPr>
              <w:t>26,896,463</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25.13</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26,896,463</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$ 1,345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June 1 through June 30, 2010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$ 1,345 million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29,684,718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25.27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29,684,718</w:t>
            </w:r>
            <w:r>
              <w:rPr>
                <w:rFonts w:ascii="Arial" w:cs="Arial" w:eastAsia="Arial" w:hAnsi="Arial"/>
                <w:sz w:val="12"/>
                <w:szCs w:val="12"/>
                <w:color w:val="auto"/>
              </w:rPr>
              <w:t>(2)</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$ 1,345 million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340" w:right="4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purchases during the quarter were made under an authorization to purchase up to $5 billion of additional shares of TI common stock, which was announced on September 21, 2007. No expiration date has been specified for this authorization.</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purchases in the period were made through open-market purchases.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9"/>
              </w:rPr>
              <w:t>Designation of</w:t>
            </w: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Exhibits in</w:t>
            </w: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This Report</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0000EE"/>
            </w:tcBorders>
            <w:shd w:val="clear" w:color="auto" w:fill="CCEEFF"/>
          </w:tcPr>
          <w:p>
            <w:pPr>
              <w:jc w:val="center"/>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Certification of Chief Executive Officer of Periodic Report Pursuant to Rule 13a-15(e) or Rule 15d-15(e).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jc w:val="center"/>
              <w:ind w:right="20"/>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p>
        </w:tc>
        <w:tc>
          <w:tcPr>
            <w:tcW w:w="220" w:type="dxa"/>
            <w:vAlign w:val="bottom"/>
          </w:tcPr>
          <w:p>
            <w:pPr>
              <w:spacing w:after="0"/>
              <w:rPr>
                <w:sz w:val="15"/>
                <w:szCs w:val="15"/>
                <w:color w:val="auto"/>
              </w:rPr>
            </w:pPr>
          </w:p>
        </w:tc>
        <w:tc>
          <w:tcPr>
            <w:tcW w:w="10040" w:type="dxa"/>
            <w:vAlign w:val="bottom"/>
          </w:tcPr>
          <w:p>
            <w:pPr>
              <w:spacing w:after="0" w:line="176" w:lineRule="exact"/>
              <w:rPr>
                <w:sz w:val="20"/>
                <w:szCs w:val="20"/>
                <w:color w:val="auto"/>
              </w:rPr>
            </w:pPr>
            <w:r>
              <w:rPr>
                <w:rFonts w:ascii="Arial" w:cs="Arial" w:eastAsia="Arial" w:hAnsi="Arial"/>
                <w:sz w:val="18"/>
                <w:szCs w:val="18"/>
                <w:color w:val="auto"/>
              </w:rPr>
              <w:t>Certification of Chief Financial Officer of Periodic Report Pursuant to Rule 13a-15(e) or Rule 15d-15(e).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shd w:val="clear" w:color="auto" w:fill="CCEEFF"/>
          </w:tcPr>
          <w:p>
            <w:pPr>
              <w:jc w:val="center"/>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p>
        </w:tc>
        <w:tc>
          <w:tcPr>
            <w:tcW w:w="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Certification by Chief Executive Officer of Periodic Report Pursuant to 18 U.S.C. Section 1350.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jc w:val="center"/>
              <w:ind w:right="20"/>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p>
        </w:tc>
        <w:tc>
          <w:tcPr>
            <w:tcW w:w="220" w:type="dxa"/>
            <w:vAlign w:val="bottom"/>
          </w:tcPr>
          <w:p>
            <w:pPr>
              <w:spacing w:after="0"/>
              <w:rPr>
                <w:sz w:val="15"/>
                <w:szCs w:val="15"/>
                <w:color w:val="auto"/>
              </w:rPr>
            </w:pPr>
          </w:p>
        </w:tc>
        <w:tc>
          <w:tcPr>
            <w:tcW w:w="10040" w:type="dxa"/>
            <w:vAlign w:val="bottom"/>
          </w:tcPr>
          <w:p>
            <w:pPr>
              <w:spacing w:after="0" w:line="176" w:lineRule="exact"/>
              <w:rPr>
                <w:sz w:val="20"/>
                <w:szCs w:val="20"/>
                <w:color w:val="auto"/>
              </w:rPr>
            </w:pPr>
            <w:r>
              <w:rPr>
                <w:rFonts w:ascii="Arial" w:cs="Arial" w:eastAsia="Arial" w:hAnsi="Arial"/>
                <w:sz w:val="18"/>
                <w:szCs w:val="18"/>
                <w:color w:val="auto"/>
              </w:rPr>
              <w:t>Certification by Chief Financial Officer of Periodic Report Pursuant to 18 U.S.C. Section 1350.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101.ins</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101.def</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101.sch</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 Document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101.cal</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7"/>
              </w:rPr>
              <w:t>101.lab</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101.pre</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 *</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To be furnished in an amendment to this Form 10-Q to be filed by August 20, 2010, as permitted by Rule 405 of Regulation S-T.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740" w:right="240" w:hanging="327"/>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740" w:right="540" w:hanging="327"/>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740" w:hanging="327"/>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740" w:right="200" w:hanging="327"/>
        <w:spacing w:after="0" w:line="342"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0" w:lineRule="exact"/>
        <w:rPr>
          <w:rFonts w:ascii="Arial" w:cs="Arial" w:eastAsia="Arial" w:hAnsi="Arial"/>
          <w:sz w:val="16"/>
          <w:szCs w:val="16"/>
          <w:color w:val="auto"/>
        </w:rPr>
      </w:pPr>
    </w:p>
    <w:p>
      <w:pPr>
        <w:ind w:left="740" w:hanging="327"/>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63" w:lineRule="exact"/>
        <w:rPr>
          <w:rFonts w:ascii="Arial" w:cs="Arial" w:eastAsia="Arial" w:hAnsi="Arial"/>
          <w:sz w:val="17"/>
          <w:szCs w:val="17"/>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740" w:right="180" w:hanging="327"/>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quarterly report on Form 10-Q are made only as of the date of this report, and we undertake no obligation to update the forward-looking statements to reflect subsequent events or circumstances.</w:t>
      </w: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27" w:name="page28"/>
    <w:bookmarkEnd w:id="27"/>
    <w:p>
      <w:pPr>
        <w:jc w:val="center"/>
        <w:ind w:right="-11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740"/>
        <w:spacing w:after="0"/>
        <w:tabs>
          <w:tab w:leader="none" w:pos="7240" w:val="left"/>
        </w:tabs>
        <w:rPr>
          <w:sz w:val="20"/>
          <w:szCs w:val="20"/>
          <w:color w:val="auto"/>
        </w:rPr>
      </w:pPr>
      <w:r>
        <w:rPr>
          <w:rFonts w:ascii="Arial" w:cs="Arial" w:eastAsia="Arial" w:hAnsi="Arial"/>
          <w:sz w:val="18"/>
          <w:szCs w:val="18"/>
          <w:color w:val="auto"/>
        </w:rPr>
        <w:t>BY:</w:t>
        <w:tab/>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wp:posOffset>
            </wp:positionV>
            <wp:extent cx="27870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87015" cy="1714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 July 21, 2010</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52" w:lineRule="exact"/>
        <w:rPr>
          <w:sz w:val="20"/>
          <w:szCs w:val="20"/>
          <w:color w:val="auto"/>
        </w:rPr>
      </w:pPr>
    </w:p>
    <w:p>
      <w:pPr>
        <w:ind w:left="680" w:hanging="186"/>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52"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left="500" w:right="20" w:hanging="6"/>
        <w:spacing w:after="0" w:line="264" w:lineRule="auto"/>
        <w:tabs>
          <w:tab w:leader="none" w:pos="6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right="240" w:firstLine="494"/>
        <w:spacing w:after="0" w:line="308" w:lineRule="auto"/>
        <w:tabs>
          <w:tab w:leader="none" w:pos="66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4" w:lineRule="exact"/>
        <w:rPr>
          <w:sz w:val="20"/>
          <w:szCs w:val="20"/>
          <w:color w:val="auto"/>
        </w:rPr>
      </w:pPr>
    </w:p>
    <w:p>
      <w:pPr>
        <w:ind w:left="500" w:right="420" w:hanging="6"/>
        <w:spacing w:after="0" w:line="277" w:lineRule="auto"/>
        <w:tabs>
          <w:tab w:leader="none" w:pos="6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21, 2010</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52" w:lineRule="exact"/>
        <w:rPr>
          <w:sz w:val="20"/>
          <w:szCs w:val="20"/>
          <w:color w:val="auto"/>
        </w:rPr>
      </w:pPr>
    </w:p>
    <w:p>
      <w:pPr>
        <w:ind w:left="680" w:hanging="186"/>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52"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left="500" w:right="20" w:hanging="6"/>
        <w:spacing w:after="0" w:line="264" w:lineRule="auto"/>
        <w:tabs>
          <w:tab w:leader="none" w:pos="6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right="240" w:firstLine="494"/>
        <w:spacing w:after="0" w:line="308" w:lineRule="auto"/>
        <w:tabs>
          <w:tab w:leader="none" w:pos="66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4" w:lineRule="exact"/>
        <w:rPr>
          <w:sz w:val="20"/>
          <w:szCs w:val="20"/>
          <w:color w:val="auto"/>
        </w:rPr>
      </w:pPr>
    </w:p>
    <w:p>
      <w:pPr>
        <w:ind w:left="500" w:right="420" w:hanging="6"/>
        <w:spacing w:after="0" w:line="277" w:lineRule="auto"/>
        <w:tabs>
          <w:tab w:leader="none" w:pos="6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21, 2010</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261" w:lineRule="exact"/>
        <w:rPr>
          <w:sz w:val="20"/>
          <w:szCs w:val="20"/>
          <w:color w:val="auto"/>
        </w:rPr>
      </w:pPr>
    </w:p>
    <w:p>
      <w:pPr>
        <w:ind w:left="500" w:right="100" w:hanging="6"/>
        <w:spacing w:after="0" w:line="342" w:lineRule="auto"/>
        <w:tabs>
          <w:tab w:leader="none" w:pos="7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2010, as filed with the Securities and Exchange Commission on the date hereof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right="280" w:firstLine="494"/>
        <w:spacing w:after="0" w:line="532" w:lineRule="auto"/>
        <w:tabs>
          <w:tab w:leader="none" w:pos="75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July 21, 2010</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51" w:lineRule="exact"/>
        <w:rPr>
          <w:sz w:val="20"/>
          <w:szCs w:val="20"/>
          <w:color w:val="auto"/>
        </w:rPr>
      </w:pPr>
    </w:p>
    <w:p>
      <w:pPr>
        <w:ind w:left="500" w:right="100" w:hanging="6"/>
        <w:spacing w:after="0" w:line="342" w:lineRule="auto"/>
        <w:tabs>
          <w:tab w:leader="none" w:pos="7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2010, as filed with the Securities and Exchange Commission on the date hereof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right="280" w:firstLine="494"/>
        <w:spacing w:after="0" w:line="532" w:lineRule="auto"/>
        <w:tabs>
          <w:tab w:leader="none" w:pos="7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July 21, 2010</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S"/>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5"/>
    </w:lvl>
  </w:abstractNum>
  <w:abstractNum w:abstractNumId="5">
    <w:nsid w:val="3352255A"/>
    <w:multiLevelType w:val="hybridMultilevel"/>
    <w:lvl w:ilvl="0">
      <w:lvlJc w:val="left"/>
      <w:lvlText w:val="%1."/>
      <w:numFmt w:val="decimal"/>
      <w:start w:val="6"/>
    </w:lvl>
  </w:abstractNum>
  <w:abstractNum w:abstractNumId="6">
    <w:nsid w:val="109CF92E"/>
    <w:multiLevelType w:val="hybridMultilevel"/>
    <w:lvl w:ilvl="0">
      <w:lvlJc w:val="left"/>
      <w:lvlText w:val="%1."/>
      <w:numFmt w:val="decimal"/>
      <w:start w:val="7"/>
    </w:lvl>
  </w:abstractNum>
  <w:abstractNum w:abstractNumId="7">
    <w:nsid w:val="DED7263"/>
    <w:multiLevelType w:val="hybridMultilevel"/>
    <w:lvl w:ilvl="0">
      <w:lvlJc w:val="left"/>
      <w:lvlText w:val="%1."/>
      <w:numFmt w:val="decimal"/>
      <w:start w:val="8"/>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2019-12-10T03:05:48Z</dcterms:created>
  <dcterms:modified xsi:type="dcterms:W3CDTF">2019-12-10T03:05:48Z</dcterms:modified>
</cp:coreProperties>
</file>