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166370</wp:posOffset>
            </wp:positionH>
            <wp:positionV relativeFrom="page">
              <wp:posOffset>723265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534670</wp:posOffset>
            </wp:positionV>
            <wp:extent cx="72377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jc w:val="center"/>
        <w:ind w:right="-5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48" w:lineRule="exact"/>
        <w:rPr>
          <w:sz w:val="24"/>
          <w:szCs w:val="24"/>
          <w:color w:val="auto"/>
        </w:rPr>
      </w:pPr>
    </w:p>
    <w:p>
      <w:pPr>
        <w:ind w:left="2740"/>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w:t>
      </w:r>
    </w:p>
    <w:p>
      <w:pPr>
        <w:spacing w:after="0" w:line="349"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FORM 8-K</w:t>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CURRENT REPORT PURSUANT TO SECTION 13 OR 15(d)</w:t>
      </w:r>
    </w:p>
    <w:p>
      <w:pPr>
        <w:spacing w:after="0" w:line="22"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ind w:left="1980"/>
        <w:spacing w:after="0"/>
        <w:rPr>
          <w:sz w:val="20"/>
          <w:szCs w:val="20"/>
          <w:color w:val="auto"/>
        </w:rPr>
      </w:pPr>
      <w:r>
        <w:rPr>
          <w:rFonts w:ascii="Arial" w:cs="Arial" w:eastAsia="Arial" w:hAnsi="Arial"/>
          <w:sz w:val="19"/>
          <w:szCs w:val="19"/>
          <w:b w:val="1"/>
          <w:bCs w:val="1"/>
          <w:color w:val="auto"/>
        </w:rPr>
        <w:t>DATE OF REPORT (DATE OF EARLIEST EVENT REPORTED): September 18, 2014</w:t>
      </w:r>
    </w:p>
    <w:p>
      <w:pPr>
        <w:spacing w:after="0" w:line="200" w:lineRule="exact"/>
        <w:rPr>
          <w:sz w:val="24"/>
          <w:szCs w:val="24"/>
          <w:color w:val="auto"/>
        </w:rPr>
      </w:pPr>
    </w:p>
    <w:p>
      <w:pPr>
        <w:spacing w:after="0" w:line="297" w:lineRule="exact"/>
        <w:rPr>
          <w:sz w:val="24"/>
          <w:szCs w:val="24"/>
          <w:color w:val="auto"/>
        </w:rPr>
      </w:pPr>
    </w:p>
    <w:p>
      <w:pPr>
        <w:ind w:left="2740"/>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w:t>
      </w:r>
    </w:p>
    <w:p>
      <w:pPr>
        <w:spacing w:after="0" w:line="35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TEXAS INSTRUMENTS INCORPORATED</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13"/>
          <w:szCs w:val="13"/>
          <w:b w:val="1"/>
          <w:bCs w:val="1"/>
          <w:color w:val="auto"/>
        </w:rPr>
        <w:t>(Exact name of registrant as specified in charter)</w:t>
      </w:r>
    </w:p>
    <w:p>
      <w:pPr>
        <w:sectPr>
          <w:pgSz w:w="11900" w:h="16838" w:orient="portrait"/>
          <w:cols w:equalWidth="0" w:num="1">
            <w:col w:w="10860"/>
          </w:cols>
          <w:pgMar w:left="240" w:top="1440"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86" w:lineRule="exact"/>
        <w:rPr>
          <w:sz w:val="24"/>
          <w:szCs w:val="24"/>
          <w:color w:val="auto"/>
        </w:rPr>
      </w:pPr>
    </w:p>
    <w:p>
      <w:pPr>
        <w:sectPr>
          <w:pgSz w:w="11900" w:h="16838" w:orient="portrait"/>
          <w:cols w:equalWidth="0" w:num="3">
            <w:col w:w="4700" w:space="720"/>
            <w:col w:w="2680" w:space="720"/>
            <w:col w:w="2040"/>
          </w:cols>
          <w:pgMar w:left="240" w:top="1440" w:right="799" w:bottom="1440" w:gutter="0" w:footer="0" w:header="0"/>
          <w:type w:val="continuous"/>
        </w:sectPr>
      </w:pPr>
    </w:p>
    <w:p>
      <w:pPr>
        <w:ind w:left="1080"/>
        <w:spacing w:after="0"/>
        <w:rPr>
          <w:sz w:val="20"/>
          <w:szCs w:val="20"/>
          <w:color w:val="auto"/>
        </w:rPr>
      </w:pPr>
      <w:r>
        <w:rPr>
          <w:rFonts w:ascii="Arial" w:cs="Arial" w:eastAsia="Arial" w:hAnsi="Arial"/>
          <w:sz w:val="11"/>
          <w:szCs w:val="11"/>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184" w:lineRule="exact"/>
        <w:rPr>
          <w:sz w:val="24"/>
          <w:szCs w:val="24"/>
          <w:color w:val="auto"/>
        </w:rPr>
      </w:pPr>
    </w:p>
    <w:p>
      <w:pPr>
        <w:sectPr>
          <w:pgSz w:w="11900" w:h="16838" w:orient="portrait"/>
          <w:cols w:equalWidth="0" w:num="3">
            <w:col w:w="4380" w:space="720"/>
            <w:col w:w="2500" w:space="720"/>
            <w:col w:w="2540"/>
          </w:cols>
          <w:pgMar w:left="240" w:top="1440" w:right="799" w:bottom="1440" w:gutter="0" w:footer="0" w:header="0"/>
          <w:type w:val="continuous"/>
        </w:sectPr>
      </w:pPr>
    </w:p>
    <w:p>
      <w:pPr>
        <w:jc w:val="center"/>
        <w:ind w:right="-55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DALLAS, TEXAS 75266-0199</w:t>
      </w:r>
    </w:p>
    <w:p>
      <w:pPr>
        <w:spacing w:after="0" w:line="16" w:lineRule="exact"/>
        <w:rPr>
          <w:sz w:val="24"/>
          <w:szCs w:val="24"/>
          <w:color w:val="auto"/>
        </w:rPr>
      </w:pPr>
    </w:p>
    <w:p>
      <w:pPr>
        <w:ind w:left="4680"/>
        <w:spacing w:after="0"/>
        <w:rPr>
          <w:sz w:val="20"/>
          <w:szCs w:val="20"/>
          <w:color w:val="auto"/>
        </w:rPr>
      </w:pPr>
      <w:r>
        <w:rPr>
          <w:rFonts w:ascii="Arial" w:cs="Arial" w:eastAsia="Arial" w:hAnsi="Arial"/>
          <w:sz w:val="11"/>
          <w:szCs w:val="11"/>
          <w:b w:val="1"/>
          <w:bCs w:val="1"/>
          <w:color w:val="auto"/>
        </w:rPr>
        <w:t>(Address of principal executive offices)</w:t>
      </w:r>
    </w:p>
    <w:p>
      <w:pPr>
        <w:sectPr>
          <w:pgSz w:w="11900" w:h="16838" w:orient="portrait"/>
          <w:cols w:equalWidth="0" w:num="1">
            <w:col w:w="10860"/>
          </w:cols>
          <w:pgMar w:left="240" w:top="1440" w:right="799" w:bottom="1440" w:gutter="0" w:footer="0" w:header="0"/>
          <w:type w:val="continuous"/>
        </w:sectPr>
      </w:pPr>
    </w:p>
    <w:p>
      <w:pPr>
        <w:spacing w:after="0" w:line="15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74"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w:t>
      </w:r>
    </w:p>
    <w:p>
      <w:pPr>
        <w:spacing w:after="0" w:line="35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48" w:lineRule="exact"/>
        <w:rPr>
          <w:sz w:val="24"/>
          <w:szCs w:val="24"/>
          <w:color w:val="auto"/>
        </w:rPr>
      </w:pPr>
    </w:p>
    <w:p>
      <w:pPr>
        <w:ind w:left="420" w:hanging="385"/>
        <w:spacing w:after="0"/>
        <w:tabs>
          <w:tab w:leader="none" w:pos="420" w:val="left"/>
        </w:tabs>
        <w:numPr>
          <w:ilvl w:val="0"/>
          <w:numId w:val="1"/>
        </w:numPr>
        <w:rPr>
          <w:rFonts w:ascii="Arial" w:cs="Arial" w:eastAsia="Arial" w:hAnsi="Arial"/>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25"/>
          <w:szCs w:val="25"/>
          <w:color w:val="auto"/>
        </w:rPr>
      </w:pPr>
    </w:p>
    <w:p>
      <w:pPr>
        <w:ind w:left="420" w:hanging="385"/>
        <w:spacing w:after="0"/>
        <w:tabs>
          <w:tab w:leader="none" w:pos="420" w:val="left"/>
        </w:tabs>
        <w:numPr>
          <w:ilvl w:val="0"/>
          <w:numId w:val="1"/>
        </w:numPr>
        <w:rPr>
          <w:rFonts w:ascii="Arial" w:cs="Arial" w:eastAsia="Arial" w:hAnsi="Arial"/>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25"/>
          <w:szCs w:val="25"/>
          <w:color w:val="auto"/>
        </w:rPr>
      </w:pPr>
    </w:p>
    <w:p>
      <w:pPr>
        <w:ind w:left="420" w:hanging="385"/>
        <w:spacing w:after="0"/>
        <w:tabs>
          <w:tab w:leader="none" w:pos="420" w:val="left"/>
        </w:tabs>
        <w:numPr>
          <w:ilvl w:val="0"/>
          <w:numId w:val="1"/>
        </w:numPr>
        <w:rPr>
          <w:rFonts w:ascii="Arial" w:cs="Arial" w:eastAsia="Arial" w:hAnsi="Arial"/>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25"/>
          <w:szCs w:val="25"/>
          <w:color w:val="auto"/>
        </w:rPr>
      </w:pPr>
    </w:p>
    <w:p>
      <w:pPr>
        <w:ind w:left="420" w:hanging="385"/>
        <w:spacing w:after="0"/>
        <w:tabs>
          <w:tab w:leader="none" w:pos="420" w:val="left"/>
        </w:tabs>
        <w:numPr>
          <w:ilvl w:val="0"/>
          <w:numId w:val="1"/>
        </w:numPr>
        <w:rPr>
          <w:rFonts w:ascii="Arial" w:cs="Arial" w:eastAsia="Arial" w:hAnsi="Arial"/>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531495</wp:posOffset>
            </wp:positionV>
            <wp:extent cx="7237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317500</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0860"/>
          </w:cols>
          <w:pgMar w:left="240" w:top="1440"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September 18, 2014, regarding a planned dividend increase attached hereto as Exhibit 99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2"/>
          </w:tcPr>
          <w:p>
            <w:pPr>
              <w:jc w:val="center"/>
              <w:ind w:right="920"/>
              <w:spacing w:after="0"/>
              <w:rPr>
                <w:sz w:val="20"/>
                <w:szCs w:val="20"/>
                <w:color w:val="auto"/>
              </w:rPr>
            </w:pPr>
            <w:r>
              <w:rPr>
                <w:rFonts w:ascii="Arial" w:cs="Arial" w:eastAsia="Arial" w:hAnsi="Arial"/>
                <w:sz w:val="18"/>
                <w:szCs w:val="18"/>
                <w:color w:val="auto"/>
                <w:w w:val="90"/>
              </w:rPr>
              <w:t>Designation</w:t>
            </w:r>
          </w:p>
        </w:tc>
        <w:tc>
          <w:tcPr>
            <w:tcW w:w="8340" w:type="dxa"/>
            <w:vAlign w:val="bottom"/>
          </w:tcPr>
          <w:p>
            <w:pPr>
              <w:spacing w:after="0"/>
              <w:rPr>
                <w:sz w:val="18"/>
                <w:szCs w:val="18"/>
                <w:color w:val="auto"/>
              </w:rPr>
            </w:pPr>
          </w:p>
        </w:tc>
      </w:tr>
      <w:tr>
        <w:trPr>
          <w:trHeight w:val="216"/>
        </w:trPr>
        <w:tc>
          <w:tcPr>
            <w:tcW w:w="2260" w:type="dxa"/>
            <w:vAlign w:val="bottom"/>
            <w:gridSpan w:val="2"/>
          </w:tcPr>
          <w:p>
            <w:pPr>
              <w:jc w:val="center"/>
              <w:ind w:right="920"/>
              <w:spacing w:after="0"/>
              <w:rPr>
                <w:sz w:val="20"/>
                <w:szCs w:val="20"/>
                <w:color w:val="auto"/>
              </w:rPr>
            </w:pPr>
            <w:r>
              <w:rPr>
                <w:rFonts w:ascii="Arial" w:cs="Arial" w:eastAsia="Arial" w:hAnsi="Arial"/>
                <w:sz w:val="18"/>
                <w:szCs w:val="18"/>
                <w:color w:val="auto"/>
                <w:w w:val="99"/>
              </w:rPr>
              <w:t>of Exhibit</w:t>
            </w:r>
          </w:p>
        </w:tc>
        <w:tc>
          <w:tcPr>
            <w:tcW w:w="8340" w:type="dxa"/>
            <w:vAlign w:val="bottom"/>
          </w:tcPr>
          <w:p>
            <w:pPr>
              <w:spacing w:after="0"/>
              <w:rPr>
                <w:sz w:val="18"/>
                <w:szCs w:val="18"/>
                <w:color w:val="auto"/>
              </w:rPr>
            </w:pPr>
          </w:p>
        </w:tc>
      </w:tr>
      <w:tr>
        <w:trPr>
          <w:trHeight w:val="216"/>
        </w:trPr>
        <w:tc>
          <w:tcPr>
            <w:tcW w:w="2260" w:type="dxa"/>
            <w:vAlign w:val="bottom"/>
            <w:gridSpan w:val="2"/>
          </w:tcPr>
          <w:p>
            <w:pPr>
              <w:jc w:val="center"/>
              <w:ind w:right="920"/>
              <w:spacing w:after="0"/>
              <w:rPr>
                <w:sz w:val="20"/>
                <w:szCs w:val="20"/>
                <w:color w:val="auto"/>
              </w:rPr>
            </w:pPr>
            <w:r>
              <w:rPr>
                <w:rFonts w:ascii="Arial" w:cs="Arial" w:eastAsia="Arial" w:hAnsi="Arial"/>
                <w:sz w:val="18"/>
                <w:szCs w:val="18"/>
                <w:color w:val="auto"/>
                <w:w w:val="97"/>
              </w:rPr>
              <w:t>in this</w:t>
            </w:r>
          </w:p>
        </w:tc>
        <w:tc>
          <w:tcPr>
            <w:tcW w:w="8340" w:type="dxa"/>
            <w:vAlign w:val="bottom"/>
          </w:tcPr>
          <w:p>
            <w:pPr>
              <w:spacing w:after="0"/>
              <w:rPr>
                <w:sz w:val="18"/>
                <w:szCs w:val="18"/>
                <w:color w:val="auto"/>
              </w:rPr>
            </w:pPr>
          </w:p>
        </w:tc>
      </w:tr>
      <w:tr>
        <w:trPr>
          <w:trHeight w:val="230"/>
        </w:trPr>
        <w:tc>
          <w:tcPr>
            <w:tcW w:w="226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Report</w:t>
            </w:r>
          </w:p>
        </w:tc>
        <w:tc>
          <w:tcPr>
            <w:tcW w:w="8340" w:type="dxa"/>
            <w:vAlign w:val="bottom"/>
          </w:tcPr>
          <w:p>
            <w:pPr>
              <w:ind w:left="40"/>
              <w:spacing w:after="0"/>
              <w:rPr>
                <w:sz w:val="20"/>
                <w:szCs w:val="20"/>
                <w:color w:val="auto"/>
              </w:rPr>
            </w:pPr>
            <w:r>
              <w:rPr>
                <w:rFonts w:ascii="Arial" w:cs="Arial" w:eastAsia="Arial" w:hAnsi="Arial"/>
                <w:sz w:val="18"/>
                <w:szCs w:val="18"/>
                <w:color w:val="auto"/>
              </w:rPr>
              <w:t>Description of Exhibit</w:t>
            </w:r>
          </w:p>
        </w:tc>
      </w:tr>
      <w:tr>
        <w:trPr>
          <w:trHeight w:val="27"/>
        </w:trPr>
        <w:tc>
          <w:tcPr>
            <w:tcW w:w="13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r>
        <w:trPr>
          <w:trHeight w:val="399"/>
        </w:trPr>
        <w:tc>
          <w:tcPr>
            <w:tcW w:w="134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920" w:type="dxa"/>
            <w:vAlign w:val="bottom"/>
          </w:tcPr>
          <w:p>
            <w:pPr>
              <w:spacing w:after="0"/>
              <w:rPr>
                <w:sz w:val="24"/>
                <w:szCs w:val="24"/>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Registrant’s News Release</w:t>
            </w:r>
          </w:p>
        </w:tc>
      </w:tr>
      <w:tr>
        <w:trPr>
          <w:trHeight w:val="270"/>
        </w:trPr>
        <w:tc>
          <w:tcPr>
            <w:tcW w:w="1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Dated September 18, 2014</w:t>
            </w:r>
          </w:p>
        </w:tc>
      </w:tr>
    </w:tbl>
    <w:p>
      <w:pPr>
        <w:sectPr>
          <w:pgSz w:w="11900" w:h="16838" w:orient="portrait"/>
          <w:cols w:equalWidth="0" w:num="1">
            <w:col w:w="11100"/>
          </w:cols>
          <w:pgMar w:left="240" w:top="584" w:right="5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40"/>
        <w:spacing w:after="0"/>
        <w:tabs>
          <w:tab w:leader="none" w:pos="4860" w:val="left"/>
          <w:tab w:leader="none" w:pos="5440" w:val="left"/>
        </w:tabs>
        <w:rPr>
          <w:sz w:val="20"/>
          <w:szCs w:val="20"/>
          <w:color w:val="auto"/>
        </w:rPr>
      </w:pPr>
      <w:r>
        <w:rPr>
          <w:rFonts w:ascii="Arial" w:cs="Arial" w:eastAsia="Arial" w:hAnsi="Arial"/>
          <w:sz w:val="18"/>
          <w:szCs w:val="18"/>
          <w:color w:val="auto"/>
        </w:rPr>
        <w:t>Date: September 18,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31750</wp:posOffset>
            </wp:positionV>
            <wp:extent cx="3799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63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continues to return cash to shareholders with 13% dividend increase</w:t>
      </w:r>
    </w:p>
    <w:p>
      <w:pPr>
        <w:spacing w:after="0" w:line="21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DALLAS (Sept. 18, 2014) -Texas Instruments Incorporated (TI) (NASDAQ: TXN) today said it will raise its quarterly cash dividend by 13 percent, from $0.30 per share to $0.34, or $1.36 annualized. The higher dividend will be payable November 17, 2014, to stockholders of record on October 31, 2014, contingent upon formal declaration by the Board of Directors at its regular meeting in October.</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dividend increase is a continuing outgrowth of TI’s capital management strategy. With its focus on analog and embedded processing semiconductors and their lower capital needs, TI’s business model allows the company to consistently generate cash and return it to shareholders through both dividends and share repurchases.</w:t>
      </w:r>
    </w:p>
    <w:p>
      <w:pPr>
        <w:spacing w:after="0" w:line="18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TI has a strong history of returning cash to its shareholders. The company has increased the dividend every year for the past 11 years, and its share repurchases have reduced its outstanding share count by 38 percent since the beginning of 2005.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 #</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markets such as personal electronics, especially the mobile phone sector, and industrial;</w:t>
      </w:r>
    </w:p>
    <w:p>
      <w:pPr>
        <w:spacing w:after="0" w:line="34" w:lineRule="exact"/>
        <w:rPr>
          <w:rFonts w:ascii="Arial" w:cs="Arial" w:eastAsia="Arial" w:hAnsi="Arial"/>
          <w:sz w:val="17"/>
          <w:szCs w:val="17"/>
          <w:color w:val="auto"/>
        </w:rPr>
      </w:pPr>
    </w:p>
    <w:p>
      <w:pPr>
        <w:ind w:left="660" w:right="4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right="12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right="2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right="40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ectPr>
          <w:pgSz w:w="11900" w:h="16838" w:orient="portrait"/>
          <w:cols w:equalWidth="0" w:num="1">
            <w:col w:w="11420"/>
          </w:cols>
          <w:pgMar w:left="240" w:top="796" w:right="2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2013. The forward-looking statements included in this release are made only as of the date of this release, and TI undertakes no obligation to update the forward-looking statements to reflect subsequent events or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sectPr>
      <w:pgSz w:w="11900" w:h="16838" w:orient="portrait"/>
      <w:cols w:equalWidth="0" w:num="1">
        <w:col w:w="11380"/>
      </w:cols>
      <w:pgMar w:left="240" w:top="5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2019-12-05T15:20:45Z</dcterms:created>
  <dcterms:modified xsi:type="dcterms:W3CDTF">2019-12-05T15:20:45Z</dcterms:modified>
</cp:coreProperties>
</file>