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9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365125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420"/>
        <w:spacing w:after="0"/>
        <w:rPr>
          <w:sz w:val="20"/>
          <w:szCs w:val="20"/>
          <w:color w:val="auto"/>
        </w:rPr>
      </w:pPr>
      <w:r>
        <w:rPr>
          <w:rFonts w:ascii="Arial" w:cs="Arial" w:eastAsia="Arial" w:hAnsi="Arial"/>
          <w:sz w:val="17"/>
          <w:szCs w:val="17"/>
          <w:b w:val="1"/>
          <w:bCs w:val="1"/>
          <w:color w:val="auto"/>
        </w:rPr>
        <w:t>DATE OF REPORT (DATE OF EARLIEST EVENT REPORTED): October 19,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401955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20"/>
          </w:cols>
          <w:pgMar w:left="240" w:top="544" w:right="73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80" w:space="720"/>
            <w:col w:w="2660"/>
          </w:cols>
          <w:pgMar w:left="240" w:top="544" w:right="739" w:bottom="1440" w:gutter="0" w:footer="0" w:header="0"/>
          <w:type w:val="continuous"/>
        </w:sectPr>
      </w:pPr>
    </w:p>
    <w:p>
      <w:pPr>
        <w:spacing w:after="0" w:line="246"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P.O. BOX 660199</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20"/>
          </w:cols>
          <w:pgMar w:left="240" w:top="544" w:right="73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532130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604520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544" w:right="7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5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Registrant's news release dated October 19, 2009, regarding its third quarter 2009 results of operations and financial condition is attached hereto as Exhibit 99 and is incorporated by reference 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2"/>
              </w:rPr>
              <w:t>Designation</w:t>
            </w:r>
          </w:p>
        </w:tc>
        <w:tc>
          <w:tcPr>
            <w:tcW w:w="940" w:type="dxa"/>
            <w:vAlign w:val="bottom"/>
          </w:tcPr>
          <w:p>
            <w:pPr>
              <w:spacing w:after="0"/>
              <w:rPr>
                <w:sz w:val="18"/>
                <w:szCs w:val="18"/>
                <w:color w:val="auto"/>
              </w:rPr>
            </w:pPr>
          </w:p>
        </w:tc>
        <w:tc>
          <w:tcPr>
            <w:tcW w:w="920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7"/>
              </w:rPr>
              <w:t>of Exhibit</w:t>
            </w:r>
          </w:p>
        </w:tc>
        <w:tc>
          <w:tcPr>
            <w:tcW w:w="940" w:type="dxa"/>
            <w:vAlign w:val="bottom"/>
          </w:tcPr>
          <w:p>
            <w:pPr>
              <w:spacing w:after="0"/>
              <w:rPr>
                <w:sz w:val="18"/>
                <w:szCs w:val="18"/>
                <w:color w:val="auto"/>
              </w:rPr>
            </w:pPr>
          </w:p>
        </w:tc>
        <w:tc>
          <w:tcPr>
            <w:tcW w:w="920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3"/>
              </w:rPr>
              <w:t>in this</w:t>
            </w:r>
          </w:p>
        </w:tc>
        <w:tc>
          <w:tcPr>
            <w:tcW w:w="940" w:type="dxa"/>
            <w:vAlign w:val="bottom"/>
          </w:tcPr>
          <w:p>
            <w:pPr>
              <w:spacing w:after="0"/>
              <w:rPr>
                <w:sz w:val="18"/>
                <w:szCs w:val="18"/>
                <w:color w:val="auto"/>
              </w:rPr>
            </w:pPr>
          </w:p>
        </w:tc>
        <w:tc>
          <w:tcPr>
            <w:tcW w:w="9200" w:type="dxa"/>
            <w:vAlign w:val="bottom"/>
          </w:tcPr>
          <w:p>
            <w:pPr>
              <w:spacing w:after="0"/>
              <w:rPr>
                <w:sz w:val="18"/>
                <w:szCs w:val="18"/>
                <w:color w:val="auto"/>
              </w:rPr>
            </w:pPr>
          </w:p>
        </w:tc>
      </w:tr>
      <w:tr>
        <w:trPr>
          <w:trHeight w:val="237"/>
        </w:trPr>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Report</w:t>
            </w:r>
          </w:p>
        </w:tc>
        <w:tc>
          <w:tcPr>
            <w:tcW w:w="940" w:type="dxa"/>
            <w:vAlign w:val="bottom"/>
          </w:tcPr>
          <w:p>
            <w:pPr>
              <w:spacing w:after="0"/>
              <w:rPr>
                <w:sz w:val="20"/>
                <w:szCs w:val="20"/>
                <w:color w:val="auto"/>
              </w:rPr>
            </w:pPr>
          </w:p>
        </w:tc>
        <w:tc>
          <w:tcPr>
            <w:tcW w:w="9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418"/>
        </w:trPr>
        <w:tc>
          <w:tcPr>
            <w:tcW w:w="128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10140" w:type="dxa"/>
            <w:vAlign w:val="bottom"/>
            <w:gridSpan w:val="2"/>
          </w:tcPr>
          <w:p>
            <w:pPr>
              <w:ind w:left="940"/>
              <w:spacing w:after="0"/>
              <w:rPr>
                <w:sz w:val="20"/>
                <w:szCs w:val="20"/>
                <w:color w:val="auto"/>
              </w:rPr>
            </w:pPr>
            <w:r>
              <w:rPr>
                <w:rFonts w:ascii="Arial" w:cs="Arial" w:eastAsia="Arial" w:hAnsi="Arial"/>
                <w:sz w:val="18"/>
                <w:szCs w:val="18"/>
                <w:color w:val="auto"/>
              </w:rPr>
              <w:t>Registrant’s News Release</w:t>
            </w:r>
          </w:p>
        </w:tc>
      </w:tr>
      <w:tr>
        <w:trPr>
          <w:trHeight w:val="230"/>
        </w:trPr>
        <w:tc>
          <w:tcPr>
            <w:tcW w:w="1280" w:type="dxa"/>
            <w:vAlign w:val="bottom"/>
          </w:tcPr>
          <w:p>
            <w:pPr>
              <w:spacing w:after="0"/>
              <w:rPr>
                <w:sz w:val="20"/>
                <w:szCs w:val="20"/>
                <w:color w:val="auto"/>
              </w:rPr>
            </w:pPr>
          </w:p>
        </w:tc>
        <w:tc>
          <w:tcPr>
            <w:tcW w:w="10140" w:type="dxa"/>
            <w:vAlign w:val="bottom"/>
            <w:gridSpan w:val="2"/>
          </w:tcPr>
          <w:p>
            <w:pPr>
              <w:ind w:left="940"/>
              <w:spacing w:after="0"/>
              <w:rPr>
                <w:sz w:val="20"/>
                <w:szCs w:val="20"/>
                <w:color w:val="auto"/>
              </w:rPr>
            </w:pPr>
            <w:r>
              <w:rPr>
                <w:rFonts w:ascii="Arial" w:cs="Arial" w:eastAsia="Arial" w:hAnsi="Arial"/>
                <w:sz w:val="18"/>
                <w:szCs w:val="18"/>
                <w:color w:val="auto"/>
              </w:rPr>
              <w:t>Dated October 19, 2009 (furnished pursuant to Item 2.02)</w:t>
            </w:r>
          </w:p>
        </w:tc>
      </w:tr>
    </w:tbl>
    <w:p>
      <w:pPr>
        <w:spacing w:after="0" w:line="20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2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420" w:hanging="290"/>
        <w:spacing w:after="0"/>
        <w:tabs>
          <w:tab w:leader="none" w:pos="420" w:val="left"/>
        </w:tabs>
        <w:numPr>
          <w:ilvl w:val="1"/>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252" w:lineRule="exact"/>
        <w:rPr>
          <w:rFonts w:ascii="Arial" w:cs="Arial" w:eastAsia="Arial" w:hAnsi="Arial"/>
          <w:sz w:val="18"/>
          <w:szCs w:val="18"/>
          <w:color w:val="auto"/>
        </w:rPr>
      </w:pPr>
    </w:p>
    <w:p>
      <w:pPr>
        <w:ind w:left="420" w:right="680" w:hanging="290"/>
        <w:spacing w:after="0" w:line="277" w:lineRule="auto"/>
        <w:tabs>
          <w:tab w:leader="none" w:pos="4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97" w:lineRule="exact"/>
        <w:rPr>
          <w:rFonts w:ascii="Arial" w:cs="Arial" w:eastAsia="Arial" w:hAnsi="Arial"/>
          <w:sz w:val="18"/>
          <w:szCs w:val="18"/>
          <w:color w:val="auto"/>
        </w:rPr>
      </w:pPr>
    </w:p>
    <w:p>
      <w:pPr>
        <w:ind w:left="420" w:hanging="290"/>
        <w:spacing w:after="0"/>
        <w:tabs>
          <w:tab w:leader="none" w:pos="4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252" w:lineRule="exact"/>
        <w:rPr>
          <w:rFonts w:ascii="Arial" w:cs="Arial" w:eastAsia="Arial" w:hAnsi="Arial"/>
          <w:sz w:val="18"/>
          <w:szCs w:val="18"/>
          <w:color w:val="auto"/>
        </w:rPr>
      </w:pPr>
    </w:p>
    <w:p>
      <w:pPr>
        <w:ind w:left="420" w:hanging="290"/>
        <w:spacing w:after="0"/>
        <w:tabs>
          <w:tab w:leader="none" w:pos="4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252" w:lineRule="exact"/>
        <w:rPr>
          <w:rFonts w:ascii="Arial" w:cs="Arial" w:eastAsia="Arial" w:hAnsi="Arial"/>
          <w:sz w:val="18"/>
          <w:szCs w:val="18"/>
          <w:color w:val="auto"/>
        </w:rPr>
      </w:pPr>
    </w:p>
    <w:p>
      <w:pPr>
        <w:ind w:left="420" w:hanging="290"/>
        <w:spacing w:after="0"/>
        <w:tabs>
          <w:tab w:leader="none" w:pos="4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252" w:lineRule="exact"/>
        <w:rPr>
          <w:rFonts w:ascii="Arial" w:cs="Arial" w:eastAsia="Arial" w:hAnsi="Arial"/>
          <w:sz w:val="18"/>
          <w:szCs w:val="18"/>
          <w:color w:val="auto"/>
        </w:rPr>
      </w:pPr>
    </w:p>
    <w:p>
      <w:pPr>
        <w:ind w:left="420" w:hanging="290"/>
        <w:spacing w:after="0"/>
        <w:tabs>
          <w:tab w:leader="none" w:pos="420" w:val="left"/>
        </w:tabs>
        <w:numPr>
          <w:ilvl w:val="1"/>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252" w:lineRule="exact"/>
        <w:rPr>
          <w:rFonts w:ascii="Arial" w:cs="Arial" w:eastAsia="Arial" w:hAnsi="Arial"/>
          <w:sz w:val="18"/>
          <w:szCs w:val="18"/>
          <w:color w:val="auto"/>
        </w:rPr>
      </w:pPr>
    </w:p>
    <w:p>
      <w:pPr>
        <w:ind w:left="400" w:right="160" w:hanging="270"/>
        <w:spacing w:after="0" w:line="277" w:lineRule="auto"/>
        <w:tabs>
          <w:tab w:leader="none" w:pos="400" w:val="left"/>
        </w:tabs>
        <w:numPr>
          <w:ilvl w:val="1"/>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197" w:lineRule="exact"/>
        <w:rPr>
          <w:rFonts w:ascii="Arial" w:cs="Arial" w:eastAsia="Arial" w:hAnsi="Arial"/>
          <w:sz w:val="18"/>
          <w:szCs w:val="18"/>
          <w:color w:val="auto"/>
        </w:rPr>
      </w:pPr>
    </w:p>
    <w:p>
      <w:pPr>
        <w:ind w:left="400" w:hanging="270"/>
        <w:spacing w:after="0"/>
        <w:tabs>
          <w:tab w:leader="none" w:pos="400" w:val="left"/>
        </w:tabs>
        <w:numPr>
          <w:ilvl w:val="1"/>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252" w:lineRule="exact"/>
        <w:rPr>
          <w:rFonts w:ascii="Arial" w:cs="Arial" w:eastAsia="Arial" w:hAnsi="Arial"/>
          <w:sz w:val="18"/>
          <w:szCs w:val="18"/>
          <w:color w:val="auto"/>
        </w:rPr>
      </w:pPr>
    </w:p>
    <w:p>
      <w:pPr>
        <w:ind w:left="400" w:hanging="270"/>
        <w:spacing w:after="0"/>
        <w:tabs>
          <w:tab w:leader="none" w:pos="400" w:val="left"/>
        </w:tabs>
        <w:numPr>
          <w:ilvl w:val="1"/>
          <w:numId w:val="2"/>
        </w:numPr>
        <w:rPr>
          <w:rFonts w:ascii="Arial" w:cs="Arial" w:eastAsia="Arial" w:hAnsi="Arial"/>
          <w:sz w:val="18"/>
          <w:szCs w:val="18"/>
          <w:color w:val="auto"/>
        </w:rPr>
      </w:pPr>
      <w:r>
        <w:rPr>
          <w:rFonts w:ascii="Arial" w:cs="Arial" w:eastAsia="Arial" w:hAnsi="Arial"/>
          <w:sz w:val="18"/>
          <w:szCs w:val="18"/>
          <w:color w:val="auto"/>
        </w:rPr>
        <w:t>Availability and cost of raw materials, utilities, manufacturing equipment, third-party manufacturing services and manufacturing technology;</w:t>
      </w:r>
    </w:p>
    <w:p>
      <w:pPr>
        <w:spacing w:after="0" w:line="252" w:lineRule="exact"/>
        <w:rPr>
          <w:rFonts w:ascii="Arial" w:cs="Arial" w:eastAsia="Arial" w:hAnsi="Arial"/>
          <w:sz w:val="18"/>
          <w:szCs w:val="18"/>
          <w:color w:val="auto"/>
        </w:rPr>
      </w:pPr>
    </w:p>
    <w:p>
      <w:pPr>
        <w:ind w:left="400" w:right="200" w:hanging="270"/>
        <w:spacing w:after="0" w:line="277" w:lineRule="auto"/>
        <w:tabs>
          <w:tab w:leader="none" w:pos="400" w:val="left"/>
        </w:tabs>
        <w:numPr>
          <w:ilvl w:val="1"/>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97" w:lineRule="exact"/>
        <w:rPr>
          <w:rFonts w:ascii="Arial" w:cs="Arial" w:eastAsia="Arial" w:hAnsi="Arial"/>
          <w:sz w:val="18"/>
          <w:szCs w:val="18"/>
          <w:color w:val="auto"/>
        </w:rPr>
      </w:pPr>
    </w:p>
    <w:p>
      <w:pPr>
        <w:ind w:left="400" w:hanging="270"/>
        <w:spacing w:after="0"/>
        <w:tabs>
          <w:tab w:leader="none" w:pos="400" w:val="left"/>
        </w:tabs>
        <w:numPr>
          <w:ilvl w:val="1"/>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63" w:lineRule="exact"/>
        <w:rPr>
          <w:rFonts w:ascii="Arial" w:cs="Arial" w:eastAsia="Arial" w:hAnsi="Arial"/>
          <w:sz w:val="17"/>
          <w:szCs w:val="17"/>
          <w:color w:val="auto"/>
        </w:rPr>
      </w:pPr>
    </w:p>
    <w:p>
      <w:pPr>
        <w:ind w:left="420" w:hanging="290"/>
        <w:spacing w:after="0"/>
        <w:tabs>
          <w:tab w:leader="none" w:pos="420" w:val="left"/>
        </w:tabs>
        <w:numPr>
          <w:ilvl w:val="1"/>
          <w:numId w:val="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252" w:lineRule="exact"/>
        <w:rPr>
          <w:rFonts w:ascii="Arial" w:cs="Arial" w:eastAsia="Arial" w:hAnsi="Arial"/>
          <w:sz w:val="18"/>
          <w:szCs w:val="18"/>
          <w:color w:val="auto"/>
        </w:rPr>
      </w:pPr>
    </w:p>
    <w:p>
      <w:pPr>
        <w:ind w:left="400" w:hanging="270"/>
        <w:spacing w:after="0"/>
        <w:tabs>
          <w:tab w:leader="none" w:pos="40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252" w:lineRule="exact"/>
        <w:rPr>
          <w:rFonts w:ascii="Arial" w:cs="Arial" w:eastAsia="Arial" w:hAnsi="Arial"/>
          <w:sz w:val="18"/>
          <w:szCs w:val="18"/>
          <w:color w:val="auto"/>
        </w:rPr>
      </w:pPr>
    </w:p>
    <w:p>
      <w:pPr>
        <w:ind w:left="380" w:hanging="264"/>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TI and its customers and suppliers to access their bank accounts and lines of credit or otherwise access the capital markets;</w:t>
      </w:r>
    </w:p>
    <w:p>
      <w:pPr>
        <w:spacing w:after="0" w:line="252" w:lineRule="exact"/>
        <w:rPr>
          <w:rFonts w:ascii="Arial" w:cs="Arial" w:eastAsia="Arial" w:hAnsi="Arial"/>
          <w:sz w:val="18"/>
          <w:szCs w:val="18"/>
          <w:color w:val="auto"/>
        </w:rPr>
      </w:pPr>
    </w:p>
    <w:p>
      <w:pPr>
        <w:ind w:left="380" w:hanging="264"/>
        <w:spacing w:after="0"/>
        <w:tabs>
          <w:tab w:leader="none" w:pos="38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63" w:lineRule="exact"/>
        <w:rPr>
          <w:rFonts w:ascii="Arial" w:cs="Arial" w:eastAsia="Arial" w:hAnsi="Arial"/>
          <w:sz w:val="17"/>
          <w:szCs w:val="17"/>
          <w:color w:val="auto"/>
        </w:rPr>
      </w:pPr>
    </w:p>
    <w:p>
      <w:pPr>
        <w:ind w:left="380" w:hanging="250"/>
        <w:spacing w:after="0"/>
        <w:tabs>
          <w:tab w:leader="none" w:pos="3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252" w:lineRule="exact"/>
        <w:rPr>
          <w:rFonts w:ascii="Arial" w:cs="Arial" w:eastAsia="Arial" w:hAnsi="Arial"/>
          <w:sz w:val="18"/>
          <w:szCs w:val="18"/>
          <w:color w:val="auto"/>
        </w:rPr>
      </w:pPr>
    </w:p>
    <w:p>
      <w:pPr>
        <w:ind w:left="400" w:right="20" w:hanging="270"/>
        <w:spacing w:after="0" w:line="277" w:lineRule="auto"/>
        <w:tabs>
          <w:tab w:leader="none" w:pos="40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00" w:lineRule="exact"/>
        <w:rPr>
          <w:sz w:val="20"/>
          <w:szCs w:val="20"/>
          <w:color w:val="auto"/>
        </w:rPr>
      </w:pPr>
    </w:p>
    <w:p>
      <w:pPr>
        <w:spacing w:after="0" w:line="24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For a more detailed discussion of these factors, see Item 1A, “Risk Factors” in the Company’s most recently filed Form 10-K. The forward-looking statements included in this report on Form 8-K are made only as of the date of this report, and the Company undertakes no obligation to update the forward-looking statements to reflect subsequent events or circumstances.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ectPr>
          <w:pgSz w:w="11900" w:h="16838" w:orient="portrait"/>
          <w:cols w:equalWidth="0" w:num="1">
            <w:col w:w="11420"/>
          </w:cols>
          <w:pgMar w:left="240" w:top="517" w:right="239" w:bottom="0" w:gutter="0" w:footer="0" w:header="0"/>
        </w:sectPr>
      </w:pPr>
    </w:p>
    <w:bookmarkStart w:id="2" w:name="page3"/>
    <w:bookmarkEnd w:id="2"/>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580" w:val="left"/>
          <w:tab w:leader="none" w:pos="6080" w:val="left"/>
        </w:tabs>
        <w:rPr>
          <w:sz w:val="20"/>
          <w:szCs w:val="20"/>
          <w:color w:val="auto"/>
        </w:rPr>
      </w:pPr>
      <w:r>
        <w:rPr>
          <w:rFonts w:ascii="Arial" w:cs="Arial" w:eastAsia="Arial" w:hAnsi="Arial"/>
          <w:sz w:val="18"/>
          <w:szCs w:val="18"/>
          <w:color w:val="auto"/>
        </w:rPr>
        <w:t>Date: October 19,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14605</wp:posOffset>
            </wp:positionV>
            <wp:extent cx="33788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78835"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280"/>
          </w:cols>
          <w:pgMar w:left="240" w:top="125"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reports financial results for 3Q09</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 site at 4:30 p.m. Central time today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www.ti.com/ir</w:t>
      </w:r>
    </w:p>
    <w:p>
      <w:pPr>
        <w:spacing w:after="0" w:line="200" w:lineRule="exact"/>
        <w:rPr>
          <w:sz w:val="20"/>
          <w:szCs w:val="20"/>
          <w:color w:val="auto"/>
        </w:rPr>
      </w:pPr>
    </w:p>
    <w:p>
      <w:pPr>
        <w:spacing w:after="0" w:line="2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DALLAS (Oct. 19, 2009) – Texas Instruments Incorporated (TI) (NYSE: TXN) today announced third-quarter revenue of $2.88 billion, net income of $538 million and earnings per share (EPS) of $0.42.</w:t>
      </w:r>
    </w:p>
    <w:p>
      <w:pPr>
        <w:spacing w:after="0" w:line="17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performance in the quarter exceeded our expectations and was led by a second consecutive quarter of 20-percent growth in Analog,” said Rich Templeton, TI chairman, president and CEO. “We are encouraged with the strong sequential increase in demand for our products over the past two quarters as our customers are winding down their inventory corrections and have begun to increase production levels in their factories. This revenue growth, combined with our early actions to pare costs so that we would not be dependent upon an uncertain rebound in the overall economy, has resulted in solid improvements in our profitability.</w:t>
      </w:r>
    </w:p>
    <w:p>
      <w:pPr>
        <w:spacing w:after="0" w:line="2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balance sheet is strong and has allowed us to opportunistically make investments in Analog and Embedded Processing throughout this downturn that should provide returns for years to come. For example, we are increasing our investments in manufacturing capacity to support higher levels of growth, including start-up of the world’s first facility to produce analog chips on 300-millimeter wafers. Applying advanced manufacturing technology to analog at an attractive cost will give TI an opportunity to accelerate our strategy and extend our leadership.</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“Although we still have much work to do, our progress has been good.”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gridSpan w:val="3"/>
          </w:tcPr>
          <w:p>
            <w:pPr>
              <w:spacing w:after="0"/>
              <w:rPr>
                <w:sz w:val="20"/>
                <w:szCs w:val="20"/>
                <w:color w:val="auto"/>
              </w:rPr>
            </w:pPr>
            <w:r>
              <w:rPr>
                <w:rFonts w:ascii="Arial" w:cs="Arial" w:eastAsia="Arial" w:hAnsi="Arial"/>
                <w:sz w:val="18"/>
                <w:szCs w:val="18"/>
                <w:b w:val="1"/>
                <w:bCs w:val="1"/>
                <w:color w:val="auto"/>
              </w:rPr>
              <w:t>3Q09 financial summary</w:t>
            </w: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00" w:type="dxa"/>
            <w:vAlign w:val="bottom"/>
            <w:gridSpan w:val="2"/>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660" w:type="dxa"/>
            <w:vAlign w:val="bottom"/>
            <w:gridSpan w:val="3"/>
          </w:tcPr>
          <w:p>
            <w:pPr>
              <w:spacing w:after="0"/>
              <w:rPr>
                <w:sz w:val="20"/>
                <w:szCs w:val="20"/>
                <w:color w:val="auto"/>
              </w:rPr>
            </w:pPr>
            <w:r>
              <w:rPr>
                <w:rFonts w:ascii="Arial" w:cs="Arial" w:eastAsia="Arial" w:hAnsi="Arial"/>
                <w:sz w:val="18"/>
                <w:szCs w:val="18"/>
                <w:i w:val="1"/>
                <w:iCs w:val="1"/>
                <w:color w:val="auto"/>
                <w:w w:val="95"/>
              </w:rPr>
              <w:t>Amounts are in millions of dollars, except per-share amounts.</w:t>
            </w: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3Q09</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3Q08</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vs. 3Q08</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2Q09</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vs. 2Q09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2880</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3387</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2457</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763</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746</w:t>
            </w: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343</w:t>
            </w:r>
          </w:p>
        </w:tc>
        <w:tc>
          <w:tcPr>
            <w:tcW w:w="130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538</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563</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Earnings per share:</w:t>
            </w: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0.42</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0.43</w:t>
            </w: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0.20</w:t>
            </w:r>
          </w:p>
        </w:tc>
        <w:tc>
          <w:tcPr>
            <w:tcW w:w="130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 from operations: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834</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1046</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TI’s revenue declined 15 percent compared with the third quarter of 2008 and increased 17 percent compared with the second quarter of 2009. The decline from a year ago was the result of declines across all segments, particularly the Wireless segment. The increase from the prior quarter was due to growth in all segments, particularly the Analog segment.</w:t>
      </w:r>
    </w:p>
    <w:p>
      <w:pPr>
        <w:spacing w:after="0" w:line="20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Despite revenue that was $507 million lower compared with the year-ago quarter, TI’s operating profit grew $17 million primarily due to lower operating expenses, as well as lower manufacturing costs. Operating profit increased $420 million compared with the second quarter primarily due to higher revenue and the associated gross profit. Operating profit increased from the prior quarter in all segments.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gridSpan w:val="3"/>
          </w:tcPr>
          <w:p>
            <w:pPr>
              <w:spacing w:after="0"/>
              <w:rPr>
                <w:sz w:val="20"/>
                <w:szCs w:val="20"/>
                <w:color w:val="auto"/>
              </w:rPr>
            </w:pPr>
            <w:r>
              <w:rPr>
                <w:rFonts w:ascii="Arial" w:cs="Arial" w:eastAsia="Arial" w:hAnsi="Arial"/>
                <w:sz w:val="18"/>
                <w:szCs w:val="18"/>
                <w:b w:val="1"/>
                <w:bCs w:val="1"/>
                <w:color w:val="auto"/>
              </w:rPr>
              <w:t>3Q09 segment results</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87"/>
        </w:trPr>
        <w:tc>
          <w:tcPr>
            <w:tcW w:w="20" w:type="dxa"/>
            <w:vAlign w:val="bottom"/>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3Q09</w:t>
            </w:r>
          </w:p>
        </w:tc>
        <w:tc>
          <w:tcPr>
            <w:tcW w:w="42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3Q08</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vs. 3Q08</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2Q09</w:t>
            </w:r>
          </w:p>
        </w:tc>
        <w:tc>
          <w:tcPr>
            <w:tcW w:w="120" w:type="dxa"/>
            <w:vAlign w:val="bottom"/>
          </w:tcPr>
          <w:p>
            <w:pPr>
              <w:spacing w:after="0"/>
              <w:rPr>
                <w:sz w:val="24"/>
                <w:szCs w:val="24"/>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vs. 2Q09</w:t>
            </w:r>
          </w:p>
        </w:tc>
        <w:tc>
          <w:tcPr>
            <w:tcW w:w="120" w:type="dxa"/>
            <w:vAlign w:val="bottom"/>
          </w:tcPr>
          <w:p>
            <w:pPr>
              <w:spacing w:after="0"/>
              <w:rPr>
                <w:sz w:val="24"/>
                <w:szCs w:val="24"/>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Note</w:t>
            </w:r>
          </w:p>
        </w:tc>
        <w:tc>
          <w:tcPr>
            <w:tcW w:w="10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31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Analog:</w:t>
            </w:r>
          </w:p>
        </w:tc>
        <w:tc>
          <w:tcPr>
            <w:tcW w:w="12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1184</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1289</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6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180" w:type="dxa"/>
            <w:vAlign w:val="bottom"/>
            <w:gridSpan w:val="2"/>
          </w:tcPr>
          <w:p>
            <w:pPr>
              <w:spacing w:after="0" w:line="201" w:lineRule="exact"/>
              <w:rPr>
                <w:sz w:val="20"/>
                <w:szCs w:val="20"/>
                <w:color w:val="auto"/>
              </w:rPr>
            </w:pPr>
            <w:r>
              <w:rPr>
                <w:rFonts w:ascii="Arial" w:cs="Arial" w:eastAsia="Arial" w:hAnsi="Arial"/>
                <w:sz w:val="18"/>
                <w:szCs w:val="18"/>
                <w:color w:val="auto"/>
              </w:rPr>
              <w:t>Embedded Processing:</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0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393</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427</w:t>
            </w: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350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260" w:type="dxa"/>
            <w:vAlign w:val="bottom"/>
            <w:gridSpan w:val="2"/>
          </w:tcPr>
          <w:p>
            <w:pPr>
              <w:jc w:val="right"/>
              <w:ind w:right="3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r>
      <w:tr>
        <w:trPr>
          <w:trHeight w:val="230"/>
        </w:trPr>
        <w:tc>
          <w:tcPr>
            <w:tcW w:w="3200" w:type="dxa"/>
            <w:vAlign w:val="bottom"/>
            <w:gridSpan w:val="3"/>
          </w:tcPr>
          <w:p>
            <w:pPr>
              <w:spacing w:after="0"/>
              <w:rPr>
                <w:sz w:val="20"/>
                <w:szCs w:val="20"/>
                <w:color w:val="auto"/>
              </w:rPr>
            </w:pPr>
            <w:r>
              <w:rPr>
                <w:rFonts w:ascii="Arial" w:cs="Arial" w:eastAsia="Arial" w:hAnsi="Arial"/>
                <w:sz w:val="18"/>
                <w:szCs w:val="18"/>
                <w:color w:val="auto"/>
              </w:rPr>
              <w:t>Operating profit</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1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Wireless:</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675</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915</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6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180" w:type="dxa"/>
            <w:vAlign w:val="bottom"/>
            <w:gridSpan w:val="2"/>
          </w:tcPr>
          <w:p>
            <w:pPr>
              <w:spacing w:after="0" w:line="201" w:lineRule="exact"/>
              <w:rPr>
                <w:sz w:val="20"/>
                <w:szCs w:val="20"/>
                <w:color w:val="auto"/>
              </w:rPr>
            </w:pPr>
            <w:r>
              <w:rPr>
                <w:rFonts w:ascii="Arial" w:cs="Arial" w:eastAsia="Arial" w:hAnsi="Arial"/>
                <w:sz w:val="18"/>
                <w:szCs w:val="18"/>
                <w:color w:val="auto"/>
              </w:rPr>
              <w:t>Other:</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0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628</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756</w:t>
            </w: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523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260" w:type="dxa"/>
            <w:vAlign w:val="bottom"/>
            <w:gridSpan w:val="2"/>
          </w:tcPr>
          <w:p>
            <w:pPr>
              <w:jc w:val="right"/>
              <w:ind w:right="3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r>
      <w:tr>
        <w:trPr>
          <w:trHeight w:val="230"/>
        </w:trPr>
        <w:tc>
          <w:tcPr>
            <w:tcW w:w="3200" w:type="dxa"/>
            <w:vAlign w:val="bottom"/>
            <w:gridSpan w:val="3"/>
          </w:tcPr>
          <w:p>
            <w:pPr>
              <w:spacing w:after="0"/>
              <w:rPr>
                <w:sz w:val="20"/>
                <w:szCs w:val="20"/>
                <w:color w:val="auto"/>
              </w:rPr>
            </w:pPr>
            <w:r>
              <w:rPr>
                <w:rFonts w:ascii="Arial" w:cs="Arial" w:eastAsia="Arial" w:hAnsi="Arial"/>
                <w:sz w:val="18"/>
                <w:szCs w:val="18"/>
                <w:color w:val="auto"/>
              </w:rPr>
              <w:t>Operating profit</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272</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244</w:t>
            </w: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product categories in each segment are as follows:</w:t>
      </w:r>
    </w:p>
    <w:p>
      <w:pPr>
        <w:spacing w:after="0" w:line="252" w:lineRule="exact"/>
        <w:rPr>
          <w:sz w:val="20"/>
          <w:szCs w:val="20"/>
          <w:color w:val="auto"/>
        </w:rPr>
      </w:pPr>
    </w:p>
    <w:p>
      <w:pPr>
        <w:ind w:left="720" w:right="840"/>
        <w:spacing w:after="0" w:line="266" w:lineRule="auto"/>
        <w:rPr>
          <w:sz w:val="20"/>
          <w:szCs w:val="20"/>
          <w:color w:val="auto"/>
        </w:rPr>
      </w:pPr>
      <w:r>
        <w:rPr>
          <w:rFonts w:ascii="Arial" w:cs="Arial" w:eastAsia="Arial" w:hAnsi="Arial"/>
          <w:sz w:val="18"/>
          <w:szCs w:val="18"/>
          <w:i w:val="1"/>
          <w:iCs w:val="1"/>
          <w:color w:val="auto"/>
        </w:rPr>
        <w:t xml:space="preserve">Analog: high-volume analog </w:t>
      </w:r>
      <w:r>
        <w:rPr>
          <w:rFonts w:ascii="Arial" w:cs="Arial" w:eastAsia="Arial" w:hAnsi="Arial"/>
          <w:sz w:val="18"/>
          <w:szCs w:val="18"/>
          <w:color w:val="auto"/>
        </w:rPr>
        <w:t>&amp;</w:t>
      </w:r>
      <w:r>
        <w:rPr>
          <w:rFonts w:ascii="Arial" w:cs="Arial" w:eastAsia="Arial" w:hAnsi="Arial"/>
          <w:sz w:val="18"/>
          <w:szCs w:val="18"/>
          <w:i w:val="1"/>
          <w:iCs w:val="1"/>
          <w:color w:val="auto"/>
        </w:rPr>
        <w:t xml:space="preserve"> logic, high-performance analog (includes data converters, amplifiers and interface products) and power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-251460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i w:val="1"/>
          <w:iCs w:val="1"/>
          <w:color w:val="auto"/>
        </w:rPr>
        <w:t>Embedded Processing: DSPs and microcontrollers used in catalog, communications infrastructure and automotive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720"/>
        <w:spacing w:after="0"/>
        <w:rPr>
          <w:sz w:val="20"/>
          <w:szCs w:val="20"/>
          <w:color w:val="auto"/>
        </w:rPr>
      </w:pPr>
      <w:r>
        <w:rPr>
          <w:rFonts w:ascii="Arial" w:cs="Arial" w:eastAsia="Arial" w:hAnsi="Arial"/>
          <w:sz w:val="16"/>
          <w:szCs w:val="16"/>
          <w:i w:val="1"/>
          <w:iCs w:val="1"/>
          <w:color w:val="auto"/>
        </w:rPr>
        <w:t>Wireless: DSPs and analog used in basebands for handsets, OMAP™ applications processors and connectivity products for wireless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-76835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9"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Other: includes DLP</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products, calculators, ASIC products, RISC microprocessors and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-142875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25" w:lineRule="exact"/>
        <w:rPr>
          <w:sz w:val="20"/>
          <w:szCs w:val="20"/>
          <w:color w:val="auto"/>
        </w:rPr>
      </w:pPr>
    </w:p>
    <w:p>
      <w:pPr>
        <w:ind w:left="340" w:hanging="308"/>
        <w:spacing w:after="0" w:line="308"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decline in Analog revenue from a year ago was due to lower high-volume analog &amp; logic and high-performance analog revenue. Power management revenue increased slightly. The increase in Analog revenue from the prior quarter was due to growth in all three product categories.</w:t>
      </w:r>
    </w:p>
    <w:p>
      <w:pPr>
        <w:spacing w:after="0" w:line="173" w:lineRule="exact"/>
        <w:rPr>
          <w:rFonts w:ascii="Arial" w:cs="Arial" w:eastAsia="Arial" w:hAnsi="Arial"/>
          <w:sz w:val="17"/>
          <w:szCs w:val="17"/>
          <w:color w:val="auto"/>
        </w:rPr>
      </w:pPr>
    </w:p>
    <w:p>
      <w:pPr>
        <w:jc w:val="both"/>
        <w:ind w:left="340" w:hanging="308"/>
        <w:spacing w:after="0" w:line="342"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decline in Embedded Processing revenue from a year ago was due to lower revenue from catalog, communications infrastructure and automotive products. The increase in Embedded Processing revenue from the prior quarter was primarily due to higher catalog product revenue, while automotive</w:t>
      </w:r>
    </w:p>
    <w:p>
      <w:pPr>
        <w:sectPr>
          <w:pgSz w:w="11900" w:h="16838" w:orient="portrait"/>
          <w:cols w:equalWidth="0" w:num="1">
            <w:col w:w="11420"/>
          </w:cols>
          <w:pgMar w:left="240" w:top="125" w:right="239" w:bottom="0" w:gutter="0" w:footer="0" w:header="0"/>
        </w:sectPr>
      </w:pPr>
    </w:p>
    <w:bookmarkStart w:id="4" w:name="page5"/>
    <w:bookmarkEnd w:id="4"/>
    <w:p>
      <w:pPr>
        <w:ind w:left="340"/>
        <w:spacing w:after="0"/>
        <w:rPr>
          <w:sz w:val="20"/>
          <w:szCs w:val="20"/>
          <w:color w:val="auto"/>
        </w:rPr>
      </w:pPr>
      <w:r>
        <w:rPr>
          <w:rFonts w:ascii="Arial" w:cs="Arial" w:eastAsia="Arial" w:hAnsi="Arial"/>
          <w:sz w:val="18"/>
          <w:szCs w:val="18"/>
          <w:color w:val="auto"/>
        </w:rPr>
        <w:t>product revenue grew by a lesser amount and communications infrastructure product revenue was even.</w:t>
      </w:r>
    </w:p>
    <w:p>
      <w:pPr>
        <w:spacing w:after="0" w:line="252" w:lineRule="exact"/>
        <w:rPr>
          <w:sz w:val="20"/>
          <w:szCs w:val="20"/>
          <w:color w:val="auto"/>
        </w:rPr>
      </w:pPr>
    </w:p>
    <w:p>
      <w:pPr>
        <w:jc w:val="both"/>
        <w:ind w:left="340" w:hanging="308"/>
        <w:spacing w:after="0" w:line="286"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Wireless revenue declined from a year ago due to lower baseband revenue. Revenue from OMAP applications processors also declined, although by a lesser amount, while revenue from connectivity products increased. Wireless revenue increased from the prior quarter primarily due to higher revenue from baseband products, and by a lesser amount, increased revenue from connectivity products and OMAP applications processors.</w:t>
      </w:r>
    </w:p>
    <w:p>
      <w:pPr>
        <w:spacing w:after="0" w:line="192" w:lineRule="exact"/>
        <w:rPr>
          <w:rFonts w:ascii="Arial" w:cs="Arial" w:eastAsia="Arial" w:hAnsi="Arial"/>
          <w:sz w:val="17"/>
          <w:szCs w:val="17"/>
          <w:color w:val="auto"/>
        </w:rPr>
      </w:pPr>
    </w:p>
    <w:p>
      <w:pPr>
        <w:jc w:val="both"/>
        <w:ind w:left="340" w:hanging="308"/>
        <w:spacing w:after="0" w:line="264"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revenue decreased from a year ago due to declines in RISC microprocessors, DLP products, ASIC products, royalties and calculators. Other revenue increased from the prior quarter due to a seasonal increase in calculators, as well as higher revenue from DLP products, royalties and ASIC products. Revenue from RISC microprocessors declined from the prior quarter.</w:t>
      </w:r>
    </w:p>
    <w:p>
      <w:pPr>
        <w:spacing w:after="0" w:line="20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From a year ago, operating profit increased in the Analog segment primarily due to operating expense reductions, as well as higher gross profit. Operating profit in the Embedded Processing and Other segments increased due to operating expense reductions. Operating profit in the Wireless segment declined due to lower gross profit, which was partially offset by lower operating expenses.</w:t>
      </w:r>
    </w:p>
    <w:p>
      <w:pPr>
        <w:spacing w:after="0" w:line="208"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Compared with the prior quarter, operating profit increased in the Analog, Embedded Processing and Other segments due to higher gross profit. Operating profit increased in the Wireless segment primarily due to the combination of higher gross profit and lower restructuring charges.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Restructuring charges were as follows:</w:t>
            </w: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3Q09</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3Q08</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2Q09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Analog:</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Embedded Processing:</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Wireless:</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3Q09 additional financial information</w:t>
      </w:r>
    </w:p>
    <w:p>
      <w:pPr>
        <w:spacing w:after="0" w:line="200" w:lineRule="exact"/>
        <w:rPr>
          <w:sz w:val="20"/>
          <w:szCs w:val="20"/>
          <w:color w:val="auto"/>
        </w:rPr>
      </w:pPr>
    </w:p>
    <w:p>
      <w:pPr>
        <w:spacing w:after="0" w:line="299" w:lineRule="exact"/>
        <w:rPr>
          <w:sz w:val="20"/>
          <w:szCs w:val="20"/>
          <w:color w:val="auto"/>
        </w:rPr>
      </w:pPr>
    </w:p>
    <w:p>
      <w:pPr>
        <w:ind w:left="340" w:hanging="228"/>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Orders were $3.11 billion, down 4 percent from a year ago but up 11 percent from the prior quarter.</w:t>
      </w:r>
    </w:p>
    <w:p>
      <w:pPr>
        <w:spacing w:after="0" w:line="23" w:lineRule="exact"/>
        <w:rPr>
          <w:rFonts w:ascii="Arial" w:cs="Arial" w:eastAsia="Arial" w:hAnsi="Arial"/>
          <w:sz w:val="18"/>
          <w:szCs w:val="18"/>
          <w:color w:val="auto"/>
        </w:rPr>
      </w:pPr>
    </w:p>
    <w:p>
      <w:pPr>
        <w:ind w:left="340" w:hanging="228"/>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Inventory was $1.12 billion, down $459 million from a year ago and up $53 million from the prior quarter.</w:t>
      </w:r>
    </w:p>
    <w:p>
      <w:pPr>
        <w:spacing w:after="0" w:line="9" w:lineRule="exact"/>
        <w:rPr>
          <w:rFonts w:ascii="Arial" w:cs="Arial" w:eastAsia="Arial" w:hAnsi="Arial"/>
          <w:sz w:val="18"/>
          <w:szCs w:val="18"/>
          <w:color w:val="auto"/>
        </w:rPr>
      </w:pPr>
    </w:p>
    <w:p>
      <w:pPr>
        <w:ind w:left="340" w:hanging="228"/>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 expenditures were $226 million in the quarter, an increase from $197 million in the year-ago quarter and an increase from $47 million in the prior quarter.</w:t>
      </w:r>
    </w:p>
    <w:p>
      <w:pPr>
        <w:ind w:left="340" w:hanging="228"/>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 used $251 million in the quarter to repurchase 10.5 million shares of its common stock and paid dividends of $138 million.</w:t>
      </w:r>
    </w:p>
    <w:p>
      <w:pPr>
        <w:spacing w:after="0" w:line="9" w:lineRule="exact"/>
        <w:rPr>
          <w:rFonts w:ascii="Arial" w:cs="Arial" w:eastAsia="Arial" w:hAnsi="Arial"/>
          <w:sz w:val="18"/>
          <w:szCs w:val="18"/>
          <w:color w:val="auto"/>
        </w:rPr>
      </w:pPr>
    </w:p>
    <w:p>
      <w:pPr>
        <w:ind w:left="340" w:hanging="228"/>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Cash and cash equivalents plus short-term investments increased to $2.83 billion at the end of the quarter.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the fourth quarter of 2009, TI expects:</w:t>
      </w:r>
    </w:p>
    <w:p>
      <w:pPr>
        <w:spacing w:after="0" w:line="252" w:lineRule="exact"/>
        <w:rPr>
          <w:sz w:val="20"/>
          <w:szCs w:val="20"/>
          <w:color w:val="auto"/>
        </w:rPr>
      </w:pPr>
    </w:p>
    <w:p>
      <w:pPr>
        <w:ind w:left="500" w:hanging="226"/>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$2.78 – 3.02 billion</w:t>
      </w:r>
    </w:p>
    <w:p>
      <w:pPr>
        <w:spacing w:after="0" w:line="23" w:lineRule="exact"/>
        <w:rPr>
          <w:rFonts w:ascii="Arial" w:cs="Arial" w:eastAsia="Arial" w:hAnsi="Arial"/>
          <w:sz w:val="18"/>
          <w:szCs w:val="18"/>
          <w:color w:val="auto"/>
        </w:rPr>
      </w:pPr>
    </w:p>
    <w:p>
      <w:pPr>
        <w:ind w:left="500" w:hanging="226"/>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Earnings per share: $0.42 – 0.50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EPS estimate includes a negative impact of $0.01 per share resulting from restructuring charges.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TI will update its fourth-quarter outlook on December 8,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full year of 2009, TI expects approximately the following:</w:t>
      </w:r>
    </w:p>
    <w:p>
      <w:pPr>
        <w:spacing w:after="0" w:line="252" w:lineRule="exact"/>
        <w:rPr>
          <w:sz w:val="20"/>
          <w:szCs w:val="20"/>
          <w:color w:val="auto"/>
        </w:rPr>
      </w:pPr>
    </w:p>
    <w:p>
      <w:pPr>
        <w:ind w:left="500" w:hanging="226"/>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R&amp;D expense: $1.5 billion</w:t>
      </w:r>
    </w:p>
    <w:p>
      <w:pPr>
        <w:spacing w:after="0" w:line="23" w:lineRule="exact"/>
        <w:rPr>
          <w:rFonts w:ascii="Arial" w:cs="Arial" w:eastAsia="Arial" w:hAnsi="Arial"/>
          <w:sz w:val="18"/>
          <w:szCs w:val="18"/>
          <w:color w:val="auto"/>
        </w:rPr>
      </w:pPr>
    </w:p>
    <w:p>
      <w:pPr>
        <w:ind w:left="500" w:hanging="226"/>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 expenditures: $800 million, up from the prior expectation of $300 million</w:t>
      </w:r>
    </w:p>
    <w:p>
      <w:pPr>
        <w:spacing w:after="0" w:line="9" w:lineRule="exact"/>
        <w:rPr>
          <w:rFonts w:ascii="Arial" w:cs="Arial" w:eastAsia="Arial" w:hAnsi="Arial"/>
          <w:sz w:val="18"/>
          <w:szCs w:val="18"/>
          <w:color w:val="auto"/>
        </w:rPr>
      </w:pPr>
    </w:p>
    <w:p>
      <w:pPr>
        <w:ind w:left="500" w:hanging="226"/>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Depreciation: $900 million</w:t>
      </w:r>
    </w:p>
    <w:p>
      <w:pPr>
        <w:spacing w:after="0" w:line="9" w:lineRule="exact"/>
        <w:rPr>
          <w:rFonts w:ascii="Arial" w:cs="Arial" w:eastAsia="Arial" w:hAnsi="Arial"/>
          <w:sz w:val="18"/>
          <w:szCs w:val="18"/>
          <w:color w:val="auto"/>
        </w:rPr>
      </w:pPr>
    </w:p>
    <w:p>
      <w:pPr>
        <w:ind w:left="500" w:hanging="226"/>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Annual effective tax rate: 28%, up from the prior expectation of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475615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gridSpan w:val="8"/>
          </w:tcPr>
          <w:p>
            <w:pPr>
              <w:jc w:val="right"/>
              <w:ind w:right="1030"/>
              <w:spacing w:after="0"/>
              <w:rPr>
                <w:sz w:val="20"/>
                <w:szCs w:val="20"/>
                <w:color w:val="auto"/>
              </w:rPr>
            </w:pPr>
            <w:r>
              <w:rPr>
                <w:rFonts w:ascii="Arial" w:cs="Arial" w:eastAsia="Arial" w:hAnsi="Arial"/>
                <w:sz w:val="18"/>
                <w:szCs w:val="18"/>
                <w:b w:val="1"/>
                <w:bCs w:val="1"/>
                <w:color w:val="auto"/>
              </w:rPr>
              <w:t>For Three Months Ended</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87"/>
              </w:rPr>
              <w:t>Sept. 30, 2009</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0"/>
              </w:rPr>
              <w:t>Sept. 30, 2008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8"/>
              </w:rPr>
              <w:t>June 30, 2009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2,880</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Cost of revenue</w:t>
            </w:r>
          </w:p>
        </w:tc>
        <w:tc>
          <w:tcPr>
            <w:tcW w:w="8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1,399</w:t>
            </w: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1,744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1,481</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Research and development (R&amp;D)</w:t>
            </w:r>
          </w:p>
        </w:tc>
        <w:tc>
          <w:tcPr>
            <w:tcW w:w="8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368</w:t>
            </w: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507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(SG&amp;A)</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340</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Restructuring expense</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763</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8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w:t>
            </w: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765</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227</w:t>
            </w: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193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538</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80"/>
              <w:spacing w:after="0"/>
              <w:rPr>
                <w:sz w:val="20"/>
                <w:szCs w:val="20"/>
                <w:color w:val="auto"/>
              </w:rPr>
            </w:pPr>
            <w:r>
              <w:rPr>
                <w:rFonts w:ascii="Arial" w:cs="Arial" w:eastAsia="Arial" w:hAnsi="Arial"/>
                <w:sz w:val="18"/>
                <w:szCs w:val="18"/>
                <w:color w:val="auto"/>
              </w:rPr>
              <w:t>Basic</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.42</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1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.42</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8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1,255</w:t>
            </w: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1,304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1,268</w:t>
            </w:r>
          </w:p>
        </w:tc>
        <w:tc>
          <w:tcPr>
            <w:tcW w:w="4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1,315</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 of common stock</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.11</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Percentage of revenue:</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Gross profit</w:t>
            </w:r>
          </w:p>
        </w:tc>
        <w:tc>
          <w:tcPr>
            <w:tcW w:w="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51.4%</w:t>
            </w:r>
          </w:p>
        </w:tc>
        <w:tc>
          <w:tcPr>
            <w:tcW w:w="4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48.5%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R&amp;D</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12.7%</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SG&amp;A</w:t>
            </w:r>
          </w:p>
        </w:tc>
        <w:tc>
          <w:tcPr>
            <w:tcW w:w="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11.8%</w:t>
            </w:r>
          </w:p>
        </w:tc>
        <w:tc>
          <w:tcPr>
            <w:tcW w:w="4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26.5%</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753"/>
        </w:trPr>
        <w:tc>
          <w:tcPr>
            <w:tcW w:w="20" w:type="dxa"/>
            <w:vAlign w:val="bottom"/>
          </w:tcPr>
          <w:p>
            <w:pPr>
              <w:spacing w:after="0"/>
              <w:rPr>
                <w:sz w:val="24"/>
                <w:szCs w:val="24"/>
                <w:color w:val="auto"/>
              </w:rPr>
            </w:pPr>
          </w:p>
        </w:tc>
        <w:tc>
          <w:tcPr>
            <w:tcW w:w="70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0"/>
              </w:rPr>
              <w:t>Sept. 30, 2009</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0"/>
              </w:rPr>
              <w:t>Sept. 30, 2008</w:t>
            </w:r>
          </w:p>
        </w:tc>
        <w:tc>
          <w:tcPr>
            <w:tcW w:w="80" w:type="dxa"/>
            <w:vAlign w:val="bottom"/>
          </w:tcPr>
          <w:p>
            <w:pPr>
              <w:spacing w:after="0"/>
              <w:rPr>
                <w:sz w:val="20"/>
                <w:szCs w:val="20"/>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June 30,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82"/>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1,294</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1,715</w:t>
            </w:r>
          </w:p>
        </w:tc>
        <w:tc>
          <w:tcPr>
            <w:tcW w:w="4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1,533</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278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 of allowances of ($22), ($28) and ($23)</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1,435</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Raw materials</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89</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Work in process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767</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Finished goods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260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490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592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679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6,138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6,212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5,740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6,599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7,499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Less accumulated depreciation</w:t>
            </w:r>
          </w:p>
        </w:tc>
        <w:tc>
          <w:tcPr>
            <w:tcW w:w="3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(3,654)</w:t>
            </w:r>
          </w:p>
        </w:tc>
        <w:tc>
          <w:tcPr>
            <w:tcW w:w="3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(3,982)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(3,799)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2,945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3,517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Long-term investments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627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717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926</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Acquisition-related intangibles</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138</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928</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Capitalized software licenses, net</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124</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Overfunded retirement plans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40" w:type="dxa"/>
            <w:vAlign w:val="bottom"/>
            <w:shd w:val="clear" w:color="auto" w:fill="CCEEFF"/>
          </w:tcPr>
          <w:p>
            <w:pPr>
              <w:jc w:val="right"/>
              <w:ind w:right="182"/>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11,903</w:t>
            </w: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12,466</w:t>
            </w:r>
          </w:p>
        </w:tc>
        <w:tc>
          <w:tcPr>
            <w:tcW w:w="4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jc w:val="right"/>
              <w:ind w:right="182"/>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467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601</w:t>
            </w:r>
          </w:p>
        </w:tc>
        <w:tc>
          <w:tcPr>
            <w:tcW w:w="4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959</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976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148</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Accrued profit sharing and retirement</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Underfunded retirement plans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464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60</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Deferred credits and other liabilities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279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396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2,465</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ind w:left="160"/>
              <w:spacing w:after="0" w:line="201" w:lineRule="exact"/>
              <w:rPr>
                <w:sz w:val="20"/>
                <w:szCs w:val="20"/>
                <w:color w:val="auto"/>
              </w:rPr>
            </w:pPr>
            <w:r>
              <w:rPr>
                <w:rFonts w:ascii="Arial" w:cs="Arial" w:eastAsia="Arial" w:hAnsi="Arial"/>
                <w:sz w:val="18"/>
                <w:szCs w:val="18"/>
                <w:color w:val="auto"/>
              </w:rPr>
              <w:t>Preferred stock, $25 par value. Authorized -- 10,000,000 shares. Participating cumulative</w:t>
            </w:r>
          </w:p>
        </w:tc>
        <w:tc>
          <w:tcPr>
            <w:tcW w:w="340" w:type="dxa"/>
            <w:vAlign w:val="bottom"/>
          </w:tcPr>
          <w:p>
            <w:pPr>
              <w:spacing w:after="0"/>
              <w:rPr>
                <w:sz w:val="17"/>
                <w:szCs w:val="17"/>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preferred. None issued.</w:t>
            </w:r>
          </w:p>
        </w:tc>
        <w:tc>
          <w:tcPr>
            <w:tcW w:w="34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Common stock, $1 par value. Authorized -- 2,400,000,000 shares. Shares issued: Sept. 30, 2009 -</w:t>
            </w:r>
          </w:p>
        </w:tc>
        <w:tc>
          <w:tcPr>
            <w:tcW w:w="34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1,740</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- 1,739,770,537; Sept. 30, 2008 -- 1,739,717,573; June 30, 2009 -- 1,739,734,081</w:t>
            </w:r>
          </w:p>
        </w:tc>
        <w:tc>
          <w:tcPr>
            <w:tcW w:w="34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1,740</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Paid-in capital</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1,071</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973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21,562</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21,204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ind w:left="160"/>
              <w:spacing w:after="0" w:line="201" w:lineRule="exact"/>
              <w:rPr>
                <w:sz w:val="20"/>
                <w:szCs w:val="20"/>
                <w:color w:val="auto"/>
              </w:rPr>
            </w:pPr>
            <w:r>
              <w:rPr>
                <w:rFonts w:ascii="Arial" w:cs="Arial" w:eastAsia="Arial" w:hAnsi="Arial"/>
                <w:sz w:val="18"/>
                <w:szCs w:val="18"/>
                <w:color w:val="auto"/>
              </w:rPr>
              <w:t>Less treasury common stock at cost:</w:t>
            </w: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Shares: Sept. 30, 2009 -- 486,897,139; Sept. 30, 2008 -- 443,292,628; June 30, 2009 --</w:t>
            </w:r>
          </w:p>
        </w:tc>
        <w:tc>
          <w:tcPr>
            <w:tcW w:w="340" w:type="dxa"/>
            <w:vAlign w:val="bottom"/>
          </w:tcPr>
          <w:p>
            <w:pPr>
              <w:spacing w:after="0"/>
              <w:rPr>
                <w:sz w:val="18"/>
                <w:szCs w:val="18"/>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(14,257)</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gridSpan w:val="2"/>
          </w:tcPr>
          <w:p>
            <w:pPr>
              <w:ind w:left="340"/>
              <w:spacing w:after="0"/>
              <w:rPr>
                <w:sz w:val="20"/>
                <w:szCs w:val="20"/>
                <w:color w:val="auto"/>
              </w:rPr>
            </w:pPr>
            <w:r>
              <w:rPr>
                <w:rFonts w:ascii="Arial" w:cs="Arial" w:eastAsia="Arial" w:hAnsi="Arial"/>
                <w:sz w:val="18"/>
                <w:szCs w:val="18"/>
                <w:color w:val="auto"/>
              </w:rPr>
              <w:t>478,309,646</w:t>
            </w:r>
          </w:p>
        </w:tc>
        <w:tc>
          <w:tcPr>
            <w:tcW w:w="34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(13,481)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 (loss), net of taxes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(678)</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9,438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10,094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9,213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shd w:val="clear" w:color="auto" w:fill="CCEEFF"/>
          </w:tcPr>
          <w:p>
            <w:pPr>
              <w:jc w:val="right"/>
              <w:ind w:right="182"/>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11,903</w:t>
            </w: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12,466</w:t>
            </w:r>
          </w:p>
        </w:tc>
        <w:tc>
          <w:tcPr>
            <w:tcW w:w="4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11,510</w:t>
            </w:r>
          </w:p>
        </w:tc>
        <w:tc>
          <w:tcPr>
            <w:tcW w:w="0" w:type="dxa"/>
            <w:vAlign w:val="bottom"/>
          </w:tcPr>
          <w:p>
            <w:pPr>
              <w:spacing w:after="0"/>
              <w:rPr>
                <w:sz w:val="1"/>
                <w:szCs w:val="1"/>
                <w:color w:val="auto"/>
              </w:rPr>
            </w:pPr>
          </w:p>
        </w:tc>
      </w:tr>
      <w:tr>
        <w:trPr>
          <w:trHeight w:val="990"/>
        </w:trPr>
        <w:tc>
          <w:tcPr>
            <w:tcW w:w="20" w:type="dxa"/>
            <w:vAlign w:val="bottom"/>
          </w:tcPr>
          <w:p>
            <w:pPr>
              <w:spacing w:after="0"/>
              <w:rPr>
                <w:sz w:val="24"/>
                <w:szCs w:val="24"/>
                <w:color w:val="auto"/>
              </w:rPr>
            </w:pPr>
          </w:p>
        </w:tc>
        <w:tc>
          <w:tcPr>
            <w:tcW w:w="7420" w:type="dxa"/>
            <w:vAlign w:val="bottom"/>
            <w:tcBorders>
              <w:top w:val="single" w:sz="8" w:color="CCEEFF"/>
              <w:bottom w:val="single" w:sz="8" w:color="808080"/>
            </w:tcBorders>
          </w:tcPr>
          <w:p>
            <w:pPr>
              <w:spacing w:after="0"/>
              <w:rPr>
                <w:sz w:val="24"/>
                <w:szCs w:val="24"/>
                <w:color w:val="auto"/>
              </w:rPr>
            </w:pPr>
          </w:p>
        </w:tc>
        <w:tc>
          <w:tcPr>
            <w:tcW w:w="340" w:type="dxa"/>
            <w:vAlign w:val="bottom"/>
            <w:tcBorders>
              <w:top w:val="single" w:sz="8" w:color="auto"/>
              <w:bottom w:val="single" w:sz="8" w:color="808080"/>
            </w:tcBorders>
          </w:tcPr>
          <w:p>
            <w:pPr>
              <w:spacing w:after="0"/>
              <w:rPr>
                <w:sz w:val="24"/>
                <w:szCs w:val="24"/>
                <w:color w:val="auto"/>
              </w:rPr>
            </w:pPr>
          </w:p>
        </w:tc>
        <w:tc>
          <w:tcPr>
            <w:tcW w:w="820" w:type="dxa"/>
            <w:vAlign w:val="bottom"/>
            <w:tcBorders>
              <w:top w:val="single" w:sz="8" w:color="auto"/>
              <w:bottom w:val="single" w:sz="8" w:color="808080"/>
            </w:tcBorders>
          </w:tcPr>
          <w:p>
            <w:pPr>
              <w:spacing w:after="0"/>
              <w:rPr>
                <w:sz w:val="24"/>
                <w:szCs w:val="24"/>
                <w:color w:val="auto"/>
              </w:rPr>
            </w:pPr>
          </w:p>
        </w:tc>
        <w:tc>
          <w:tcPr>
            <w:tcW w:w="220" w:type="dxa"/>
            <w:vAlign w:val="bottom"/>
            <w:tcBorders>
              <w:top w:val="single" w:sz="8" w:color="CCEEFF"/>
              <w:bottom w:val="single" w:sz="8" w:color="808080"/>
            </w:tcBorders>
          </w:tcPr>
          <w:p>
            <w:pPr>
              <w:spacing w:after="0"/>
              <w:rPr>
                <w:sz w:val="24"/>
                <w:szCs w:val="24"/>
                <w:color w:val="auto"/>
              </w:rPr>
            </w:pPr>
          </w:p>
        </w:tc>
        <w:tc>
          <w:tcPr>
            <w:tcW w:w="340" w:type="dxa"/>
            <w:vAlign w:val="bottom"/>
            <w:tcBorders>
              <w:top w:val="single" w:sz="8" w:color="auto"/>
              <w:bottom w:val="single" w:sz="8" w:color="808080"/>
            </w:tcBorders>
          </w:tcPr>
          <w:p>
            <w:pPr>
              <w:spacing w:after="0"/>
              <w:rPr>
                <w:sz w:val="24"/>
                <w:szCs w:val="24"/>
                <w:color w:val="auto"/>
              </w:rPr>
            </w:pPr>
          </w:p>
        </w:tc>
        <w:tc>
          <w:tcPr>
            <w:tcW w:w="800" w:type="dxa"/>
            <w:vAlign w:val="bottom"/>
            <w:tcBorders>
              <w:top w:val="single" w:sz="8" w:color="auto"/>
              <w:bottom w:val="single" w:sz="8" w:color="808080"/>
            </w:tcBorders>
          </w:tcPr>
          <w:p>
            <w:pPr>
              <w:spacing w:after="0"/>
              <w:rPr>
                <w:sz w:val="24"/>
                <w:szCs w:val="24"/>
                <w:color w:val="auto"/>
              </w:rPr>
            </w:pPr>
          </w:p>
        </w:tc>
        <w:tc>
          <w:tcPr>
            <w:tcW w:w="140" w:type="dxa"/>
            <w:vAlign w:val="bottom"/>
            <w:tcBorders>
              <w:top w:val="single" w:sz="8" w:color="CCEEFF"/>
              <w:bottom w:val="single" w:sz="8" w:color="808080"/>
            </w:tcBorders>
          </w:tcPr>
          <w:p>
            <w:pPr>
              <w:spacing w:after="0"/>
              <w:rPr>
                <w:sz w:val="24"/>
                <w:szCs w:val="24"/>
                <w:color w:val="auto"/>
              </w:rPr>
            </w:pPr>
          </w:p>
        </w:tc>
        <w:tc>
          <w:tcPr>
            <w:tcW w:w="80" w:type="dxa"/>
            <w:vAlign w:val="bottom"/>
            <w:tcBorders>
              <w:top w:val="single" w:sz="8" w:color="CCEEFF"/>
              <w:bottom w:val="single" w:sz="8" w:color="808080"/>
            </w:tcBorders>
          </w:tcPr>
          <w:p>
            <w:pPr>
              <w:spacing w:after="0"/>
              <w:rPr>
                <w:sz w:val="24"/>
                <w:szCs w:val="24"/>
                <w:color w:val="auto"/>
              </w:rPr>
            </w:pPr>
          </w:p>
        </w:tc>
        <w:tc>
          <w:tcPr>
            <w:tcW w:w="340" w:type="dxa"/>
            <w:vAlign w:val="bottom"/>
            <w:tcBorders>
              <w:top w:val="single" w:sz="8" w:color="auto"/>
              <w:bottom w:val="single" w:sz="8" w:color="808080"/>
            </w:tcBorders>
          </w:tcPr>
          <w:p>
            <w:pPr>
              <w:spacing w:after="0"/>
              <w:rPr>
                <w:sz w:val="24"/>
                <w:szCs w:val="24"/>
                <w:color w:val="auto"/>
              </w:rPr>
            </w:pPr>
          </w:p>
        </w:tc>
        <w:tc>
          <w:tcPr>
            <w:tcW w:w="80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right"/>
              <w:ind w:right="190"/>
              <w:spacing w:after="0"/>
              <w:rPr>
                <w:sz w:val="20"/>
                <w:szCs w:val="20"/>
                <w:color w:val="auto"/>
              </w:rPr>
            </w:pPr>
            <w:r>
              <w:rPr>
                <w:rFonts w:ascii="Arial" w:cs="Arial" w:eastAsia="Arial" w:hAnsi="Arial"/>
                <w:sz w:val="18"/>
                <w:szCs w:val="18"/>
                <w:b w:val="1"/>
                <w:bCs w:val="1"/>
                <w:color w:val="auto"/>
              </w:rPr>
              <w:t>For Three Months Ended</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0"/>
              </w:rPr>
              <w:t>Sept. 30, 2009</w:t>
            </w: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0"/>
              </w:rPr>
              <w:t>Sept. 30, 2008</w:t>
            </w:r>
          </w:p>
        </w:tc>
        <w:tc>
          <w:tcPr>
            <w:tcW w:w="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0"/>
              </w:rPr>
              <w:t>June 30,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jc w:val="right"/>
              <w:ind w:right="260"/>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538</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563</w:t>
            </w:r>
          </w:p>
        </w:tc>
        <w:tc>
          <w:tcPr>
            <w:tcW w:w="5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Adjustments to net income:</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Amortization of acquisition-related</w:t>
            </w:r>
          </w:p>
        </w:tc>
        <w:tc>
          <w:tcPr>
            <w:tcW w:w="42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intangibles</w:t>
            </w:r>
          </w:p>
        </w:tc>
        <w:tc>
          <w:tcPr>
            <w:tcW w:w="42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Deferred income taxes</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(decrease) from changes in:</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(186)</w:t>
            </w: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Inventories</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(53)</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 and accrued expenses</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Income taxes payable</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94</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profit sharing and retirement</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w:t>
            </w: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834</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(226)</w:t>
            </w:r>
          </w:p>
        </w:tc>
        <w:tc>
          <w:tcPr>
            <w:tcW w:w="4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(197)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short-term investments</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(879)</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Sales and maturities of short-term investments</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139</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long-term investments</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Redemptions and sales of long term investments</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Acquisitions, net of cash acquired</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4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(950)</w:t>
            </w:r>
          </w:p>
        </w:tc>
        <w:tc>
          <w:tcPr>
            <w:tcW w:w="42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(138)</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Sales and other common stock transactions</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 from share-based payments</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Stock repurchases</w:t>
            </w: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(251)</w:t>
            </w:r>
          </w:p>
        </w:tc>
        <w:tc>
          <w:tcPr>
            <w:tcW w:w="4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(429)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(355)</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(471)</w:t>
            </w: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398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1,765</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420" w:type="dxa"/>
            <w:vAlign w:val="bottom"/>
          </w:tcPr>
          <w:p>
            <w:pPr>
              <w:jc w:val="right"/>
              <w:ind w:right="260"/>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1,294</w:t>
            </w:r>
          </w:p>
        </w:tc>
        <w:tc>
          <w:tcPr>
            <w:tcW w:w="22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1,715</w:t>
            </w:r>
          </w:p>
        </w:tc>
        <w:tc>
          <w:tcPr>
            <w:tcW w:w="54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prior periods’ financial statements have been reclassified to conform to the current presentation.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5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0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500" w:hanging="141"/>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252" w:lineRule="exact"/>
        <w:rPr>
          <w:rFonts w:ascii="Arial" w:cs="Arial" w:eastAsia="Arial" w:hAnsi="Arial"/>
          <w:sz w:val="18"/>
          <w:szCs w:val="18"/>
          <w:color w:val="auto"/>
        </w:rPr>
      </w:pPr>
    </w:p>
    <w:p>
      <w:pPr>
        <w:ind w:left="500" w:hanging="141"/>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97" w:lineRule="exact"/>
        <w:rPr>
          <w:rFonts w:ascii="Arial" w:cs="Arial" w:eastAsia="Arial" w:hAnsi="Arial"/>
          <w:sz w:val="18"/>
          <w:szCs w:val="18"/>
          <w:color w:val="auto"/>
        </w:rPr>
      </w:pPr>
    </w:p>
    <w:p>
      <w:pPr>
        <w:ind w:left="500" w:hanging="141"/>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252" w:lineRule="exact"/>
        <w:rPr>
          <w:rFonts w:ascii="Arial" w:cs="Arial" w:eastAsia="Arial" w:hAnsi="Arial"/>
          <w:sz w:val="18"/>
          <w:szCs w:val="18"/>
          <w:color w:val="auto"/>
        </w:rPr>
      </w:pPr>
    </w:p>
    <w:p>
      <w:pPr>
        <w:ind w:left="500" w:hanging="141"/>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252" w:lineRule="exact"/>
        <w:rPr>
          <w:rFonts w:ascii="Arial" w:cs="Arial" w:eastAsia="Arial" w:hAnsi="Arial"/>
          <w:sz w:val="18"/>
          <w:szCs w:val="18"/>
          <w:color w:val="auto"/>
        </w:rPr>
      </w:pPr>
    </w:p>
    <w:p>
      <w:pPr>
        <w:ind w:left="500" w:hanging="141"/>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252" w:lineRule="exact"/>
        <w:rPr>
          <w:rFonts w:ascii="Arial" w:cs="Arial" w:eastAsia="Arial" w:hAnsi="Arial"/>
          <w:sz w:val="18"/>
          <w:szCs w:val="18"/>
          <w:color w:val="auto"/>
        </w:rPr>
      </w:pPr>
    </w:p>
    <w:p>
      <w:pPr>
        <w:ind w:left="500" w:hanging="141"/>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252" w:lineRule="exact"/>
        <w:rPr>
          <w:rFonts w:ascii="Arial" w:cs="Arial" w:eastAsia="Arial" w:hAnsi="Arial"/>
          <w:sz w:val="18"/>
          <w:szCs w:val="18"/>
          <w:color w:val="auto"/>
        </w:rPr>
      </w:pPr>
    </w:p>
    <w:p>
      <w:pPr>
        <w:ind w:left="500" w:hanging="141"/>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197" w:lineRule="exact"/>
        <w:rPr>
          <w:rFonts w:ascii="Arial" w:cs="Arial" w:eastAsia="Arial" w:hAnsi="Arial"/>
          <w:sz w:val="18"/>
          <w:szCs w:val="18"/>
          <w:color w:val="auto"/>
        </w:rPr>
      </w:pPr>
    </w:p>
    <w:p>
      <w:pPr>
        <w:ind w:left="500" w:hanging="141"/>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252" w:lineRule="exact"/>
        <w:rPr>
          <w:rFonts w:ascii="Arial" w:cs="Arial" w:eastAsia="Arial" w:hAnsi="Arial"/>
          <w:sz w:val="18"/>
          <w:szCs w:val="18"/>
          <w:color w:val="auto"/>
        </w:rPr>
      </w:pPr>
    </w:p>
    <w:p>
      <w:pPr>
        <w:ind w:left="500" w:hanging="141"/>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63" w:lineRule="exact"/>
        <w:rPr>
          <w:rFonts w:ascii="Arial" w:cs="Arial" w:eastAsia="Arial" w:hAnsi="Arial"/>
          <w:sz w:val="17"/>
          <w:szCs w:val="17"/>
          <w:color w:val="auto"/>
        </w:rPr>
      </w:pPr>
    </w:p>
    <w:p>
      <w:pPr>
        <w:ind w:left="500" w:hanging="141"/>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97" w:lineRule="exact"/>
        <w:rPr>
          <w:rFonts w:ascii="Arial" w:cs="Arial" w:eastAsia="Arial" w:hAnsi="Arial"/>
          <w:sz w:val="18"/>
          <w:szCs w:val="18"/>
          <w:color w:val="auto"/>
        </w:rPr>
      </w:pPr>
    </w:p>
    <w:p>
      <w:pPr>
        <w:ind w:left="500" w:hanging="141"/>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63" w:lineRule="exact"/>
        <w:rPr>
          <w:rFonts w:ascii="Arial" w:cs="Arial" w:eastAsia="Arial" w:hAnsi="Arial"/>
          <w:sz w:val="17"/>
          <w:szCs w:val="17"/>
          <w:color w:val="auto"/>
        </w:rPr>
      </w:pPr>
    </w:p>
    <w:p>
      <w:pPr>
        <w:ind w:left="500" w:hanging="141"/>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252" w:lineRule="exact"/>
        <w:rPr>
          <w:rFonts w:ascii="Arial" w:cs="Arial" w:eastAsia="Arial" w:hAnsi="Arial"/>
          <w:sz w:val="18"/>
          <w:szCs w:val="18"/>
          <w:color w:val="auto"/>
        </w:rPr>
      </w:pPr>
    </w:p>
    <w:p>
      <w:pPr>
        <w:ind w:left="500" w:hanging="141"/>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252" w:lineRule="exact"/>
        <w:rPr>
          <w:rFonts w:ascii="Arial" w:cs="Arial" w:eastAsia="Arial" w:hAnsi="Arial"/>
          <w:sz w:val="18"/>
          <w:szCs w:val="18"/>
          <w:color w:val="auto"/>
        </w:rPr>
      </w:pPr>
    </w:p>
    <w:p>
      <w:pPr>
        <w:ind w:left="500" w:hanging="141"/>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ability of TI and its customers and suppliers to access their bank accounts and lines of credit or otherwise access the capital markets;</w:t>
      </w:r>
    </w:p>
    <w:p>
      <w:pPr>
        <w:spacing w:after="0" w:line="263" w:lineRule="exact"/>
        <w:rPr>
          <w:rFonts w:ascii="Arial" w:cs="Arial" w:eastAsia="Arial" w:hAnsi="Arial"/>
          <w:sz w:val="17"/>
          <w:szCs w:val="17"/>
          <w:color w:val="auto"/>
        </w:rPr>
      </w:pPr>
    </w:p>
    <w:p>
      <w:pPr>
        <w:ind w:left="500" w:hanging="141"/>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63" w:lineRule="exact"/>
        <w:rPr>
          <w:rFonts w:ascii="Arial" w:cs="Arial" w:eastAsia="Arial" w:hAnsi="Arial"/>
          <w:sz w:val="17"/>
          <w:szCs w:val="17"/>
          <w:color w:val="auto"/>
        </w:rPr>
      </w:pPr>
    </w:p>
    <w:p>
      <w:pPr>
        <w:ind w:left="500" w:hanging="141"/>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252" w:lineRule="exact"/>
        <w:rPr>
          <w:rFonts w:ascii="Arial" w:cs="Arial" w:eastAsia="Arial" w:hAnsi="Arial"/>
          <w:sz w:val="18"/>
          <w:szCs w:val="18"/>
          <w:color w:val="auto"/>
        </w:rPr>
      </w:pPr>
    </w:p>
    <w:p>
      <w:pPr>
        <w:ind w:left="500" w:hanging="141"/>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9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the Company's most recent Form 10-K. The forward-looking statements included in this release are made only as of the date of this release, and the Company undertakes no obligation to update the forward-looking statements to reflect subsequent events or circumstances.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Texas Instruments (NYSE: TXN) helps customers solve problems and develop new electronics that make the world smarter, healthier, safer, greener and more fun. A global semiconductor company, TI innovates through design, sales and manufacturing operations in more than 30 countries. For more information, go to www.ti.com.</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 trademarks: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OMAP</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3"/>
    </w:lvl>
  </w:abstractNum>
  <w:abstractNum w:abstractNumId="4">
    <w:nsid w:val="2EB141F2"/>
    <w:multiLevelType w:val="hybridMultilevel"/>
    <w:lvl w:ilvl="0">
      <w:lvlJc w:val="left"/>
      <w:lvlText w:val="Ÿ"/>
      <w:numFmt w:val="bullet"/>
      <w:start w:val="1"/>
    </w:lvl>
  </w:abstractNum>
  <w:abstractNum w:abstractNumId="5">
    <w:nsid w:val="41B71EFB"/>
    <w:multiLevelType w:val="hybridMultilevel"/>
    <w:lvl w:ilvl="0">
      <w:lvlJc w:val="left"/>
      <w:lvlText w:val="Ÿ"/>
      <w:numFmt w:val="bullet"/>
      <w:start w:val="1"/>
    </w:lvl>
  </w:abstractNum>
  <w:abstractNum w:abstractNumId="6">
    <w:nsid w:val="79E2A9E3"/>
    <w:multiLevelType w:val="hybridMultilevel"/>
    <w:lvl w:ilvl="0">
      <w:lvlJc w:val="left"/>
      <w:lvlText w:val="Ÿ"/>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2019-12-10T03:19:41Z</dcterms:created>
  <dcterms:modified xsi:type="dcterms:W3CDTF">2019-12-10T03:19:41Z</dcterms:modified>
</cp:coreProperties>
</file>